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446912" w14:textId="34E54047" w:rsidR="00DF6A71" w:rsidRPr="00DF6A71" w:rsidRDefault="008B0F57" w:rsidP="00DF6A7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noProof/>
          <w:color w:val="000000"/>
          <w:lang w:eastAsia="ru-RU"/>
        </w:rPr>
        <w:drawing>
          <wp:anchor distT="0" distB="0" distL="114300" distR="114300" simplePos="0" relativeHeight="251662336" behindDoc="0" locked="0" layoutInCell="1" allowOverlap="1" wp14:anchorId="3A133B06" wp14:editId="0047CC3A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МИНИСТЕРСТВО </w:t>
      </w:r>
      <w:r w:rsidR="008E1DB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ПРОСВЕЩЕНИЯ</w:t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 РОССИЙСКОЙ ФЕДЕРАЦИИ </w:t>
      </w:r>
    </w:p>
    <w:p w14:paraId="707F9CB2" w14:textId="77777777" w:rsidR="00DF6A71" w:rsidRDefault="00DF6A71" w:rsidP="00DF6A71">
      <w:pPr>
        <w:spacing w:line="240" w:lineRule="auto"/>
        <w:jc w:val="center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AAB4B9A" w14:textId="77777777" w:rsidR="00DF6A71" w:rsidRPr="00DF6A71" w:rsidRDefault="00DF6A71" w:rsidP="00DF6A71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4880455C" w14:textId="77777777" w:rsidR="00DF6A71" w:rsidRPr="00DF6A71" w:rsidRDefault="00DF6A71" w:rsidP="00DF6A71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7BF1C245" w14:textId="77777777" w:rsidR="00D63C74" w:rsidRDefault="0023257E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C66F92" wp14:editId="67B310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B97B569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-25.8pt;margin-top:6.55pt;width:501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04B6C7D5" w14:textId="3BA6BE8A" w:rsidR="00D63C74" w:rsidRPr="001D20CF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ИНСТИТУТ </w:t>
      </w:r>
      <w:r w:rsidR="001D20CF"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>ИНФОРМАЦИОННЫХ ТЕХНОЛОГИЙ</w:t>
      </w: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 И ТЕХНОЛОГИЧЕСКОГО ОБРАЗОВАНИЯ</w:t>
      </w:r>
    </w:p>
    <w:p w14:paraId="731CE61B" w14:textId="70FAC819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D20CF">
        <w:rPr>
          <w:rFonts w:ascii="Times New Roman" w:eastAsia="Times New Roman" w:hAnsi="Times New Roman"/>
          <w:b/>
          <w:lang w:eastAsia="ru-RU"/>
        </w:rPr>
        <w:t>информационных</w:t>
      </w:r>
      <w:r>
        <w:rPr>
          <w:rFonts w:ascii="Times New Roman" w:eastAsia="Times New Roman" w:hAnsi="Times New Roman"/>
          <w:b/>
          <w:lang w:eastAsia="ru-RU"/>
        </w:rPr>
        <w:t xml:space="preserve"> технологий и электронного обучения</w:t>
      </w:r>
    </w:p>
    <w:p w14:paraId="36B48EB3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47D32A4A" w14:textId="77777777" w:rsidR="0023257E" w:rsidRDefault="0023257E" w:rsidP="0023257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</w:p>
    <w:p w14:paraId="0B0A3ABE" w14:textId="77777777" w:rsidR="0023257E" w:rsidRPr="0023257E" w:rsidRDefault="0023257E" w:rsidP="0023257E"/>
    <w:p w14:paraId="227C470B" w14:textId="77777777" w:rsidR="0023257E" w:rsidRPr="0023257E" w:rsidRDefault="0023257E" w:rsidP="0023257E"/>
    <w:p w14:paraId="273F12AF" w14:textId="11BF3667" w:rsidR="00435667" w:rsidRPr="00435667" w:rsidRDefault="0023257E" w:rsidP="00435667">
      <w:pPr>
        <w:pStyle w:val="11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sz w:val="26"/>
          <w:szCs w:val="26"/>
        </w:rPr>
      </w:pPr>
      <w:r w:rsidRPr="00FD3821">
        <w:rPr>
          <w:sz w:val="26"/>
          <w:szCs w:val="26"/>
        </w:rPr>
        <w:t>ОТЧЁТ</w:t>
      </w:r>
      <w:r w:rsidR="00435667">
        <w:rPr>
          <w:sz w:val="26"/>
          <w:szCs w:val="26"/>
        </w:rPr>
        <w:br/>
        <w:t xml:space="preserve">О ПРОХОЖДЕНИИ </w:t>
      </w:r>
      <w:r w:rsidR="000A7B5F">
        <w:rPr>
          <w:sz w:val="26"/>
          <w:szCs w:val="26"/>
        </w:rPr>
        <w:t>УЧЕБНОЙ</w:t>
      </w:r>
      <w:r w:rsidR="000F705E">
        <w:rPr>
          <w:sz w:val="26"/>
          <w:szCs w:val="26"/>
        </w:rPr>
        <w:t xml:space="preserve"> </w:t>
      </w:r>
      <w:r w:rsidR="00435667">
        <w:rPr>
          <w:sz w:val="26"/>
          <w:szCs w:val="26"/>
        </w:rPr>
        <w:t>ПРАКТИКИ</w:t>
      </w:r>
      <w:r w:rsidR="000F705E">
        <w:rPr>
          <w:sz w:val="26"/>
          <w:szCs w:val="26"/>
        </w:rPr>
        <w:br/>
      </w:r>
      <w:r w:rsidR="00435667" w:rsidRPr="00435667">
        <w:rPr>
          <w:sz w:val="26"/>
          <w:szCs w:val="26"/>
        </w:rPr>
        <w:t>технологическая (проектно-технологическая)</w:t>
      </w:r>
    </w:p>
    <w:p w14:paraId="0EEA2B38" w14:textId="4AC769A0" w:rsidR="00DF6A71" w:rsidRPr="000A7B5F" w:rsidRDefault="000A7B5F" w:rsidP="000A7B5F">
      <w:pPr>
        <w:spacing w:after="120" w:line="278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/>
          <w:sz w:val="26"/>
        </w:rPr>
        <w:t>Аудиоматериалы, аудиодвижок и форматы сессий MindFlow</w:t>
      </w:r>
    </w:p>
    <w:p w14:paraId="4888BD43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40D19CD7" w14:textId="070A3771" w:rsidR="00F96F17" w:rsidRPr="00DD15C1" w:rsidRDefault="0094228E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193E34">
        <w:rPr>
          <w:rFonts w:ascii="Times New Roman" w:hAnsi="Times New Roman"/>
          <w:sz w:val="26"/>
          <w:szCs w:val="26"/>
        </w:rPr>
        <w:t>«</w:t>
      </w:r>
      <w:r w:rsidR="00DD15C1" w:rsidRPr="00DD15C1">
        <w:rPr>
          <w:rFonts w:ascii="Times New Roman" w:hAnsi="Times New Roman"/>
          <w:sz w:val="26"/>
          <w:szCs w:val="26"/>
        </w:rPr>
        <w:t>09.03.01 – Инфор</w:t>
      </w:r>
      <w:r w:rsidR="006E1784">
        <w:rPr>
          <w:rFonts w:ascii="Times New Roman" w:hAnsi="Times New Roman"/>
          <w:sz w:val="26"/>
          <w:szCs w:val="26"/>
        </w:rPr>
        <w:t>матика и вычислительная техника</w:t>
      </w:r>
      <w:r w:rsidR="00193E34">
        <w:rPr>
          <w:rFonts w:ascii="Times New Roman" w:hAnsi="Times New Roman"/>
          <w:sz w:val="26"/>
          <w:szCs w:val="26"/>
        </w:rPr>
        <w:t>»</w:t>
      </w:r>
      <w:r w:rsidR="00F96F17" w:rsidRPr="00DD15C1">
        <w:rPr>
          <w:rFonts w:ascii="Times New Roman" w:hAnsi="Times New Roman"/>
          <w:sz w:val="26"/>
          <w:szCs w:val="26"/>
        </w:rPr>
        <w:t xml:space="preserve"> </w:t>
      </w:r>
    </w:p>
    <w:p w14:paraId="447AB45B" w14:textId="6D8DCA65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DD15C1" w:rsidRPr="00DD15C1">
        <w:rPr>
          <w:rFonts w:ascii="Times New Roman" w:hAnsi="Times New Roman"/>
          <w:sz w:val="26"/>
          <w:szCs w:val="26"/>
        </w:rPr>
        <w:t xml:space="preserve">профиль: </w:t>
      </w:r>
      <w:r w:rsidR="00FA2AF2">
        <w:rPr>
          <w:rFonts w:ascii="Times New Roman" w:hAnsi="Times New Roman"/>
          <w:sz w:val="26"/>
          <w:szCs w:val="26"/>
        </w:rPr>
        <w:t>«</w:t>
      </w:r>
      <w:r w:rsidR="00FA2AF2" w:rsidRPr="00FA2AF2">
        <w:rPr>
          <w:rFonts w:ascii="Times New Roman" w:hAnsi="Times New Roman"/>
          <w:sz w:val="26"/>
          <w:szCs w:val="26"/>
        </w:rPr>
        <w:t>Технологии разработки программного обеспечения и обработки больших данных</w:t>
      </w:r>
      <w:r w:rsidR="00FA2AF2">
        <w:rPr>
          <w:rFonts w:ascii="Times New Roman" w:hAnsi="Times New Roman"/>
          <w:sz w:val="26"/>
          <w:szCs w:val="26"/>
        </w:rPr>
        <w:t>»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3265CF24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06C867E1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145E75F" w14:textId="22EE0643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proofErr w:type="spellStart"/>
      <w:r w:rsidR="008B0F57">
        <w:rPr>
          <w:rFonts w:ascii="Times New Roman" w:hAnsi="Times New Roman"/>
          <w:sz w:val="26"/>
          <w:szCs w:val="26"/>
        </w:rPr>
        <w:t>ИТиЭО</w:t>
      </w:r>
      <w:proofErr w:type="spellEnd"/>
      <w:r w:rsidR="008B0F57"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д.п.н</w:t>
      </w:r>
      <w:proofErr w:type="spellEnd"/>
      <w:r>
        <w:rPr>
          <w:rFonts w:ascii="Times New Roman" w:hAnsi="Times New Roman"/>
          <w:sz w:val="26"/>
          <w:szCs w:val="26"/>
        </w:rPr>
        <w:t>., проф.</w:t>
      </w:r>
    </w:p>
    <w:p w14:paraId="01CA100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FD61205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127E211D" w14:textId="0A14BECA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</w:t>
      </w:r>
      <w:r w:rsidR="00A86EF2">
        <w:rPr>
          <w:rFonts w:ascii="Times New Roman" w:hAnsi="Times New Roman"/>
        </w:rPr>
        <w:t xml:space="preserve"> </w:t>
      </w:r>
      <w:r w:rsidRPr="00200223">
        <w:rPr>
          <w:rFonts w:ascii="Times New Roman" w:hAnsi="Times New Roman"/>
        </w:rPr>
        <w:t>З.)</w:t>
      </w:r>
    </w:p>
    <w:p w14:paraId="0BC9111B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67C07713" w14:textId="77777777" w:rsidR="00E84177" w:rsidRDefault="00E84177" w:rsidP="00E84177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Руководитель: доцент </w:t>
      </w:r>
      <w:r w:rsidRPr="0014324E">
        <w:rPr>
          <w:rFonts w:ascii="Times New Roman" w:hAnsi="Times New Roman"/>
          <w:sz w:val="26"/>
          <w:szCs w:val="26"/>
        </w:rPr>
        <w:t xml:space="preserve">каф. </w:t>
      </w:r>
      <w:proofErr w:type="spellStart"/>
      <w:r w:rsidRPr="0014324E">
        <w:rPr>
          <w:rFonts w:ascii="Times New Roman" w:hAnsi="Times New Roman"/>
          <w:sz w:val="26"/>
          <w:szCs w:val="26"/>
        </w:rPr>
        <w:t>ИТиЭО</w:t>
      </w:r>
      <w:proofErr w:type="spellEnd"/>
    </w:p>
    <w:p w14:paraId="5045836C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5CF968F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57CFBAFF" w14:textId="6243167D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A527AC">
        <w:rPr>
          <w:rFonts w:ascii="Times New Roman" w:hAnsi="Times New Roman"/>
        </w:rPr>
        <w:t>Жуков Н. Н.</w:t>
      </w:r>
      <w:r>
        <w:rPr>
          <w:rFonts w:ascii="Times New Roman" w:hAnsi="Times New Roman"/>
        </w:rPr>
        <w:t>)</w:t>
      </w:r>
    </w:p>
    <w:p w14:paraId="5745BAAD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9176A39" w14:textId="05140723" w:rsidR="0023257E" w:rsidRDefault="0094228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435667">
        <w:rPr>
          <w:rFonts w:ascii="Times New Roman" w:hAnsi="Times New Roman"/>
          <w:sz w:val="26"/>
          <w:szCs w:val="26"/>
        </w:rPr>
        <w:t>2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0252CB5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D4FE97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3DBCC67D" w14:textId="6ACA3CB3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A527AC">
        <w:rPr>
          <w:rFonts w:ascii="Times New Roman" w:hAnsi="Times New Roman"/>
        </w:rPr>
        <w:t>Зубанов А. А.</w:t>
      </w:r>
      <w:r>
        <w:rPr>
          <w:rFonts w:ascii="Times New Roman" w:hAnsi="Times New Roman"/>
        </w:rPr>
        <w:t>)</w:t>
      </w:r>
    </w:p>
    <w:p w14:paraId="28FB156C" w14:textId="77777777" w:rsidR="00266CA1" w:rsidRPr="00F96F17" w:rsidRDefault="00266CA1" w:rsidP="00DF6A71">
      <w:pPr>
        <w:rPr>
          <w:rFonts w:ascii="Times New Roman" w:hAnsi="Times New Roman"/>
          <w:sz w:val="26"/>
          <w:szCs w:val="26"/>
        </w:rPr>
      </w:pPr>
    </w:p>
    <w:p w14:paraId="35A5F059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3A025203" w14:textId="7D3B2153" w:rsidR="0023257E" w:rsidRPr="0094228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</w:t>
      </w:r>
      <w:r w:rsidR="00A86EF2">
        <w:rPr>
          <w:rFonts w:ascii="Times New Roman" w:hAnsi="Times New Roman"/>
          <w:sz w:val="26"/>
          <w:szCs w:val="26"/>
        </w:rPr>
        <w:t>20</w:t>
      </w:r>
      <w:r w:rsidR="002826AF">
        <w:rPr>
          <w:rFonts w:ascii="Times New Roman" w:hAnsi="Times New Roman"/>
          <w:sz w:val="26"/>
          <w:szCs w:val="26"/>
        </w:rPr>
        <w:t>26</w:t>
      </w:r>
    </w:p>
    <w:p>
      <w:pPr>
        <w:pStyle w:val="1"/>
        <w:keepNext/>
        <w:pageBreakBefore/>
      </w:pPr>
      <w:r>
        <w:t>Введение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В ходе учебной технологической (проектно-технологической) практики работа над MindFlow охватывала десять заданий в четырёх направлениях: подготовку аудиоматериалов для генерации и микширования, донастройку аудиодвижка, разработку пользовательского формата «Мой микс» и формата «Сценарии».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В отчёте рассмотрены структура аудиотеки, синхронное воспроизведение звуковых слоёв и связь аудиодвижка с новыми форматами сессий. Основой описания служат исходный код и аудиоресурсы рабочего проекта MindFlow.</w:t>
      </w:r>
    </w:p>
    <w:p>
      <w:pPr>
        <w:pStyle w:val="1"/>
        <w:keepNext/>
      </w:pPr>
      <w:r>
        <w:t>I. Инвариантная самостоятельная работа</w:t>
      </w:r>
    </w:p>
    <w:p>
      <w:pPr>
        <w:pStyle w:val="2"/>
        <w:keepNext/>
      </w:pPr>
      <w:r>
        <w:t>Задание 1.1. Создание аудиослоёв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Для генеративного микширования звук организован в четыре функциональные роли: drone задаёт низкочастотную основу, pad формирует гармоническое пространство, texture добавляет фактуру окружения, pulse отвечает за ритмическое движение. Такое разделение позволяет изменять баланс сцены без замены всей композиции.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В рабочем каталоге assets/audio/core_states находятся варианты для восьми основных состояний: спокойствие, тревога, стресс, сон, фокус, грусть, энергия и настрой. Для каждого состояния зарегистрированы три сета. Всего это 24 сета; 22 из них содержат по четыре слышимых слоя. В двух сетах сна pulse отсутствует по замыслу и замещается технической тишиной при переходе.</w:t>
      </w:r>
    </w:p>
    <w:p>
      <w:pPr>
        <w:pStyle w:val="2"/>
        <w:keepNext/>
      </w:pPr>
      <w:r>
        <w:t>Задание 1.2. Подготовка файлов к микшированию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Слои одного сета должны начинаться с общего нулевого кадра и иметь одинаковое число аудиокадров: тогда они воспроизводятся синхронно и могут заменяться на границе цикла. В текущем каталоге основные сеты представлены стереофайлами FLAC с частотой 48 кГц и разрядностью 24 бита. Проверка метаданных показывает одинаковую длительность активных ролей внутри каждого сета; длительность разных сетов одного состояния может различаться.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Отдельная рабочая библиотека MUSIC содержит WAV-файлы звуковых слоёв и коротких событий. Для включения в приложение материал распределён по состояниям, ролям и номерам сетов. Звуковые сочетания формируются из отдельных файлов, что позволяет создавать отличающиеся варианты одной сцены.</w:t>
      </w:r>
    </w:p>
    <w:p>
      <w:pPr>
        <w:pStyle w:val="2"/>
        <w:keepNext/>
      </w:pPr>
      <w:r>
        <w:t>Задание 1.3. Включение аудио в проект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Соответствие состояний, сетов и ролей задаётся в lib/shared/audio/soundscape_config.dart. Конфигурация содержит путь к файлу каждой роли и параметры длительности цикла. Для состояния «Стресс» третий сет подключён к конфигурации и содержит четыре согласованных FLAC-файла: drone, pad, texture и pulse. Все четыре файла имеют по 14 628 572 кадра, что соответствует 304,761917 секунды при 48 кГц.</w:t>
      </w:r>
    </w:p>
    <w:p>
      <w:pPr>
        <w:pStyle w:val="11"/>
        <w:keepLines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Автор практики подтверждает, что все аудиоматериалы MindFlow принадлежат ему. Уникальные варианты звуковых сцен подготовлены из его аудиослоёв для генеративной сборки и микширования.</w:t>
      </w:r>
    </w:p>
    <w:p>
      <w:pPr>
        <w:pStyle w:val="1"/>
        <w:keepNext/>
      </w:pPr>
      <w:r>
        <w:t>II. Донастройка аудиодвижка</w:t>
      </w:r>
    </w:p>
    <w:p>
      <w:pPr>
        <w:pStyle w:val="2"/>
        <w:keepNext/>
      </w:pPr>
      <w:r>
        <w:t>Задание 2.1. Управление многослойным миксом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Логика приложения на Flutter/Dart передаёт команды загрузки и управления звуком через MethodChannel mindflow_audio. На iOS и macOS нативный слой использует AVAudioEngine: основные роли воспроизводятся отдельными узлами, затем объединяются в микшере и проходят через цепь эффектов. Это даёт возможность изменять громкость отдельных ролей и параметры обработки во время сессии.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Модуль SoundscapeEngine рассчитывает уровни drone, pad, texture и pulse, а также параметры фильтра, реверберации и задержки с учётом выбранной сцены. Нативная команда updateMix применяет эти значения к аудиографу. Так пользователь получает изменение характера звуковой сцены без прерывания воспроизведения.</w:t>
      </w:r>
    </w:p>
    <w:p>
      <w:pPr>
        <w:pStyle w:val="2"/>
        <w:keepNext/>
      </w:pPr>
      <w:r>
        <w:t>Задание 2.2. Синхронизация циклов и переходы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При строгой загрузке движок проверяет частоту 48 кГц, стереоформат и равное число кадров слышимых ролей одного сета. Планировщик готовит переходы по общей покадровой сетке и выбирает момент, когда входящий слой сможет прозвучать хотя бы один полный цикл до завершения сессии. Переход, который не помещается в оставшееся время, не запускается.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Переход между вариантами звучания выполняется кроссфейдом: громкость исходного слоя уменьшается, а нового увеличивается. Длительность автоматического перехода ограничена диапазоном от двух до четырёх минут и длиной первого цикла входящего файла. На нативной стороне предусмотрены проверки несовместимых циклов и защита от наложения переходов одной роли.</w:t>
      </w:r>
    </w:p>
    <w:p>
      <w:pPr>
        <w:pStyle w:val="1"/>
        <w:keepNext/>
      </w:pPr>
      <w:r>
        <w:t>III. Формат «Мой микс»</w:t>
      </w:r>
    </w:p>
    <w:p>
      <w:pPr>
        <w:pStyle w:val="2"/>
        <w:keepNext/>
      </w:pPr>
      <w:r>
        <w:t>Задание 3.1. Выбор состояния и фона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Формат «Мой микс» в интерфейсе приложения назван «Свой микс». Пользователь проходит три шага: вводный экран, выбор одного из восьми состояний и настройку фонового окружения. В каталоге доступны восемь фоновых профилей; на последнем шаге можно изменить соотношение основного состояния и фона двумя регуляторами.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Экран выбора связан с общим маршрутом сессии: выбранные состояние, звуковая сцена и фон передаются в SessionScreen. Это позволяет сформировать собственный вариант звучания из подготовленных ресурсов без отдельного готового файла для каждой комбинации.</w:t>
      </w:r>
    </w:p>
    <w:p>
      <w:pPr>
        <w:pStyle w:val="2"/>
        <w:keepNext/>
      </w:pPr>
      <w:r>
        <w:t>Задание 3.2. Применение пользовательского баланса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Объект SessionMixConfig хранит идентификатор фона и два уровня громкости. При построении аудиоплана фоновый профиль заменяет одну из ролей исходного сета, а остальные роли сохраняют базовую структуру сцены. Настройки изменяют уровни состояния и фона; допустимый уровень фона ограничивается его профилем.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Для профилей заданы совместимость со сценами и технические параметры, включая роль заменяемого слоя. Поэтому приложение может применять один и тот же пользовательский маршрут к разным состояниям, учитывая ограничения конкретного окружения.</w:t>
      </w:r>
    </w:p>
    <w:p>
      <w:pPr>
        <w:pStyle w:val="2"/>
        <w:keepNext/>
      </w:pPr>
      <w:r>
        <w:t>Задание 3.3. Прослушивание и повторный запуск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Перед запуском сеанса пользователь может прослушать выбранное сочетание в течение 12 секунд. Предпрослушивание загружает начальные слои сформированного аудиоплана и плавно повышает громкость после запуска. После подтверждения выбранные параметры передаются в полноценную сессию.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Из экрана сессии микс можно сохранить в избранное вместе с состоянием, фоном, длительностью и уровнями. Экран избранного восстанавливает эти параметры при повторном запуске. Это завершает пользовательский путь от подбора звучания до его повторного использования.</w:t>
      </w:r>
    </w:p>
    <w:p>
      <w:pPr>
        <w:pStyle w:val="1"/>
        <w:keepNext/>
      </w:pPr>
      <w:r>
        <w:t>IV. Формат «Сценарии»</w:t>
      </w:r>
    </w:p>
    <w:p>
      <w:pPr>
        <w:pStyle w:val="2"/>
        <w:keepNext/>
      </w:pPr>
      <w:r>
        <w:t>Задание 4.1. Каталог и план этапов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В проекте описаны 12 многоэтапных сценариев, распределённых по четырём категориям: утро, фокус, восстановление и сон. Каждый этап содержит состояние, сцену, фоновое окружение и длительность. Экран формата показывает каталог с фильтрами, карточку выбранного сценария и последовательность этапов перед началом сеанса.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Сценарий опирается на существующие аудиосеты состояний: отдельные аудиофайлы для каждого сценария не требуются. Последовательность этапов определяет, какое состояние и окружение будут активны в соответствующий промежуток времени.</w:t>
      </w:r>
    </w:p>
    <w:p>
      <w:pPr>
        <w:pStyle w:val="2"/>
        <w:keepNext/>
      </w:pPr>
      <w:r>
        <w:t>Задание 4.2. Управление переходами между этапами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При включённых автоматических переходах в сессию передаётся полное определение сценария. ScenarioRuntimeController хранит текущий этап, время и общий прогресс, обрабатывает паузу и завершение. SessionManager отслеживает окончание этапа, а SessionRunner меняет сцену и звуковой микс, загружает нужные слои и выполняет плавный переход.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Если автоматические переходы выключены, запуск начинается с первого этапа без последовательного прохождения всего сценария. Такой режим позволяет использовать отдельную часть сценария как самостоятельную сессию.</w:t>
      </w:r>
    </w:p>
    <w:p>
      <w:pPr>
        <w:pStyle w:val="1"/>
        <w:keepNext/>
      </w:pPr>
      <w:r>
        <w:t>V. Проверка результата и выводы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В проекте присутствуют автоматические тесты конфигурации аудио, планировщика переходов, пользовательского микса и сценарного контроллера. Анализ аудиоресурсов подтверждает наличие 24 сетов для восьми основных состояний и согласованность параметров активных слоёв внутри каждого сета. При этом некоторые сеты состояния «Грусть» различаются по длительности между собой, поэтому для каждого сета используется своя временная сетка.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В результате подготовлена библиотека вариантов звуковых слоёв, донастроена логика многослойного микширования и переходов, а также связаны с аудиодвижком два пользовательских формата — «Мой микс» и «Сценарии». Перед выпуском необходимо прослушать сочетания на целевых устройствах.</w:t>
      </w:r>
    </w:p>
    <w:p>
      <w:pPr>
        <w:pStyle w:val="1"/>
        <w:keepNext/>
        <w:pageBreakBefore/>
      </w:pPr>
      <w:r>
        <w:t>Материалы работы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Исходный проект: MindFlow APP.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Аудиоресурсы: assets/audio/core_states и отдельная рабочая библиотека MUSIC.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Конфигурация сетов: lib/shared/audio/soundscape_config.dart.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Логика микширования и переходов: lib/shared/audio/soundscape_engine.dart и lib/shared/audio/runtime_soundscape_arranger.dart.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Нативный аудиодвижок: ios/Runner/AppDelegate.swift и macos/Runner/AppDelegate.swift.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Формат «Мой микс»: lib/features/session_formats/mix/mix_flow_screen.dart и lib/shared/audio/session_mix_config.dart.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Формат «Сценарии»: lib/features/session_formats/scenarios и lib/features/session/logic/session_manager.dart.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Каталог аудиоматериалов и параметры сетов: evidence/audio-catalog.md и evidence/audio-catalog.csv.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sz w:val="22"/>
        </w:rPr>
        <w:t>Электронное портфолио практики: https://github.com/AndrewCaulaincourt/practice-2026-course-2</w:t>
      </w:r>
    </w:p>
    <w:p>
      <w:pPr>
        <w:spacing w:before="160" w:after="200"/>
        <w:jc w:val="left"/>
      </w:pPr>
      <w:r>
        <w:drawing>
          <wp:inline xmlns:a="http://schemas.openxmlformats.org/drawingml/2006/main" xmlns:pic="http://schemas.openxmlformats.org/drawingml/2006/picture">
            <wp:extent cx="1116000" cy="111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sitory-q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16000" cy="1116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18"/>
        </w:rPr>
        <w:br/>
        <w:t>QR-код электронного портфолио</w:t>
      </w:r>
    </w:p>
    <w:p>
      <w:pPr>
        <w:spacing w:before="560" w:after="120" w:line="278" w:lineRule="auto"/>
      </w:pPr>
      <w:r>
        <w:rPr>
          <w:rFonts w:ascii="Times New Roman" w:hAnsi="Times New Roman"/>
          <w:b w:val="0"/>
          <w:sz w:val="24"/>
        </w:rPr>
        <w:t>Руководитель практики ____________________________</w:t>
      </w:r>
    </w:p>
    <w:p>
      <w:pPr>
        <w:spacing w:after="120" w:line="278" w:lineRule="auto"/>
      </w:pPr>
      <w:r>
        <w:rPr>
          <w:rFonts w:ascii="Times New Roman" w:hAnsi="Times New Roman"/>
          <w:b w:val="0"/>
          <w:sz w:val="24"/>
        </w:rPr>
        <w:t>Задание выполнил _____________________</w:t>
      </w:r>
    </w:p>
    <w:sectPr w:rsidR="001C3D11" w:rsidRPr="00B65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F51CF"/>
    <w:multiLevelType w:val="hybridMultilevel"/>
    <w:tmpl w:val="3AB2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52C6A"/>
    <w:multiLevelType w:val="hybridMultilevel"/>
    <w:tmpl w:val="418C1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382001">
    <w:abstractNumId w:val="4"/>
  </w:num>
  <w:num w:numId="2" w16cid:durableId="705646282">
    <w:abstractNumId w:val="11"/>
  </w:num>
  <w:num w:numId="3" w16cid:durableId="290745611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 w16cid:durableId="5661072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18213185">
    <w:abstractNumId w:val="1"/>
  </w:num>
  <w:num w:numId="6" w16cid:durableId="474493126">
    <w:abstractNumId w:val="9"/>
  </w:num>
  <w:num w:numId="7" w16cid:durableId="2060199525">
    <w:abstractNumId w:val="0"/>
  </w:num>
  <w:num w:numId="8" w16cid:durableId="1982347397">
    <w:abstractNumId w:val="8"/>
  </w:num>
  <w:num w:numId="9" w16cid:durableId="12099916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6149970">
    <w:abstractNumId w:val="3"/>
  </w:num>
  <w:num w:numId="11" w16cid:durableId="809637429">
    <w:abstractNumId w:val="10"/>
  </w:num>
  <w:num w:numId="12" w16cid:durableId="197814812">
    <w:abstractNumId w:val="5"/>
  </w:num>
  <w:num w:numId="13" w16cid:durableId="1766807889">
    <w:abstractNumId w:val="7"/>
  </w:num>
  <w:num w:numId="14" w16cid:durableId="1145124064">
    <w:abstractNumId w:val="12"/>
  </w:num>
  <w:num w:numId="15" w16cid:durableId="1335260288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D0A"/>
    <w:rsid w:val="00031BA3"/>
    <w:rsid w:val="000565D9"/>
    <w:rsid w:val="00070D8A"/>
    <w:rsid w:val="000A7B5F"/>
    <w:rsid w:val="000D1BC2"/>
    <w:rsid w:val="000F705E"/>
    <w:rsid w:val="00110FCB"/>
    <w:rsid w:val="001235F7"/>
    <w:rsid w:val="00131221"/>
    <w:rsid w:val="0014324E"/>
    <w:rsid w:val="00181A3F"/>
    <w:rsid w:val="00193E34"/>
    <w:rsid w:val="001B7F80"/>
    <w:rsid w:val="001C3D11"/>
    <w:rsid w:val="001D20CF"/>
    <w:rsid w:val="00200223"/>
    <w:rsid w:val="0023257E"/>
    <w:rsid w:val="002425F4"/>
    <w:rsid w:val="00266CA1"/>
    <w:rsid w:val="002809C8"/>
    <w:rsid w:val="002826AF"/>
    <w:rsid w:val="0028485F"/>
    <w:rsid w:val="002B5B8D"/>
    <w:rsid w:val="002D6D81"/>
    <w:rsid w:val="002E46CE"/>
    <w:rsid w:val="00383791"/>
    <w:rsid w:val="003F6D62"/>
    <w:rsid w:val="00407AAF"/>
    <w:rsid w:val="00435667"/>
    <w:rsid w:val="004403F6"/>
    <w:rsid w:val="004818EC"/>
    <w:rsid w:val="00527BA8"/>
    <w:rsid w:val="005441C0"/>
    <w:rsid w:val="00546A13"/>
    <w:rsid w:val="005A09E8"/>
    <w:rsid w:val="005A6407"/>
    <w:rsid w:val="005C42F7"/>
    <w:rsid w:val="005D72D8"/>
    <w:rsid w:val="00604755"/>
    <w:rsid w:val="00616045"/>
    <w:rsid w:val="006840C5"/>
    <w:rsid w:val="00696163"/>
    <w:rsid w:val="00697731"/>
    <w:rsid w:val="006A67A5"/>
    <w:rsid w:val="006B71C3"/>
    <w:rsid w:val="006E1784"/>
    <w:rsid w:val="00711D36"/>
    <w:rsid w:val="007160F6"/>
    <w:rsid w:val="00731DE5"/>
    <w:rsid w:val="00773EB4"/>
    <w:rsid w:val="00815166"/>
    <w:rsid w:val="00841070"/>
    <w:rsid w:val="00850884"/>
    <w:rsid w:val="00855992"/>
    <w:rsid w:val="00856800"/>
    <w:rsid w:val="00876083"/>
    <w:rsid w:val="008B0F57"/>
    <w:rsid w:val="008B319F"/>
    <w:rsid w:val="008D6C1E"/>
    <w:rsid w:val="008E1DBD"/>
    <w:rsid w:val="0090262D"/>
    <w:rsid w:val="00934117"/>
    <w:rsid w:val="0094228E"/>
    <w:rsid w:val="009A3D0A"/>
    <w:rsid w:val="00A10C97"/>
    <w:rsid w:val="00A11F38"/>
    <w:rsid w:val="00A261AA"/>
    <w:rsid w:val="00A44371"/>
    <w:rsid w:val="00A527AC"/>
    <w:rsid w:val="00A86EF2"/>
    <w:rsid w:val="00AF53B9"/>
    <w:rsid w:val="00AF7296"/>
    <w:rsid w:val="00B036B8"/>
    <w:rsid w:val="00B04666"/>
    <w:rsid w:val="00B203AE"/>
    <w:rsid w:val="00B65FCF"/>
    <w:rsid w:val="00C257E8"/>
    <w:rsid w:val="00C46D3A"/>
    <w:rsid w:val="00C53500"/>
    <w:rsid w:val="00C638A8"/>
    <w:rsid w:val="00CA0FA3"/>
    <w:rsid w:val="00CF07E5"/>
    <w:rsid w:val="00D57343"/>
    <w:rsid w:val="00D610C8"/>
    <w:rsid w:val="00D63C74"/>
    <w:rsid w:val="00DD15C1"/>
    <w:rsid w:val="00DF6A71"/>
    <w:rsid w:val="00E01D4A"/>
    <w:rsid w:val="00E2610B"/>
    <w:rsid w:val="00E44229"/>
    <w:rsid w:val="00E84177"/>
    <w:rsid w:val="00E85984"/>
    <w:rsid w:val="00EB456D"/>
    <w:rsid w:val="00EB62E3"/>
    <w:rsid w:val="00EC1019"/>
    <w:rsid w:val="00EC1EF3"/>
    <w:rsid w:val="00ED19B6"/>
    <w:rsid w:val="00ED3AE0"/>
    <w:rsid w:val="00F165DC"/>
    <w:rsid w:val="00F435CC"/>
    <w:rsid w:val="00F62572"/>
    <w:rsid w:val="00F64849"/>
    <w:rsid w:val="00F96F17"/>
    <w:rsid w:val="00FA2AF2"/>
    <w:rsid w:val="00FD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55CC08"/>
  <w15:docId w15:val="{AD30DAA5-7680-48EA-9236-1A15D534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6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7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b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c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86EF2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4356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BB8F5-4E40-0547-B2C8-DDCC243CD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823</Words>
  <Characters>4694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Herzen University</Company>
  <LinksUpToDate>false</LinksUpToDate>
  <CharactersWithSpaces>5506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Practice report example</dc:subject>
  <dc:creator>Nikolai Zhukov</dc:creator>
  <cp:lastModifiedBy>Андрей Романов</cp:lastModifiedBy>
  <cp:revision>25</cp:revision>
  <cp:lastPrinted>2015-03-24T07:53:00Z</cp:lastPrinted>
  <dcterms:created xsi:type="dcterms:W3CDTF">2021-08-30T13:06:00Z</dcterms:created>
  <dcterms:modified xsi:type="dcterms:W3CDTF">2026-10-01T14:53:00Z</dcterms:modified>
</cp:coreProperties>
</file>