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A2C2A"/>
          <w:sz w:val="36"/>
        </w:rPr>
        <w:t>Product Build Guidelines and Wood Selection</w:t>
      </w:r>
    </w:p>
    <w:p>
      <w:r>
        <w:rPr>
          <w:b/>
        </w:rPr>
        <w:t>Classification: Public</w:t>
      </w:r>
    </w:p>
    <w:p>
      <w:r>
        <w:t>This demo uses a fictional Microsoft Fake Company created for demonstration purposes. Any resemblance to real organizations, people, products, services, or data is coincidental. Do not use customer confidential information in this repository.</w:t>
      </w:r>
    </w:p>
    <w:p>
      <w:pPr>
        <w:pStyle w:val="Heading1"/>
      </w:pPr>
      <w:r>
        <w:t>Guideline objective</w:t>
      </w:r>
    </w:p>
    <w:p>
      <w:r>
        <w:t>This fictional document grounds a Copilot chat agent that helps production planners, luthiers, and sales engineers reason over model families, wood types, substitutions, and availability.</w:t>
      </w:r>
    </w:p>
    <w:p>
      <w:pPr>
        <w:pStyle w:val="Heading1"/>
      </w:pPr>
      <w:r>
        <w:t>Model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 family</w:t>
            </w:r>
          </w:p>
        </w:tc>
        <w:tc>
          <w:tcPr>
            <w:tcW w:type="dxa" w:w="2160"/>
          </w:tcPr>
          <w:p>
            <w:r>
              <w:t>Primary voice</w:t>
            </w:r>
          </w:p>
        </w:tc>
        <w:tc>
          <w:tcPr>
            <w:tcW w:type="dxa" w:w="2160"/>
          </w:tcPr>
          <w:p>
            <w:r>
              <w:t>Recommended woods</w:t>
            </w:r>
          </w:p>
        </w:tc>
        <w:tc>
          <w:tcPr>
            <w:tcW w:type="dxa" w:w="2160"/>
          </w:tcPr>
          <w:p>
            <w:r>
              <w:t>Accessory bundle</w:t>
            </w:r>
          </w:p>
        </w:tc>
      </w:tr>
      <w:tr>
        <w:tc>
          <w:tcPr>
            <w:tcW w:type="dxa" w:w="2160"/>
          </w:tcPr>
          <w:p>
            <w:r>
              <w:t>Aurora Dreadnought</w:t>
            </w:r>
          </w:p>
        </w:tc>
        <w:tc>
          <w:tcPr>
            <w:tcW w:type="dxa" w:w="2160"/>
          </w:tcPr>
          <w:p>
            <w:r>
              <w:t>Balanced strum with strong projection</w:t>
            </w:r>
          </w:p>
        </w:tc>
        <w:tc>
          <w:tcPr>
            <w:tcW w:type="dxa" w:w="2160"/>
          </w:tcPr>
          <w:p>
            <w:r>
              <w:t>Spruce soundboard, mahogany or walnut back and sides</w:t>
            </w:r>
          </w:p>
        </w:tc>
        <w:tc>
          <w:tcPr>
            <w:tcW w:type="dxa" w:w="2160"/>
          </w:tcPr>
          <w:p>
            <w:r>
              <w:t>Hardshell case, phosphor bronze strings, humidifier kit</w:t>
            </w:r>
          </w:p>
        </w:tc>
      </w:tr>
      <w:tr>
        <w:tc>
          <w:tcPr>
            <w:tcW w:type="dxa" w:w="2160"/>
          </w:tcPr>
          <w:p>
            <w:r>
              <w:t>Harbor OM</w:t>
            </w:r>
          </w:p>
        </w:tc>
        <w:tc>
          <w:tcPr>
            <w:tcW w:type="dxa" w:w="2160"/>
          </w:tcPr>
          <w:p>
            <w:r>
              <w:t>Fingerstyle clarity and studio articulation</w:t>
            </w:r>
          </w:p>
        </w:tc>
        <w:tc>
          <w:tcPr>
            <w:tcW w:type="dxa" w:w="2160"/>
          </w:tcPr>
          <w:p>
            <w:r>
              <w:t>Spruce or cedar soundboard, rosewood alternative back and sides</w:t>
            </w:r>
          </w:p>
        </w:tc>
        <w:tc>
          <w:tcPr>
            <w:tcW w:type="dxa" w:w="2160"/>
          </w:tcPr>
          <w:p>
            <w:r>
              <w:t>Coated strings, premium strap</w:t>
            </w:r>
          </w:p>
        </w:tc>
      </w:tr>
      <w:tr>
        <w:tc>
          <w:tcPr>
            <w:tcW w:type="dxa" w:w="2160"/>
          </w:tcPr>
          <w:p>
            <w:r>
              <w:t>Trail Mini</w:t>
            </w:r>
          </w:p>
        </w:tc>
        <w:tc>
          <w:tcPr>
            <w:tcW w:type="dxa" w:w="2160"/>
          </w:tcPr>
          <w:p>
            <w:r>
              <w:t>Travel-friendly resilience</w:t>
            </w:r>
          </w:p>
        </w:tc>
        <w:tc>
          <w:tcPr>
            <w:tcW w:type="dxa" w:w="2160"/>
          </w:tcPr>
          <w:p>
            <w:r>
              <w:t>HPL-style top, sapele neck</w:t>
            </w:r>
          </w:p>
        </w:tc>
        <w:tc>
          <w:tcPr>
            <w:tcW w:type="dxa" w:w="2160"/>
          </w:tcPr>
          <w:p>
            <w:r>
              <w:t>Soft case, humidifier kit</w:t>
            </w:r>
          </w:p>
        </w:tc>
      </w:tr>
      <w:tr>
        <w:tc>
          <w:tcPr>
            <w:tcW w:type="dxa" w:w="2160"/>
          </w:tcPr>
          <w:p>
            <w:r>
              <w:t>Foundry Custom</w:t>
            </w:r>
          </w:p>
        </w:tc>
        <w:tc>
          <w:tcPr>
            <w:tcW w:type="dxa" w:w="2160"/>
          </w:tcPr>
          <w:p>
            <w:r>
              <w:t>Premium stage and collector voice</w:t>
            </w:r>
          </w:p>
        </w:tc>
        <w:tc>
          <w:tcPr>
            <w:tcW w:type="dxa" w:w="2160"/>
          </w:tcPr>
          <w:p>
            <w:r>
              <w:t>Adirondack-style top, maple or walnut body</w:t>
            </w:r>
          </w:p>
        </w:tc>
        <w:tc>
          <w:tcPr>
            <w:tcW w:type="dxa" w:w="2160"/>
          </w:tcPr>
          <w:p>
            <w:r>
              <w:t>Premium case, coated strings</w:t>
            </w:r>
          </w:p>
        </w:tc>
      </w:tr>
    </w:tbl>
    <w:p>
      <w:pPr>
        <w:pStyle w:val="Heading1"/>
      </w:pPr>
      <w:r>
        <w:t>Wood substitution rules</w:t>
      </w:r>
    </w:p>
    <w:p>
      <w:pPr>
        <w:pStyle w:val="ListBullet"/>
      </w:pPr>
      <w:r>
        <w:t>If a soundboard wood is high risk, propose another documented low-risk soundboard wood before changing model family.</w:t>
      </w:r>
    </w:p>
    <w:p>
      <w:pPr>
        <w:pStyle w:val="ListBullet"/>
      </w:pPr>
      <w:r>
        <w:t>If back-and-side material availability is below the build requirement, suggest a tonal alternative and call out customer-positioning impact.</w:t>
      </w:r>
    </w:p>
    <w:p>
      <w:pPr>
        <w:pStyle w:val="ListBullet"/>
      </w:pPr>
      <w:r>
        <w:t>For custom-shop work, preserve grade requirement before optimizing for cost.</w:t>
      </w:r>
    </w:p>
    <w:p>
      <w:pPr>
        <w:pStyle w:val="ListBullet"/>
      </w:pPr>
      <w:r>
        <w:t>For production runs, prefer documented or certified sustainability status.</w:t>
      </w:r>
    </w:p>
    <w:p>
      <w:pPr>
        <w:pStyle w:val="Heading1"/>
      </w:pPr>
      <w:r>
        <w:t>Agent response pattern</w:t>
      </w:r>
    </w:p>
    <w:p>
      <w:r>
        <w:t>Answer with recommended material IDs from the wood workbook, the build implication, an availability note, and a concise caveat when a substitution changes tone, price tier, or lead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2C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A2C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A2C2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