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2C2A"/>
          <w:sz w:val="36"/>
        </w:rPr>
        <w:t>Northstar Acoustic Works Sales Brief Template</w:t>
      </w:r>
    </w:p>
    <w:p>
      <w:r>
        <w:rPr>
          <w:b/>
        </w:rPr>
        <w:t>Classification: Public</w:t>
      </w:r>
    </w:p>
    <w:p>
      <w:r>
        <w:t>This demo uses a fictional Microsoft Fake Company created for demonstration purposes. Any resemblance to real organizations, people, products, services, or data is coincidental. Do not use customer confidential information in this repository.</w:t>
      </w:r>
    </w:p>
    <w:p>
      <w:pPr>
        <w:pStyle w:val="Heading1"/>
      </w:pPr>
      <w:r>
        <w:t>Executive context</w:t>
      </w:r>
    </w:p>
    <w:p>
      <w:r>
        <w:t>Northstar Acoustic Works is a fictional Microsoft Fake Company that manufactures acoustic guitars, ukuleles, strings, cases, and care accessories. The brief is designed for a Word agent chained after the Analyst agent creates an updated regional sales workbook from the dashboard template.</w:t>
      </w:r>
    </w:p>
    <w:p>
      <w:pPr>
        <w:pStyle w:val="Heading1"/>
      </w:pPr>
      <w:r>
        <w:t>Market news themes to incorporate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Public inspiration</w:t>
            </w:r>
          </w:p>
        </w:tc>
        <w:tc>
          <w:tcPr>
            <w:tcW w:type="dxa" w:w="2880"/>
          </w:tcPr>
          <w:p>
            <w:r>
              <w:t>How the Word agent should use it</w:t>
            </w:r>
          </w:p>
        </w:tc>
      </w:tr>
      <w:tr>
        <w:tc>
          <w:tcPr>
            <w:tcW w:type="dxa" w:w="2880"/>
          </w:tcPr>
          <w:p>
            <w:r>
              <w:t>Craftsmanship and player journey</w:t>
            </w:r>
          </w:p>
        </w:tc>
        <w:tc>
          <w:tcPr>
            <w:tcW w:type="dxa" w:w="2880"/>
          </w:tcPr>
          <w:p>
            <w:r>
              <w:t>Public guitar-manufacturer messaging emphasizes heritage, tone, body styles, materials, and instruments for players at different stages.</w:t>
            </w:r>
          </w:p>
        </w:tc>
        <w:tc>
          <w:tcPr>
            <w:tcW w:type="dxa" w:w="2880"/>
          </w:tcPr>
          <w:p>
            <w:r>
              <w:t>Connect high-margin models to buyer segments without naming real competitors in sample data.</w:t>
            </w:r>
          </w:p>
        </w:tc>
      </w:tr>
      <w:tr>
        <w:tc>
          <w:tcPr>
            <w:tcW w:type="dxa" w:w="2880"/>
          </w:tcPr>
          <w:p>
            <w:r>
              <w:t>Tariff and import uncertainty</w:t>
            </w:r>
          </w:p>
        </w:tc>
        <w:tc>
          <w:tcPr>
            <w:tcW w:type="dxa" w:w="2880"/>
          </w:tcPr>
          <w:p>
            <w:r>
              <w:t>Public music-products trade coverage points to tariff pressure and import volatility.</w:t>
            </w:r>
          </w:p>
        </w:tc>
        <w:tc>
          <w:tcPr>
            <w:tcW w:type="dxa" w:w="2880"/>
          </w:tcPr>
          <w:p>
            <w:r>
              <w:t>Frame supply and margin risk generically; do not claim real customer impact.</w:t>
            </w:r>
          </w:p>
        </w:tc>
      </w:tr>
      <w:tr>
        <w:tc>
          <w:tcPr>
            <w:tcW w:type="dxa" w:w="2880"/>
          </w:tcPr>
          <w:p>
            <w:r>
              <w:t>Accessory attach rate</w:t>
            </w:r>
          </w:p>
        </w:tc>
        <w:tc>
          <w:tcPr>
            <w:tcW w:type="dxa" w:w="2880"/>
          </w:tcPr>
          <w:p>
            <w:r>
              <w:t>Strings, cases, humidifiers, and straps are common guitar-commerce extensions.</w:t>
            </w:r>
          </w:p>
        </w:tc>
        <w:tc>
          <w:tcPr>
            <w:tcW w:type="dxa" w:w="2880"/>
          </w:tcPr>
          <w:p>
            <w:r>
              <w:t>Recommend cross-sell motion by region and channel.</w:t>
            </w:r>
          </w:p>
        </w:tc>
      </w:tr>
    </w:tbl>
    <w:p>
      <w:pPr>
        <w:pStyle w:val="Heading1"/>
      </w:pPr>
      <w:r>
        <w:t>Required sections for generated brief</w:t>
      </w:r>
    </w:p>
    <w:p>
      <w:pPr>
        <w:pStyle w:val="ListBullet"/>
      </w:pPr>
      <w:r>
        <w:t>One-paragraph executive summary with the strongest regional growth story.</w:t>
      </w:r>
    </w:p>
    <w:p>
      <w:pPr>
        <w:pStyle w:val="ListBullet"/>
      </w:pPr>
      <w:r>
        <w:t>Three KPI callouts: revenue, gross margin percentage, and accessory attach opportunity.</w:t>
      </w:r>
    </w:p>
    <w:p>
      <w:pPr>
        <w:pStyle w:val="ListBullet"/>
      </w:pPr>
      <w:r>
        <w:t>Regional risk narrative using only the synthetic workbook.</w:t>
      </w:r>
    </w:p>
    <w:p>
      <w:pPr>
        <w:pStyle w:val="ListBullet"/>
      </w:pPr>
      <w:r>
        <w:t>Market-news paragraph that cites public source URLs already listed in the repository.</w:t>
      </w:r>
    </w:p>
    <w:p>
      <w:pPr>
        <w:pStyle w:val="ListBullet"/>
      </w:pPr>
      <w:r>
        <w:t>Recommended next actions for sales, supply planning, and dealer enablement.</w:t>
      </w:r>
    </w:p>
    <w:p>
      <w:pPr>
        <w:pStyle w:val="Heading1"/>
      </w:pPr>
      <w:r>
        <w:t>Source artifact references</w:t>
      </w:r>
    </w:p>
    <w:p>
      <w:pPr>
        <w:pStyle w:val="ListBullet"/>
      </w:pPr>
      <w:r>
        <w:t>artifacts/Northstar_Acoustic_Works_Sales_Dashboard_Template.xlsx</w:t>
      </w:r>
    </w:p>
    <w:p>
      <w:pPr>
        <w:pStyle w:val="ListBullet"/>
      </w:pPr>
      <w:r>
        <w:t>sample-data/all_regions_sales.csv</w:t>
      </w:r>
    </w:p>
    <w:p>
      <w:pPr>
        <w:pStyle w:val="ListBullet"/>
      </w:pPr>
      <w:r>
        <w:t>sample-data/*_regional_sales.xlsx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2C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A2C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A2C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