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C2A"/>
          <w:sz w:val="36"/>
        </w:rPr>
        <w:t>Shop Accident Response SOP</w:t>
      </w:r>
    </w:p>
    <w:p>
      <w:r>
        <w:rPr>
          <w:b/>
        </w:rPr>
        <w:t>Classification: Public</w:t>
      </w:r>
    </w:p>
    <w:p>
      <w:r>
        <w:t>This demo uses a fictional Microsoft Fake Company created for demonstration purposes. Any resemblance to real organizations, people, products, services, or data is coincidental. Do not use customer confidential information in this repository.</w:t>
      </w:r>
    </w:p>
    <w:p>
      <w:pPr>
        <w:pStyle w:val="Heading1"/>
      </w:pPr>
      <w:r>
        <w:t>Purpose</w:t>
      </w:r>
    </w:p>
    <w:p>
      <w:r>
        <w:t>This fictional SOP grounds a SharePoint agent that helps supervisors find the correct response steps for minor injuries, equipment incidents, material handling events, and near misses in an acoustic-instrument shop.</w:t>
      </w:r>
    </w:p>
    <w:p>
      <w:pPr>
        <w:pStyle w:val="Heading1"/>
      </w:pPr>
      <w:r>
        <w:t>Immediate response protocol</w:t>
      </w:r>
    </w:p>
    <w:p>
      <w:pPr>
        <w:pStyle w:val="ListNumber"/>
      </w:pPr>
      <w:r>
        <w:t>Stop work in the affected cell and secure moving equipment.</w:t>
      </w:r>
    </w:p>
    <w:p>
      <w:pPr>
        <w:pStyle w:val="ListNumber"/>
      </w:pPr>
      <w:r>
        <w:t>Assess whether emergency services are required; call site safety lead for any uncertain case.</w:t>
      </w:r>
    </w:p>
    <w:p>
      <w:pPr>
        <w:pStyle w:val="ListNumber"/>
      </w:pPr>
      <w:r>
        <w:t>Move unaffected employees away from the hazard without disturbing the incident area.</w:t>
      </w:r>
    </w:p>
    <w:p>
      <w:pPr>
        <w:pStyle w:val="ListNumber"/>
      </w:pPr>
      <w:r>
        <w:t>Record location, equipment, material, time, witness names, and first response provided.</w:t>
      </w:r>
    </w:p>
    <w:p>
      <w:pPr>
        <w:pStyle w:val="ListNumber"/>
      </w:pPr>
      <w:r>
        <w:t>Create a corrective action entry before the cell returns to production.</w:t>
      </w:r>
    </w:p>
    <w:p>
      <w:pPr>
        <w:pStyle w:val="Heading1"/>
      </w:pPr>
      <w:r>
        <w:t>Incident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Examples</w:t>
            </w:r>
          </w:p>
        </w:tc>
        <w:tc>
          <w:tcPr>
            <w:tcW w:type="dxa" w:w="2880"/>
          </w:tcPr>
          <w:p>
            <w:r>
              <w:t>Agent response guidance</w:t>
            </w:r>
          </w:p>
        </w:tc>
      </w:tr>
      <w:tr>
        <w:tc>
          <w:tcPr>
            <w:tcW w:type="dxa" w:w="2880"/>
          </w:tcPr>
          <w:p>
            <w:r>
              <w:t>Cut or puncture</w:t>
            </w:r>
          </w:p>
        </w:tc>
        <w:tc>
          <w:tcPr>
            <w:tcW w:type="dxa" w:w="2880"/>
          </w:tcPr>
          <w:p>
            <w:r>
              <w:t>Chisel, fret saw, scraper, string end</w:t>
            </w:r>
          </w:p>
        </w:tc>
        <w:tc>
          <w:tcPr>
            <w:tcW w:type="dxa" w:w="2880"/>
          </w:tcPr>
          <w:p>
            <w:r>
              <w:t>Provide first-aid escalation steps and required reporting threshold.</w:t>
            </w:r>
          </w:p>
        </w:tc>
      </w:tr>
      <w:tr>
        <w:tc>
          <w:tcPr>
            <w:tcW w:type="dxa" w:w="2880"/>
          </w:tcPr>
          <w:p>
            <w:r>
              <w:t>Dust exposure</w:t>
            </w:r>
          </w:p>
        </w:tc>
        <w:tc>
          <w:tcPr>
            <w:tcW w:type="dxa" w:w="2880"/>
          </w:tcPr>
          <w:p>
            <w:r>
              <w:t>Sanding, routing, bracing cleanup</w:t>
            </w:r>
          </w:p>
        </w:tc>
        <w:tc>
          <w:tcPr>
            <w:tcW w:type="dxa" w:w="2880"/>
          </w:tcPr>
          <w:p>
            <w:r>
              <w:t>Point to respirator use, dust collection inspection, and supervisor review.</w:t>
            </w:r>
          </w:p>
        </w:tc>
      </w:tr>
      <w:tr>
        <w:tc>
          <w:tcPr>
            <w:tcW w:type="dxa" w:w="2880"/>
          </w:tcPr>
          <w:p>
            <w:r>
              <w:t>Chemical exposure</w:t>
            </w:r>
          </w:p>
        </w:tc>
        <w:tc>
          <w:tcPr>
            <w:tcW w:type="dxa" w:w="2880"/>
          </w:tcPr>
          <w:p>
            <w:r>
              <w:t>Finish, adhesive, cleaning agent</w:t>
            </w:r>
          </w:p>
        </w:tc>
        <w:tc>
          <w:tcPr>
            <w:tcW w:type="dxa" w:w="2880"/>
          </w:tcPr>
          <w:p>
            <w:r>
              <w:t>Direct user to SDS location and immediate eyewash or ventilation steps.</w:t>
            </w:r>
          </w:p>
        </w:tc>
      </w:tr>
      <w:tr>
        <w:tc>
          <w:tcPr>
            <w:tcW w:type="dxa" w:w="2880"/>
          </w:tcPr>
          <w:p>
            <w:r>
              <w:t>Material handling</w:t>
            </w:r>
          </w:p>
        </w:tc>
        <w:tc>
          <w:tcPr>
            <w:tcW w:type="dxa" w:w="2880"/>
          </w:tcPr>
          <w:p>
            <w:r>
              <w:t>Wood billets, cases, pallet movement</w:t>
            </w:r>
          </w:p>
        </w:tc>
        <w:tc>
          <w:tcPr>
            <w:tcW w:type="dxa" w:w="2880"/>
          </w:tcPr>
          <w:p>
            <w:r>
              <w:t>Recommend lift-assist and ergonomic review.</w:t>
            </w:r>
          </w:p>
        </w:tc>
      </w:tr>
      <w:tr>
        <w:tc>
          <w:tcPr>
            <w:tcW w:type="dxa" w:w="2880"/>
          </w:tcPr>
          <w:p>
            <w:r>
              <w:t>Near miss</w:t>
            </w:r>
          </w:p>
        </w:tc>
        <w:tc>
          <w:tcPr>
            <w:tcW w:type="dxa" w:w="2880"/>
          </w:tcPr>
          <w:p>
            <w:r>
              <w:t>Blade guard, clamp failure, trip hazard</w:t>
            </w:r>
          </w:p>
        </w:tc>
        <w:tc>
          <w:tcPr>
            <w:tcW w:type="dxa" w:w="2880"/>
          </w:tcPr>
          <w:p>
            <w:r>
              <w:t>Capture corrective action before continuing work.</w:t>
            </w:r>
          </w:p>
        </w:tc>
      </w:tr>
    </w:tbl>
    <w:p>
      <w:pPr>
        <w:pStyle w:val="Heading1"/>
      </w:pPr>
      <w:r>
        <w:t>SharePoint agent boundaries</w:t>
      </w:r>
    </w:p>
    <w:p>
      <w:r>
        <w:t>The agent should answer from this SOP, recommend contacting the safety lead for emergencies, and avoid medical diagnosis. It should cite the section used and ask clarifying questions only when incident category or severity is ambiguous.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A2C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A2C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A2C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