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r w:rsidRPr="00AB1475">
        <w:rPr>
          <w:rFonts w:ascii="Helvetica" w:hAnsi="Helvetica"/>
          <w:sz w:val="20"/>
          <w:szCs w:val="20"/>
        </w:rPr>
        <w:t>For part a, each sock has a 1/3 chance of being black, brown, or white.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probability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5C8A3080" w:rsidR="00B44700"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r w:rsidR="00DD3D95">
        <w:rPr>
          <w:rFonts w:ascii="Helvetica" w:hAnsi="Helvetica"/>
          <w:sz w:val="20"/>
          <w:szCs w:val="20"/>
        </w:rPr>
        <w:t xml:space="preserve"> The pattern is that the thumb begins on 1 and ends on 9. Therefore, there are 8 numbers in between each cycle from and to the thumb. By dividing the numbers by 8, whatever remainder you have left is the same as counting from the corresponding number from the original 1 – 10 count.</w:t>
      </w:r>
      <w:bookmarkStart w:id="0" w:name="_GoBack"/>
      <w:bookmarkEnd w:id="0"/>
    </w:p>
    <w:p w14:paraId="50652237" w14:textId="77777777" w:rsidR="008B31BA" w:rsidRPr="00AB1475" w:rsidRDefault="008B31BA"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1770C46D" w14:textId="77777777" w:rsidR="000D1A90" w:rsidRPr="000D1A90" w:rsidRDefault="000D1A90" w:rsidP="00B44700">
      <w:pPr>
        <w:rPr>
          <w:rFonts w:ascii="Helvetica" w:hAnsi="Helvetica"/>
          <w:sz w:val="20"/>
          <w:szCs w:val="20"/>
        </w:rPr>
      </w:pP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336A9"/>
    <w:rsid w:val="0053483C"/>
    <w:rsid w:val="00600834"/>
    <w:rsid w:val="007E7686"/>
    <w:rsid w:val="007F2C0D"/>
    <w:rsid w:val="00871307"/>
    <w:rsid w:val="00896CDD"/>
    <w:rsid w:val="008B31BA"/>
    <w:rsid w:val="008E1591"/>
    <w:rsid w:val="00905D20"/>
    <w:rsid w:val="00A35639"/>
    <w:rsid w:val="00A60B6F"/>
    <w:rsid w:val="00A76201"/>
    <w:rsid w:val="00AB1475"/>
    <w:rsid w:val="00AF7A88"/>
    <w:rsid w:val="00B44700"/>
    <w:rsid w:val="00B96D0B"/>
    <w:rsid w:val="00BB5592"/>
    <w:rsid w:val="00BE6E43"/>
    <w:rsid w:val="00C952F9"/>
    <w:rsid w:val="00CD4C78"/>
    <w:rsid w:val="00D05601"/>
    <w:rsid w:val="00DD3D95"/>
    <w:rsid w:val="00E54C22"/>
    <w:rsid w:val="00E8344A"/>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3</Pages>
  <Words>1202</Words>
  <Characters>6857</Characters>
  <Application>Microsoft Macintosh Word</Application>
  <DocSecurity>0</DocSecurity>
  <Lines>57</Lines>
  <Paragraphs>16</Paragraphs>
  <ScaleCrop>false</ScaleCrop>
  <Company>FullSail University</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22</cp:revision>
  <dcterms:created xsi:type="dcterms:W3CDTF">2013-10-01T18:42:00Z</dcterms:created>
  <dcterms:modified xsi:type="dcterms:W3CDTF">2013-10-02T22:27:00Z</dcterms:modified>
</cp:coreProperties>
</file>