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A326" w14:textId="77777777" w:rsidR="0032143A" w:rsidRDefault="00000000">
      <w:pPr>
        <w:spacing w:after="80"/>
        <w:jc w:val="center"/>
      </w:pPr>
      <w:r>
        <w:rPr>
          <w:b/>
          <w:bCs/>
          <w:sz w:val="28"/>
          <w:szCs w:val="28"/>
        </w:rPr>
        <w:t>The Cost of Concentrating Payroll: How the NBA's Second Apron Reshapes Roster Construction and Winning</w:t>
      </w:r>
    </w:p>
    <w:p w14:paraId="1E4DB2E9" w14:textId="77777777" w:rsidR="0032143A" w:rsidRDefault="00000000">
      <w:pPr>
        <w:spacing w:after="40"/>
        <w:jc w:val="center"/>
      </w:pPr>
      <w:r>
        <w:t>Andy Daileanes</w:t>
      </w:r>
    </w:p>
    <w:p w14:paraId="25D560C6" w14:textId="77777777" w:rsidR="0032143A" w:rsidRDefault="00000000">
      <w:pPr>
        <w:spacing w:after="40"/>
        <w:jc w:val="center"/>
      </w:pPr>
      <w:r>
        <w:t>Davidson College</w:t>
      </w:r>
    </w:p>
    <w:p w14:paraId="05EE5464" w14:textId="77777777" w:rsidR="0032143A" w:rsidRDefault="00000000">
      <w:pPr>
        <w:spacing w:after="300"/>
        <w:jc w:val="center"/>
      </w:pPr>
      <w:r>
        <w:t>Draft — Working Paper</w:t>
      </w:r>
    </w:p>
    <w:p w14:paraId="2328263E" w14:textId="77777777" w:rsidR="0032143A" w:rsidRDefault="00000000">
      <w:pPr>
        <w:spacing w:before="240" w:after="240" w:line="480" w:lineRule="auto"/>
      </w:pPr>
      <w:r>
        <w:rPr>
          <w:b/>
          <w:bCs/>
          <w:sz w:val="24"/>
          <w:szCs w:val="24"/>
        </w:rPr>
        <w:t>Abstract</w:t>
      </w:r>
    </w:p>
    <w:p w14:paraId="564FEEEA" w14:textId="77777777" w:rsidR="0032143A" w:rsidRDefault="00000000">
      <w:pPr>
        <w:spacing w:before="240" w:after="240" w:line="480" w:lineRule="auto"/>
        <w:ind w:firstLine="720"/>
      </w:pPr>
      <w:r>
        <w:t xml:space="preserve">The NBA's 2023 Collective Bargaining Agreement introduced the second apron, substantially increasing the financial and roster-building constraints faced by teams with the league's highest payrolls. This paper examines how these changes affect payroll allocation, roster composition, and team performance using complementary team- and player-level panel datasets spanning all 30 NBA franchises over 15 seasons. The results suggest that, while the league-wide average level of payroll concentration did not increase significantly following the introduction of the second apron, a larger share of teams adopted relatively concentrated payroll structures. Across the full sample, greater payroll concentration is associated with a smaller mid-level veteran minute share, driven by teams rostering fewer mid-level veterans rather than simply reducing their playing time, while teams allocating more minutes to mid-level veterans consistently won more games after controlling for payroll and star-player quality. However, payroll concentration itself had no independent relationship with winning once star-player quality was </w:t>
      </w:r>
      <w:proofErr w:type="gramStart"/>
      <w:r>
        <w:t>taken into account</w:t>
      </w:r>
      <w:proofErr w:type="gramEnd"/>
      <w:r>
        <w:t xml:space="preserve">. A case study of Jaylen Brown and the Boston Celtics </w:t>
      </w:r>
      <w:proofErr w:type="gramStart"/>
      <w:r>
        <w:t>illustrates</w:t>
      </w:r>
      <w:proofErr w:type="gramEnd"/>
      <w:r>
        <w:t xml:space="preserve"> how these findings apply to a real roster-building decision. Overall, the findings suggest that the second apron has increased the opportunity cost of concentrating payroll, making successful roster construction increasingly dependent on balancing investment in elite talent with roster depth.</w:t>
      </w:r>
    </w:p>
    <w:p w14:paraId="538D7168" w14:textId="77777777" w:rsidR="0032143A" w:rsidRDefault="00000000">
      <w:pPr>
        <w:spacing w:before="240" w:after="240" w:line="480" w:lineRule="auto"/>
      </w:pPr>
      <w:r>
        <w:rPr>
          <w:b/>
          <w:bCs/>
          <w:sz w:val="28"/>
          <w:szCs w:val="28"/>
        </w:rPr>
        <w:t>I. Introduction</w:t>
      </w:r>
    </w:p>
    <w:p w14:paraId="744479EC" w14:textId="77777777" w:rsidR="0032143A" w:rsidRDefault="00000000">
      <w:pPr>
        <w:spacing w:before="240" w:after="240" w:line="480" w:lineRule="auto"/>
      </w:pPr>
      <w:r>
        <w:rPr>
          <w:b/>
          <w:bCs/>
          <w:sz w:val="24"/>
          <w:szCs w:val="24"/>
        </w:rPr>
        <w:t>1.1 Context and Why It Matters</w:t>
      </w:r>
    </w:p>
    <w:p w14:paraId="02063618" w14:textId="77777777" w:rsidR="0032143A" w:rsidRDefault="00000000">
      <w:pPr>
        <w:spacing w:line="480" w:lineRule="auto"/>
        <w:ind w:firstLine="720"/>
      </w:pPr>
      <w:r>
        <w:t xml:space="preserve">The NBA operates under a soft salary cap, permitting teams to exceed the cap through collectively bargained exceptions, but discouraging excessive spending through a luxury tax that imposes escalating per-dollar penalties above a set threshold — penalties that grow steeper still for teams that repeatedly exceed it. For context, in </w:t>
      </w:r>
      <w:r>
        <w:lastRenderedPageBreak/>
        <w:t>the 2025-26 season the salary cap sits at $154.6 million, the luxury tax threshold at $187.9 million, and the second apron at $207.8 million; a team at the second apron is spending roughly $53 million above the cap.</w:t>
      </w:r>
    </w:p>
    <w:p w14:paraId="4355E4A6" w14:textId="77777777" w:rsidR="0032143A" w:rsidRDefault="00000000">
      <w:pPr>
        <w:spacing w:line="480" w:lineRule="auto"/>
        <w:ind w:firstLine="720"/>
        <w:jc w:val="both"/>
      </w:pPr>
      <w:r>
        <w:t>The NBA's second apron represents one of the most significant changes to roster construction in the league's modern salary cap era. Introduced as part of the 2023 Collective Bargaining Agreement (CBA), the second apron imposed a new layer of roster-building restrictions on top of these existing financial penalties.</w:t>
      </w:r>
      <w:r>
        <w:rPr>
          <w:vertAlign w:val="superscript"/>
        </w:rPr>
        <w:footnoteReference w:id="1"/>
      </w:r>
      <w:r>
        <w:t xml:space="preserve"> The new rules restrict access to several key team-building mechanisms — including the taxpayer mid-level exception, salary aggregation in trades, cash considerations, and future draft flexibility — making it substantially more difficult for high-spending teams to maintain expensive, veteran-heavy rosters. While the first apron had imposed some roster-building restrictions since 2011, the second apron's rules are far more severe, leaving teams unable to simply pay their way past them the way they often could under earlier rules. As a result, teams now face a more explicit tradeoff between star talent and roster depth. Rather than asking whether teams can simply afford to pay elite players, front offices operating under these rules must increasingly evaluate whether the value those players generate outweighs the roster depth sacrificed to support them.</w:t>
      </w:r>
    </w:p>
    <w:p w14:paraId="51319B68" w14:textId="77777777" w:rsidR="0032143A" w:rsidRDefault="00000000">
      <w:pPr>
        <w:spacing w:line="480" w:lineRule="auto"/>
        <w:ind w:firstLine="720"/>
        <w:jc w:val="both"/>
      </w:pPr>
      <w:r>
        <w:t>These changes arrive at a time when payroll concentration has become increasingly common across the league. The rapid growth of maximum contracts, combined with rising player salaries, has led many franchises to devote an increasing share of payroll to a small number of star players. While concentrating payroll may be justified when elite talent produces championship-level value, doing so also limits the financial flexibility available to retain experienced role players and mid-level veterans. Under the second apron, these opportunity costs have become increasingly important, raising a central question for NBA front offices: how should teams allocate payroll to maximize on-court success?</w:t>
      </w:r>
    </w:p>
    <w:p w14:paraId="7723D339" w14:textId="77777777" w:rsidR="0032143A" w:rsidRDefault="00000000">
      <w:pPr>
        <w:spacing w:before="240" w:after="240" w:line="480" w:lineRule="auto"/>
      </w:pPr>
      <w:r>
        <w:rPr>
          <w:b/>
          <w:bCs/>
          <w:sz w:val="24"/>
          <w:szCs w:val="24"/>
        </w:rPr>
        <w:t>1.2 Research Question</w:t>
      </w:r>
    </w:p>
    <w:p w14:paraId="346B27DF" w14:textId="77777777" w:rsidR="0032143A" w:rsidRDefault="00000000">
      <w:pPr>
        <w:spacing w:line="480" w:lineRule="auto"/>
        <w:ind w:firstLine="720"/>
        <w:jc w:val="both"/>
      </w:pPr>
      <w:r>
        <w:t xml:space="preserve">Despite the growing attention devoted to the NBA's second apron, relatively little empirical evidence exists on how teams have adjusted their roster construction in response to these new constraints or whether those adjustments </w:t>
      </w:r>
      <w:r>
        <w:lastRenderedPageBreak/>
        <w:t>improve competitive outcomes. Existing discussions have largely been descriptive, focusing on the financial implications of the new CBA and the challenges of retaining expensive rosters, while offering limited empirical evidence on how payroll allocation has changed across the league or the competitive consequences of those changes.</w:t>
      </w:r>
    </w:p>
    <w:p w14:paraId="0DE55AB9" w14:textId="77777777" w:rsidR="0032143A" w:rsidRDefault="00000000">
      <w:pPr>
        <w:spacing w:line="480" w:lineRule="auto"/>
        <w:ind w:firstLine="720"/>
        <w:jc w:val="both"/>
      </w:pPr>
      <w:r>
        <w:t>This paper asks three related questions. First, have teams become increasingly concentrated in how they allocate payroll among their highest-paid players, and does greater luxury tax pressure reinforce this pattern? Second, how does greater payroll concentration affect roster composition, particularly the role of mid-level veterans? Finally, do these roster-building strategies improve team success, or do they impose costs that outweigh the benefits of concentrating resources among elite talent?</w:t>
      </w:r>
    </w:p>
    <w:p w14:paraId="32D63457" w14:textId="77777777" w:rsidR="0032143A" w:rsidRDefault="00000000">
      <w:pPr>
        <w:spacing w:before="240" w:after="240" w:line="480" w:lineRule="auto"/>
      </w:pPr>
      <w:r>
        <w:rPr>
          <w:b/>
          <w:bCs/>
          <w:sz w:val="24"/>
          <w:szCs w:val="24"/>
        </w:rPr>
        <w:t>1.3 Summary of Findings</w:t>
      </w:r>
    </w:p>
    <w:p w14:paraId="5EA2ABDF" w14:textId="77777777" w:rsidR="0032143A" w:rsidRDefault="00000000">
      <w:pPr>
        <w:spacing w:line="480" w:lineRule="auto"/>
        <w:ind w:firstLine="720"/>
        <w:jc w:val="both"/>
      </w:pPr>
      <w:r>
        <w:t>To answer these questions, I combine complementary team- and player-level panel datasets spanning all 30 NBA franchises across 15 seasons (2011-12 through 2025-26). I first examine whether a larger share of NBA teams adopted concentrated payroll structures following the introduction of the second apron and whether greater luxury tax pressure reinforces this pattern. I then investigate how greater payroll concentration affects roster composition, focusing on the role of mid-level veterans within team rotations, before evaluating whether these roster-building strategies translate into improved team performance. Taken together, the findings suggest that the second apron has changed not only how teams allocate payroll, but also the tradeoffs associated with constructing successful rosters.</w:t>
      </w:r>
    </w:p>
    <w:p w14:paraId="21A861AE" w14:textId="77777777" w:rsidR="0032143A" w:rsidRDefault="00000000">
      <w:pPr>
        <w:spacing w:line="480" w:lineRule="auto"/>
        <w:ind w:firstLine="720"/>
        <w:jc w:val="both"/>
      </w:pPr>
      <w:r>
        <w:t xml:space="preserve">The results indicate that, although the league-wide average level of payroll concentration did not increase significantly following the introduction of the second apron, a significantly larger share of teams adopted relatively concentrated payroll structures. Across the sample, greater payroll concentration is associated with a smaller share of minutes going to mid-level veterans. This decline reflects teams rostering fewer mid-level veterans, rather than simply playing the same </w:t>
      </w:r>
      <w:proofErr w:type="gramStart"/>
      <w:r>
        <w:t>veterans</w:t>
      </w:r>
      <w:proofErr w:type="gramEnd"/>
      <w:r>
        <w:t xml:space="preserve"> fewer minutes. Yet teams that do allocate a larger share of minutes to mid-level veterans consistently win more games after controlling for overall payroll and the quality of their highest-paid players. However, payroll concentration itself has no independent relationship with winning once player quality is </w:t>
      </w:r>
      <w:proofErr w:type="gramStart"/>
      <w:r>
        <w:t>taken into account</w:t>
      </w:r>
      <w:proofErr w:type="gramEnd"/>
      <w:r>
        <w:t>. Rather, concentrating payroll creates a tradeoff between investing in elite talent and maintaining roster depth, a tradeoff illustrated directly by a closing case study of Jaylen Brown and the Boston Celtics.</w:t>
      </w:r>
    </w:p>
    <w:p w14:paraId="53B8179E" w14:textId="77777777" w:rsidR="0032143A" w:rsidRDefault="00000000">
      <w:pPr>
        <w:spacing w:before="240" w:after="240" w:line="480" w:lineRule="auto"/>
      </w:pPr>
      <w:r>
        <w:rPr>
          <w:b/>
          <w:bCs/>
          <w:sz w:val="28"/>
          <w:szCs w:val="28"/>
        </w:rPr>
        <w:t>II. Literature Review</w:t>
      </w:r>
    </w:p>
    <w:p w14:paraId="586EE635" w14:textId="77777777" w:rsidR="0032143A" w:rsidRDefault="00000000">
      <w:pPr>
        <w:spacing w:line="480" w:lineRule="auto"/>
        <w:ind w:firstLine="720"/>
        <w:jc w:val="both"/>
      </w:pPr>
      <w:r>
        <w:lastRenderedPageBreak/>
        <w:t>This paper draws on two related strands of research: work directly studying NBA salary cap violations and payroll concentration, and a broader debate over whether concentrating talent helps or hurts team performance.</w:t>
      </w:r>
    </w:p>
    <w:p w14:paraId="318268FB" w14:textId="77777777" w:rsidR="0032143A" w:rsidRDefault="00000000">
      <w:pPr>
        <w:spacing w:line="480" w:lineRule="auto"/>
        <w:ind w:firstLine="720"/>
        <w:jc w:val="both"/>
      </w:pPr>
      <w:r>
        <w:t xml:space="preserve">The closest existing precedent is Pradhan and </w:t>
      </w:r>
      <w:proofErr w:type="spellStart"/>
      <w:r>
        <w:t>Leshchinskii</w:t>
      </w:r>
      <w:proofErr w:type="spellEnd"/>
      <w:r>
        <w:t xml:space="preserve"> (2025), who study the years before the second apron existed and find that teams spending more and concentrating payroll more heavily tended to win more, when the only real cost of doing so was a financial penalty. The second apron changes what that cost is: spending near the top now also means losing the practical tools needed to fill out the rest of the roster. This paper builds on that work by asking a more specific question — not simply whether spending and winning are correlated, but how teams can allocate payroll most efficiently within this stricter tax and apron structure, and how front offices are </w:t>
      </w:r>
      <w:proofErr w:type="gramStart"/>
      <w:r>
        <w:t>actually navigating</w:t>
      </w:r>
      <w:proofErr w:type="gramEnd"/>
      <w:r>
        <w:t xml:space="preserve"> these added constraints. This is a question Pradhan and </w:t>
      </w:r>
      <w:proofErr w:type="spellStart"/>
      <w:r>
        <w:t>Leshchinskii</w:t>
      </w:r>
      <w:proofErr w:type="spellEnd"/>
      <w:r>
        <w:t xml:space="preserve"> explicitly set aside, noting the second apron had not yet taken full effect within their sample, and calling directly for future work on its effect on team performance and roster construction.</w:t>
      </w:r>
    </w:p>
    <w:p w14:paraId="730223F9" w14:textId="77777777" w:rsidR="0032143A" w:rsidRDefault="00000000">
      <w:pPr>
        <w:spacing w:line="480" w:lineRule="auto"/>
        <w:ind w:firstLine="720"/>
        <w:jc w:val="both"/>
      </w:pPr>
      <w:r>
        <w:t xml:space="preserve">A second, related debate concerns whether concentrating talent in a small number of players helps or hurts team performance. </w:t>
      </w:r>
      <w:proofErr w:type="spellStart"/>
      <w:r>
        <w:t>Swaab</w:t>
      </w:r>
      <w:proofErr w:type="spellEnd"/>
      <w:r>
        <w:t xml:space="preserve">, Schaerer, Anicich, Ronay, and Galinsky (2014) found evidence of a "too-much-talent effect" using a decade of NBA data: team performance rose with the share of a team's top talent up to a point, then declined, with an estimated turning point around 52% of a team's talent concentrated in its most productive players—a threshold notably close to the top-heavy cutoffs (50–55%) examined in this paper. Gula, Vaci, Alexandrowicz, and </w:t>
      </w:r>
      <w:proofErr w:type="spellStart"/>
      <w:r>
        <w:t>Bilalić</w:t>
      </w:r>
      <w:proofErr w:type="spellEnd"/>
      <w:r>
        <w:t xml:space="preserve"> (2021) later challenged this finding on methodological grounds, reanalyzing the same and a larger dataset and concluding that additional concentrated talent never becomes harmful. Instead, each additional unit of concentrated talent continues to improve team performance, albeit with diminishing marginal returns.</w:t>
      </w:r>
    </w:p>
    <w:p w14:paraId="342AE98A" w14:textId="77777777" w:rsidR="0032143A" w:rsidRDefault="00000000">
      <w:pPr>
        <w:spacing w:line="480" w:lineRule="auto"/>
        <w:ind w:firstLine="720"/>
        <w:jc w:val="both"/>
      </w:pPr>
      <w:r>
        <w:t xml:space="preserve">This paper approaches that debate from a different angle. Rather than measuring concentration in talent-weighted terms, it measures concentration in payroll terms and then separately controls for the quality of a team's highest-paid players. This distinction allows the analysis to compare teams with similarly productive stars but different payroll structures, isolating whether allocating a larger share of payroll to those stars—rather than distributing those payroll resources more broadly across the rest of the roster—is itself associated with winning. The results suggest it is not. Once the quality of a team's highest-paid players is accounted for, payroll concentration has no independent relationship with team performance. In other words, any observed relationship between top-heavy payroll structures and winning is explained by the quality of the players receiving the largest share of payroll, not by payroll concentration as a roster-building </w:t>
      </w:r>
      <w:proofErr w:type="gramStart"/>
      <w:r>
        <w:t>strategy in its own right</w:t>
      </w:r>
      <w:proofErr w:type="gramEnd"/>
      <w:r>
        <w:t>.</w:t>
      </w:r>
    </w:p>
    <w:p w14:paraId="6D4E2421" w14:textId="77777777" w:rsidR="0032143A" w:rsidRDefault="00000000">
      <w:pPr>
        <w:spacing w:line="480" w:lineRule="auto"/>
        <w:ind w:firstLine="720"/>
        <w:jc w:val="both"/>
      </w:pPr>
      <w:r>
        <w:lastRenderedPageBreak/>
        <w:t>These findings also offer a potential explanation for why concentrating resources may exhibit diminishing returns. Holding the quality of a team's highest-paid players constant, greater payroll concentration is associated with carrying fewer mid-level veterans, while greater reliance on those veterans is independently associated with winning. Together, these findings suggest that one important consequence of concentrating payroll is reduced roster depth, providing a concrete roster-construction channel through which the returns to concentrating financial resources may diminish. Rather than viewing payroll concentration as inherently beneficial or harmful, this paper reframes it as a financing decision whose success depends on whether the value generated by a team's highest-paid players outweighs the opportunity cost of the roster depth sacrificed elsewhere.</w:t>
      </w:r>
    </w:p>
    <w:p w14:paraId="69CCED63" w14:textId="77777777" w:rsidR="0032143A" w:rsidRDefault="00000000">
      <w:pPr>
        <w:spacing w:before="240" w:after="240" w:line="480" w:lineRule="auto"/>
      </w:pPr>
      <w:r>
        <w:rPr>
          <w:b/>
          <w:bCs/>
          <w:sz w:val="28"/>
          <w:szCs w:val="28"/>
        </w:rPr>
        <w:t>III. Data</w:t>
      </w:r>
    </w:p>
    <w:p w14:paraId="75BBE247" w14:textId="77777777" w:rsidR="0032143A" w:rsidRDefault="00000000">
      <w:pPr>
        <w:spacing w:before="240" w:after="240" w:line="480" w:lineRule="auto"/>
      </w:pPr>
      <w:r>
        <w:rPr>
          <w:b/>
          <w:bCs/>
          <w:sz w:val="24"/>
          <w:szCs w:val="24"/>
        </w:rPr>
        <w:t>A. Data Sources</w:t>
      </w:r>
    </w:p>
    <w:p w14:paraId="43E4AC89" w14:textId="77777777" w:rsidR="0032143A" w:rsidRDefault="00000000">
      <w:pPr>
        <w:spacing w:line="480" w:lineRule="auto"/>
        <w:ind w:firstLine="720"/>
        <w:jc w:val="both"/>
      </w:pPr>
      <w:r>
        <w:t xml:space="preserve">This study combines complementary team- and player-level panel datasets. The team-level dataset includes all 30 NBA franchises over 15 seasons (2011-12 through 2025-26), producing 450 team-season observations before accounting for lagged specifications. Team payroll information — including taxable salary, luxury tax thresholds, and payroll by player — was collected primarily from Spotrac and </w:t>
      </w:r>
      <w:proofErr w:type="spellStart"/>
      <w:r>
        <w:t>HoopsHype</w:t>
      </w:r>
      <w:proofErr w:type="spellEnd"/>
      <w:r>
        <w:t>, while team performance measures were obtained from Basketball-Reference.</w:t>
      </w:r>
    </w:p>
    <w:p w14:paraId="36BBEF71" w14:textId="77777777" w:rsidR="0032143A" w:rsidRDefault="00000000">
      <w:pPr>
        <w:spacing w:line="480" w:lineRule="auto"/>
        <w:ind w:firstLine="720"/>
        <w:jc w:val="both"/>
      </w:pPr>
      <w:r>
        <w:t>To examine roster composition, I construct a complementary player-level dataset containing 3,645 player-season observations. Player salary information was collected from Spotrac, playing time and box-score statistics from Basketball-Reference, and Estimated Plus-Minus (EPM) data — used in the closing case study — from Dunks &amp; Threes. Combining these datasets connects team-level payroll decisions to changes in player utilization and, ultimately, team performance.</w:t>
      </w:r>
    </w:p>
    <w:p w14:paraId="62DD9C90" w14:textId="77777777" w:rsidR="0032143A" w:rsidRDefault="00000000">
      <w:pPr>
        <w:spacing w:line="480" w:lineRule="auto"/>
        <w:ind w:firstLine="720"/>
        <w:jc w:val="both"/>
      </w:pPr>
      <w:r>
        <w:t>The sample spans multiple collective bargaining agreements and captures the second apron's 2023 introduction, providing substantial variation in payroll allocation strategies before and after the policy change. Because the post-apron period currently includes only three seasons — only two of which faced the apron's full restrictions — results specific to that era should be read as an early evaluation of teams' initial responses rather than a long-run estimate.</w:t>
      </w:r>
    </w:p>
    <w:p w14:paraId="6ACC2A55" w14:textId="77777777" w:rsidR="0032143A" w:rsidRDefault="00000000">
      <w:pPr>
        <w:spacing w:before="240" w:after="240" w:line="480" w:lineRule="auto"/>
      </w:pPr>
      <w:r>
        <w:rPr>
          <w:b/>
          <w:bCs/>
          <w:sz w:val="24"/>
          <w:szCs w:val="24"/>
        </w:rPr>
        <w:lastRenderedPageBreak/>
        <w:t>B. Variable Definitions</w:t>
      </w:r>
    </w:p>
    <w:p w14:paraId="3580FFE8" w14:textId="77777777" w:rsidR="0032143A" w:rsidRDefault="00000000">
      <w:pPr>
        <w:spacing w:line="480" w:lineRule="auto"/>
        <w:ind w:firstLine="720"/>
        <w:jc w:val="both"/>
      </w:pPr>
      <w:r>
        <w:rPr>
          <w:b/>
          <w:bCs/>
        </w:rPr>
        <w:t>Top3Share</w:t>
      </w:r>
      <w:r>
        <w:rPr>
          <w:i/>
          <w:iCs/>
        </w:rPr>
        <w:t>i,t</w:t>
      </w:r>
      <w:r>
        <w:t xml:space="preserve"> is the share of team i's total payroll allocated to its three highest-paid players during season t, calculated as Top3Salary(</w:t>
      </w:r>
      <w:proofErr w:type="spellStart"/>
      <w:r>
        <w:t>i,t</w:t>
      </w:r>
      <w:proofErr w:type="spellEnd"/>
      <w:r>
        <w:t xml:space="preserve">) / </w:t>
      </w:r>
      <w:proofErr w:type="spellStart"/>
      <w:r>
        <w:t>TaxableSalary</w:t>
      </w:r>
      <w:proofErr w:type="spellEnd"/>
      <w:r>
        <w:t>(</w:t>
      </w:r>
      <w:proofErr w:type="spellStart"/>
      <w:r>
        <w:t>i,t</w:t>
      </w:r>
      <w:proofErr w:type="spellEnd"/>
      <w:r>
        <w:t>). This is the paper's primary measure of payroll concentration. Focusing on the three highest-paid players reflects the fact that NBA payrolls are typically anchored by a small core of maximum or near-maximum contracts, while expressing concentration as a share allows comparisons across seasons despite substantial growth in the salary cap.</w:t>
      </w:r>
    </w:p>
    <w:p w14:paraId="30E638E1" w14:textId="77777777" w:rsidR="0032143A" w:rsidRDefault="00000000">
      <w:pPr>
        <w:spacing w:line="480" w:lineRule="auto"/>
        <w:ind w:firstLine="720"/>
        <w:jc w:val="both"/>
      </w:pPr>
      <w:proofErr w:type="spellStart"/>
      <w:r>
        <w:rPr>
          <w:b/>
          <w:bCs/>
        </w:rPr>
        <w:t>Dist_Pct</w:t>
      </w:r>
      <w:r>
        <w:rPr>
          <w:i/>
          <w:iCs/>
        </w:rPr>
        <w:t>i,t</w:t>
      </w:r>
      <w:proofErr w:type="spellEnd"/>
      <w:r>
        <w:t xml:space="preserve"> is team i's</w:t>
      </w:r>
      <w:sdt>
        <w:sdtPr>
          <w:tag w:val="goog_rdk_0"/>
          <w:id w:val="1574130571"/>
        </w:sdtPr>
        <w:sdtContent>
          <w:r>
            <w:rPr>
              <w:rFonts w:ascii="Gungsuh" w:eastAsia="Gungsuh" w:hAnsi="Gungsuh" w:cs="Gungsuh"/>
            </w:rPr>
            <w:t xml:space="preserve"> taxable salary relative to the luxury tax threshold, calculated as </w:t>
          </w:r>
          <w:proofErr w:type="spellStart"/>
          <w:r>
            <w:rPr>
              <w:rFonts w:ascii="Gungsuh" w:eastAsia="Gungsuh" w:hAnsi="Gungsuh" w:cs="Gungsuh"/>
            </w:rPr>
            <w:t>TaxableSalary</w:t>
          </w:r>
          <w:proofErr w:type="spellEnd"/>
          <w:r>
            <w:rPr>
              <w:rFonts w:ascii="Gungsuh" w:eastAsia="Gungsuh" w:hAnsi="Gungsuh" w:cs="Gungsuh"/>
            </w:rPr>
            <w:t>(</w:t>
          </w:r>
          <w:proofErr w:type="spellStart"/>
          <w:r>
            <w:rPr>
              <w:rFonts w:ascii="Gungsuh" w:eastAsia="Gungsuh" w:hAnsi="Gungsuh" w:cs="Gungsuh"/>
            </w:rPr>
            <w:t>i,t</w:t>
          </w:r>
          <w:proofErr w:type="spellEnd"/>
          <w:r>
            <w:rPr>
              <w:rFonts w:ascii="Gungsuh" w:eastAsia="Gungsuh" w:hAnsi="Gungsuh" w:cs="Gungsuh"/>
            </w:rPr>
            <w:t xml:space="preserve">) / </w:t>
          </w:r>
          <w:proofErr w:type="spellStart"/>
          <w:r>
            <w:rPr>
              <w:rFonts w:ascii="Gungsuh" w:eastAsia="Gungsuh" w:hAnsi="Gungsuh" w:cs="Gungsuh"/>
            </w:rPr>
            <w:t>TaxThreshold</w:t>
          </w:r>
          <w:proofErr w:type="spellEnd"/>
          <w:r>
            <w:rPr>
              <w:rFonts w:ascii="Gungsuh" w:eastAsia="Gungsuh" w:hAnsi="Gungsuh" w:cs="Gungsuh"/>
            </w:rPr>
            <w:t xml:space="preserve">(t) − 1. Positive values indicate teams above the tax line; negative values indicate teams below it. </w:t>
          </w:r>
        </w:sdtContent>
      </w:sdt>
    </w:p>
    <w:p w14:paraId="0B20E22A" w14:textId="77777777" w:rsidR="0032143A" w:rsidRDefault="00000000">
      <w:pPr>
        <w:spacing w:line="480" w:lineRule="auto"/>
        <w:ind w:firstLine="720"/>
        <w:jc w:val="both"/>
      </w:pPr>
      <w:proofErr w:type="spellStart"/>
      <w:r>
        <w:rPr>
          <w:b/>
          <w:bCs/>
        </w:rPr>
        <w:t>ApronEra</w:t>
      </w:r>
      <w:r>
        <w:rPr>
          <w:i/>
          <w:iCs/>
        </w:rPr>
        <w:t>t</w:t>
      </w:r>
      <w:proofErr w:type="spellEnd"/>
      <w:r>
        <w:t xml:space="preserve"> equals 1 for seasons beginning in 2023–24 and 0 otherwise (see footnote 1 regarding the phased-in timing of the apron's full restrictions).</w:t>
      </w:r>
    </w:p>
    <w:p w14:paraId="0791113F" w14:textId="77777777" w:rsidR="0032143A" w:rsidRDefault="00000000">
      <w:pPr>
        <w:spacing w:line="480" w:lineRule="auto"/>
        <w:ind w:firstLine="720"/>
        <w:jc w:val="both"/>
      </w:pPr>
      <w:proofErr w:type="spellStart"/>
      <w:r>
        <w:rPr>
          <w:b/>
          <w:bCs/>
        </w:rPr>
        <w:t>Repeater</w:t>
      </w:r>
      <w:r>
        <w:rPr>
          <w:i/>
          <w:iCs/>
        </w:rPr>
        <w:t>i,t</w:t>
      </w:r>
      <w:proofErr w:type="spellEnd"/>
      <w:r>
        <w:t xml:space="preserve"> equals 1 if team </w:t>
      </w:r>
      <w:proofErr w:type="spellStart"/>
      <w:r>
        <w:t>i</w:t>
      </w:r>
      <w:proofErr w:type="spellEnd"/>
      <w:r>
        <w:t xml:space="preserve"> is subject to the NBA's repeater tax during season </w:t>
      </w:r>
      <w:r>
        <w:rPr>
          <w:i/>
          <w:iCs/>
        </w:rPr>
        <w:t>t</w:t>
      </w:r>
      <w:r>
        <w:t>, and 0 otherwise.</w:t>
      </w:r>
    </w:p>
    <w:p w14:paraId="634F42E6" w14:textId="77777777" w:rsidR="0032143A" w:rsidRDefault="00000000">
      <w:pPr>
        <w:spacing w:line="480" w:lineRule="auto"/>
        <w:ind w:firstLine="720"/>
        <w:jc w:val="both"/>
      </w:pPr>
      <w:proofErr w:type="spellStart"/>
      <w:r>
        <w:rPr>
          <w:b/>
          <w:bCs/>
        </w:rPr>
        <w:t>Win_Pct</w:t>
      </w:r>
      <w:r>
        <w:rPr>
          <w:i/>
          <w:iCs/>
        </w:rPr>
        <w:t>i,t</w:t>
      </w:r>
      <w:proofErr w:type="spellEnd"/>
      <w:r>
        <w:t xml:space="preserve"> is team i's </w:t>
      </w:r>
      <w:proofErr w:type="gramStart"/>
      <w:r>
        <w:t>regular-season</w:t>
      </w:r>
      <w:proofErr w:type="gramEnd"/>
      <w:r>
        <w:t xml:space="preserve"> winning percentage during season t.</w:t>
      </w:r>
    </w:p>
    <w:p w14:paraId="72C6676A" w14:textId="77777777" w:rsidR="0032143A" w:rsidRDefault="00000000">
      <w:pPr>
        <w:spacing w:line="480" w:lineRule="auto"/>
        <w:ind w:firstLine="720"/>
        <w:jc w:val="both"/>
      </w:pPr>
      <w:r>
        <w:rPr>
          <w:b/>
          <w:bCs/>
        </w:rPr>
        <w:t>Wins_Prior</w:t>
      </w:r>
      <w:r>
        <w:rPr>
          <w:i/>
          <w:iCs/>
        </w:rPr>
        <w:t>i,t-1</w:t>
      </w:r>
      <w:r>
        <w:t xml:space="preserve"> is team i's regular-season winning percentage during the previous season.</w:t>
      </w:r>
    </w:p>
    <w:p w14:paraId="407A42FF" w14:textId="77777777" w:rsidR="0032143A" w:rsidRDefault="00000000">
      <w:pPr>
        <w:spacing w:line="480" w:lineRule="auto"/>
        <w:ind w:firstLine="720"/>
        <w:jc w:val="both"/>
      </w:pPr>
      <w:r>
        <w:rPr>
          <w:b/>
          <w:bCs/>
        </w:rPr>
        <w:t>Top3_BPM</w:t>
      </w:r>
      <w:r>
        <w:rPr>
          <w:i/>
          <w:iCs/>
        </w:rPr>
        <w:t>i,t</w:t>
      </w:r>
      <w:r>
        <w:t xml:space="preserve"> is the minutes-weighted average Box Plus-Minus (BPM) of a team's three highest-paid players.</w:t>
      </w:r>
    </w:p>
    <w:p w14:paraId="2D690349" w14:textId="77777777" w:rsidR="0032143A" w:rsidRDefault="00000000">
      <w:pPr>
        <w:spacing w:line="480" w:lineRule="auto"/>
        <w:ind w:firstLine="720"/>
        <w:jc w:val="both"/>
      </w:pPr>
      <w:r>
        <w:rPr>
          <w:b/>
          <w:bCs/>
        </w:rPr>
        <w:t>Top3Yrs_Avg</w:t>
      </w:r>
      <w:r>
        <w:rPr>
          <w:i/>
          <w:iCs/>
        </w:rPr>
        <w:t>i,t</w:t>
      </w:r>
      <w:r>
        <w:t xml:space="preserve"> is the average Top3Share over the previous three seasons.</w:t>
      </w:r>
    </w:p>
    <w:p w14:paraId="30AFC869" w14:textId="77777777" w:rsidR="0032143A" w:rsidRDefault="00000000">
      <w:pPr>
        <w:spacing w:line="480" w:lineRule="auto"/>
        <w:ind w:firstLine="720"/>
        <w:jc w:val="both"/>
      </w:pPr>
      <w:proofErr w:type="spellStart"/>
      <w:r>
        <w:rPr>
          <w:b/>
          <w:bCs/>
        </w:rPr>
        <w:t>MidVet_MinShare</w:t>
      </w:r>
      <w:r>
        <w:rPr>
          <w:i/>
          <w:iCs/>
        </w:rPr>
        <w:t>i,t</w:t>
      </w:r>
      <w:proofErr w:type="spellEnd"/>
      <w:r>
        <w:t xml:space="preserve"> is the share of total team minutes played by classified mid-level veterans.</w:t>
      </w:r>
    </w:p>
    <w:p w14:paraId="62A82328" w14:textId="77777777" w:rsidR="0032143A" w:rsidRDefault="00000000">
      <w:pPr>
        <w:spacing w:line="480" w:lineRule="auto"/>
        <w:ind w:firstLine="720"/>
        <w:jc w:val="both"/>
      </w:pPr>
      <w:proofErr w:type="spellStart"/>
      <w:r>
        <w:rPr>
          <w:b/>
          <w:bCs/>
        </w:rPr>
        <w:t>N_MidVet</w:t>
      </w:r>
      <w:r>
        <w:rPr>
          <w:i/>
          <w:iCs/>
        </w:rPr>
        <w:t>i,t</w:t>
      </w:r>
      <w:proofErr w:type="spellEnd"/>
      <w:r>
        <w:t xml:space="preserve"> is the number of classified mid-level veterans on team i's roster.</w:t>
      </w:r>
    </w:p>
    <w:p w14:paraId="6759AC84" w14:textId="77777777" w:rsidR="0032143A" w:rsidRDefault="00000000">
      <w:pPr>
        <w:spacing w:line="480" w:lineRule="auto"/>
        <w:ind w:firstLine="720"/>
        <w:jc w:val="both"/>
      </w:pPr>
      <w:proofErr w:type="spellStart"/>
      <w:r>
        <w:rPr>
          <w:b/>
          <w:bCs/>
        </w:rPr>
        <w:t>Minutes_per_MidVet</w:t>
      </w:r>
      <w:r>
        <w:rPr>
          <w:i/>
          <w:iCs/>
        </w:rPr>
        <w:t>i,t</w:t>
      </w:r>
      <w:proofErr w:type="spellEnd"/>
      <w:r>
        <w:t xml:space="preserve"> is the average minutes played per classified mid-level veteran on team i's roster.</w:t>
      </w:r>
    </w:p>
    <w:p w14:paraId="763C2EDF" w14:textId="77777777" w:rsidR="0032143A" w:rsidRDefault="00000000">
      <w:pPr>
        <w:spacing w:line="480" w:lineRule="auto"/>
        <w:ind w:firstLine="720"/>
        <w:jc w:val="both"/>
      </w:pPr>
      <w:proofErr w:type="spellStart"/>
      <w:r>
        <w:rPr>
          <w:b/>
          <w:bCs/>
        </w:rPr>
        <w:t>HighSalVet_MinShare</w:t>
      </w:r>
      <w:r>
        <w:rPr>
          <w:i/>
          <w:iCs/>
        </w:rPr>
        <w:t>i,t</w:t>
      </w:r>
      <w:proofErr w:type="spellEnd"/>
      <w:r>
        <w:t xml:space="preserve"> is the share of total team minutes played by classified high-salary veterans.</w:t>
      </w:r>
    </w:p>
    <w:p w14:paraId="7DDF28EE" w14:textId="77777777" w:rsidR="0032143A" w:rsidRDefault="00000000">
      <w:pPr>
        <w:spacing w:line="480" w:lineRule="auto"/>
        <w:ind w:firstLine="720"/>
        <w:jc w:val="both"/>
      </w:pPr>
      <w:r>
        <w:rPr>
          <w:b/>
          <w:bCs/>
        </w:rPr>
        <w:t xml:space="preserve">Taxable </w:t>
      </w:r>
      <w:proofErr w:type="spellStart"/>
      <w:r>
        <w:rPr>
          <w:b/>
          <w:bCs/>
        </w:rPr>
        <w:t>Salary</w:t>
      </w:r>
      <w:r>
        <w:rPr>
          <w:i/>
          <w:iCs/>
        </w:rPr>
        <w:t>i,t</w:t>
      </w:r>
      <w:proofErr w:type="spellEnd"/>
      <w:r>
        <w:t xml:space="preserve"> is team i's total taxable payroll during season t.</w:t>
      </w:r>
    </w:p>
    <w:p w14:paraId="75321F54" w14:textId="77777777" w:rsidR="0032143A" w:rsidRDefault="00000000">
      <w:pPr>
        <w:spacing w:line="480" w:lineRule="auto"/>
        <w:ind w:firstLine="720"/>
        <w:jc w:val="both"/>
      </w:pPr>
      <w:proofErr w:type="spellStart"/>
      <w:r>
        <w:rPr>
          <w:b/>
          <w:bCs/>
        </w:rPr>
        <w:t>HighSalVet</w:t>
      </w:r>
      <w:r>
        <w:rPr>
          <w:i/>
          <w:iCs/>
        </w:rPr>
        <w:t>i,t</w:t>
      </w:r>
      <w:proofErr w:type="spellEnd"/>
      <w:r>
        <w:t xml:space="preserve"> equals 1 for players with at least four years of NBA service earning more than 13 percent of the league salary cap during season t, and 0 otherwise.</w:t>
      </w:r>
    </w:p>
    <w:p w14:paraId="1EE8D6DF" w14:textId="77777777" w:rsidR="0032143A" w:rsidRDefault="00000000">
      <w:pPr>
        <w:spacing w:line="480" w:lineRule="auto"/>
        <w:ind w:firstLine="720"/>
        <w:jc w:val="both"/>
      </w:pPr>
      <w:proofErr w:type="spellStart"/>
      <w:r>
        <w:rPr>
          <w:b/>
          <w:bCs/>
        </w:rPr>
        <w:lastRenderedPageBreak/>
        <w:t>Mid_Vet</w:t>
      </w:r>
      <w:r>
        <w:rPr>
          <w:i/>
          <w:iCs/>
        </w:rPr>
        <w:t>i,t</w:t>
      </w:r>
      <w:proofErr w:type="spellEnd"/>
      <w:r>
        <w:t xml:space="preserve"> equals 1 for players with at least four years of NBA service earning between approximately 7 and 13 percent of the league salary cap during season t, and 0 otherwise.</w:t>
      </w:r>
      <w:r>
        <w:rPr>
          <w:vertAlign w:val="superscript"/>
        </w:rPr>
        <w:footnoteReference w:id="2"/>
      </w:r>
    </w:p>
    <w:p w14:paraId="6587FE81" w14:textId="77777777" w:rsidR="0032143A" w:rsidRDefault="00000000">
      <w:pPr>
        <w:spacing w:line="480" w:lineRule="auto"/>
        <w:ind w:firstLine="720"/>
        <w:jc w:val="both"/>
      </w:pPr>
      <w:proofErr w:type="spellStart"/>
      <w:r>
        <w:rPr>
          <w:b/>
          <w:bCs/>
        </w:rPr>
        <w:t>HighSalVet</w:t>
      </w:r>
      <w:r>
        <w:rPr>
          <w:i/>
          <w:iCs/>
        </w:rPr>
        <w:t>i,t</w:t>
      </w:r>
      <w:proofErr w:type="spellEnd"/>
      <w:r>
        <w:t xml:space="preserve"> equals 1 for players with at least four years of NBA service earning more than 13 percent of the league salary cap during season t, and 0 otherwise.</w:t>
      </w:r>
    </w:p>
    <w:p w14:paraId="2D3B7E5F" w14:textId="77777777" w:rsidR="0032143A" w:rsidRDefault="00000000">
      <w:pPr>
        <w:spacing w:line="480" w:lineRule="auto"/>
        <w:ind w:firstLine="720"/>
        <w:jc w:val="both"/>
      </w:pPr>
      <w:proofErr w:type="spellStart"/>
      <w:r>
        <w:rPr>
          <w:b/>
          <w:bCs/>
        </w:rPr>
        <w:t>EPM</w:t>
      </w:r>
      <w:r>
        <w:rPr>
          <w:i/>
          <w:iCs/>
        </w:rPr>
        <w:t>i,t</w:t>
      </w:r>
      <w:proofErr w:type="spellEnd"/>
      <w:r>
        <w:t xml:space="preserve"> (Estimated Plus-Minus) is a play-by-play-based player impact metric that accounts for teammate quality.</w:t>
      </w:r>
      <w:r>
        <w:rPr>
          <w:vertAlign w:val="superscript"/>
        </w:rPr>
        <w:footnoteReference w:id="3"/>
      </w:r>
      <w:r>
        <w:t xml:space="preserve"> </w:t>
      </w:r>
    </w:p>
    <w:p w14:paraId="5E6BBE61" w14:textId="77777777" w:rsidR="0032143A" w:rsidRDefault="00000000">
      <w:pPr>
        <w:spacing w:line="480" w:lineRule="auto"/>
        <w:ind w:firstLine="720"/>
        <w:jc w:val="both"/>
      </w:pPr>
      <w:proofErr w:type="spellStart"/>
      <w:r>
        <w:rPr>
          <w:b/>
          <w:bCs/>
        </w:rPr>
        <w:t>BPM</w:t>
      </w:r>
      <w:r>
        <w:rPr>
          <w:i/>
          <w:iCs/>
        </w:rPr>
        <w:t>i,t</w:t>
      </w:r>
      <w:proofErr w:type="spellEnd"/>
      <w:r>
        <w:t xml:space="preserve"> (Box Plus-Minus) is Basketball-Reference's box-score-based player impact metric.</w:t>
      </w:r>
    </w:p>
    <w:p w14:paraId="66736E18" w14:textId="77777777" w:rsidR="0032143A" w:rsidRDefault="00000000">
      <w:pPr>
        <w:spacing w:line="480" w:lineRule="auto"/>
        <w:ind w:firstLine="720"/>
        <w:jc w:val="both"/>
      </w:pPr>
      <w:proofErr w:type="spellStart"/>
      <w:r>
        <w:rPr>
          <w:b/>
          <w:bCs/>
        </w:rPr>
        <w:t>Teammate_BPM</w:t>
      </w:r>
      <w:r>
        <w:rPr>
          <w:i/>
          <w:iCs/>
        </w:rPr>
        <w:t>i,t</w:t>
      </w:r>
      <w:proofErr w:type="spellEnd"/>
      <w:r>
        <w:t xml:space="preserve"> is the leave-one-out, minutes-weighted average BPM of a player's teammates.</w:t>
      </w:r>
    </w:p>
    <w:p w14:paraId="75538D45" w14:textId="77777777" w:rsidR="0032143A" w:rsidRDefault="0032143A">
      <w:pPr>
        <w:spacing w:line="480" w:lineRule="auto"/>
        <w:jc w:val="both"/>
        <w:rPr>
          <w:b/>
          <w:bCs/>
          <w:highlight w:val="yellow"/>
        </w:rPr>
      </w:pPr>
    </w:p>
    <w:p w14:paraId="215F8841" w14:textId="77777777" w:rsidR="0032143A" w:rsidRDefault="0032143A">
      <w:pPr>
        <w:spacing w:line="480" w:lineRule="auto"/>
        <w:ind w:firstLine="720"/>
        <w:jc w:val="both"/>
        <w:rPr>
          <w:highlight w:val="yellow"/>
        </w:rPr>
      </w:pPr>
    </w:p>
    <w:p w14:paraId="68FAE693" w14:textId="77777777" w:rsidR="0032143A" w:rsidRDefault="00000000">
      <w:pPr>
        <w:spacing w:line="480" w:lineRule="auto"/>
        <w:jc w:val="both"/>
        <w:rPr>
          <w:highlight w:val="yellow"/>
        </w:rPr>
      </w:pPr>
      <w:r>
        <w:rPr>
          <w:highlight w:val="yellow"/>
        </w:rPr>
        <w:t>3.3 MEASUREMENT GAPS (SPORTS ECON PAPER)</w:t>
      </w:r>
    </w:p>
    <w:p w14:paraId="7C6C81BF" w14:textId="77777777" w:rsidR="0032143A" w:rsidRDefault="00000000">
      <w:pPr>
        <w:spacing w:line="480" w:lineRule="auto"/>
        <w:jc w:val="both"/>
        <w:rPr>
          <w:highlight w:val="yellow"/>
        </w:rPr>
      </w:pPr>
      <w:r>
        <w:rPr>
          <w:highlight w:val="yellow"/>
        </w:rPr>
        <w:t>Era indicator and year fixed effects???</w:t>
      </w:r>
    </w:p>
    <w:p w14:paraId="69BA6F40" w14:textId="77777777" w:rsidR="0032143A" w:rsidRDefault="00000000">
      <w:pPr>
        <w:spacing w:line="480" w:lineRule="auto"/>
        <w:jc w:val="both"/>
        <w:rPr>
          <w:b/>
          <w:bCs/>
          <w:highlight w:val="yellow"/>
        </w:rPr>
      </w:pPr>
      <w:r>
        <w:rPr>
          <w:b/>
          <w:bCs/>
          <w:highlight w:val="yellow"/>
        </w:rPr>
        <w:t>3.4 SUMMARY STATS TABLE and discussion</w:t>
      </w:r>
    </w:p>
    <w:p w14:paraId="304AD5A0" w14:textId="77777777" w:rsidR="0032143A" w:rsidRDefault="00000000">
      <w:pPr>
        <w:spacing w:before="240" w:after="240" w:line="480" w:lineRule="auto"/>
      </w:pPr>
      <w:r>
        <w:rPr>
          <w:b/>
          <w:bCs/>
          <w:sz w:val="28"/>
          <w:szCs w:val="28"/>
        </w:rPr>
        <w:t>IV. Empirical Methodology</w:t>
      </w:r>
    </w:p>
    <w:p w14:paraId="41F219C4" w14:textId="77777777" w:rsidR="0032143A" w:rsidRDefault="00000000">
      <w:pPr>
        <w:spacing w:before="240" w:after="240" w:line="480" w:lineRule="auto"/>
      </w:pPr>
      <w:r>
        <w:rPr>
          <w:b/>
          <w:bCs/>
          <w:sz w:val="24"/>
          <w:szCs w:val="24"/>
        </w:rPr>
        <w:t>A. Estimating Equations</w:t>
      </w:r>
    </w:p>
    <w:p w14:paraId="7FD34858" w14:textId="77777777" w:rsidR="0032143A" w:rsidRDefault="00000000">
      <w:pPr>
        <w:spacing w:line="480" w:lineRule="auto"/>
        <w:ind w:firstLine="720"/>
        <w:jc w:val="both"/>
      </w:pPr>
      <w:r>
        <w:t>The empirical strategy follows the paper's three research questions. I first examine whether teams allocated a greater share of payroll to their highest-paid players following the implementation of the second apron. Conditional on evidence of greater payroll concentration, I then investigate how more concentrated payroll structures affect roster composition, focusing on the use of mid-level veterans. Finally, I evaluate whether these roster-building decisions translate into improved team performance, and whether payroll concentration itself—independent of the quality of the players receiving it—predicts winning. All models include team fixed effects (α_</w:t>
      </w:r>
      <w:proofErr w:type="spellStart"/>
      <w:r>
        <w:t>i</w:t>
      </w:r>
      <w:proofErr w:type="spellEnd"/>
      <w:r>
        <w:t>) and year fixed effects (</w:t>
      </w:r>
      <w:proofErr w:type="spellStart"/>
      <w:r>
        <w:t>τ_t</w:t>
      </w:r>
      <w:proofErr w:type="spellEnd"/>
      <w:r>
        <w:t>), with standard errors clustered at the team level.</w:t>
      </w:r>
    </w:p>
    <w:p w14:paraId="678B577F" w14:textId="77777777" w:rsidR="0032143A" w:rsidRDefault="00000000">
      <w:pPr>
        <w:spacing w:line="480" w:lineRule="auto"/>
        <w:ind w:firstLine="720"/>
        <w:jc w:val="both"/>
        <w:rPr>
          <w:b/>
          <w:bCs/>
        </w:rPr>
      </w:pPr>
      <w:r>
        <w:rPr>
          <w:b/>
          <w:bCs/>
        </w:rPr>
        <w:lastRenderedPageBreak/>
        <w:t>Model 1 (Payroll Concentration After the Second Apron):</w:t>
      </w:r>
    </w:p>
    <w:p w14:paraId="67A882D1" w14:textId="77777777" w:rsidR="0032143A" w:rsidRDefault="00000000">
      <w:pPr>
        <w:spacing w:before="240" w:after="240" w:line="480" w:lineRule="auto"/>
        <w:jc w:val="center"/>
        <w:rPr>
          <w:i/>
          <w:iCs/>
          <w:sz w:val="22"/>
          <w:szCs w:val="22"/>
        </w:rPr>
      </w:pPr>
      <w:r>
        <w:rPr>
          <w:i/>
          <w:iCs/>
          <w:sz w:val="22"/>
          <w:szCs w:val="22"/>
        </w:rPr>
        <w:t>Top3Share(</w:t>
      </w:r>
      <w:proofErr w:type="spellStart"/>
      <w:r>
        <w:rPr>
          <w:i/>
          <w:iCs/>
          <w:sz w:val="22"/>
          <w:szCs w:val="22"/>
        </w:rPr>
        <w:t>i,t</w:t>
      </w:r>
      <w:proofErr w:type="spellEnd"/>
      <w:r>
        <w:rPr>
          <w:i/>
          <w:iCs/>
          <w:sz w:val="22"/>
          <w:szCs w:val="22"/>
        </w:rPr>
        <w:t>) = β₀ + β₁·</w:t>
      </w:r>
      <w:proofErr w:type="spellStart"/>
      <w:r>
        <w:rPr>
          <w:i/>
          <w:iCs/>
          <w:sz w:val="22"/>
          <w:szCs w:val="22"/>
        </w:rPr>
        <w:t>ApronEra</w:t>
      </w:r>
      <w:proofErr w:type="spellEnd"/>
      <w:r>
        <w:rPr>
          <w:i/>
          <w:iCs/>
          <w:sz w:val="22"/>
          <w:szCs w:val="22"/>
        </w:rPr>
        <w:t>(t) + β₂·</w:t>
      </w:r>
      <w:proofErr w:type="spellStart"/>
      <w:r>
        <w:rPr>
          <w:i/>
          <w:iCs/>
          <w:sz w:val="22"/>
          <w:szCs w:val="22"/>
        </w:rPr>
        <w:t>Wins_Prior</w:t>
      </w:r>
      <w:proofErr w:type="spellEnd"/>
      <w:r>
        <w:rPr>
          <w:i/>
          <w:iCs/>
          <w:sz w:val="22"/>
          <w:szCs w:val="22"/>
        </w:rPr>
        <w:t>(</w:t>
      </w:r>
      <w:proofErr w:type="spellStart"/>
      <w:r>
        <w:rPr>
          <w:i/>
          <w:iCs/>
          <w:sz w:val="22"/>
          <w:szCs w:val="22"/>
        </w:rPr>
        <w:t>i,t</w:t>
      </w:r>
      <w:proofErr w:type="spellEnd"/>
      <w:r>
        <w:rPr>
          <w:i/>
          <w:iCs/>
          <w:sz w:val="22"/>
          <w:szCs w:val="22"/>
        </w:rPr>
        <w:t>) + β₃·Top3Yrs_Avg(</w:t>
      </w:r>
      <w:proofErr w:type="spellStart"/>
      <w:r>
        <w:rPr>
          <w:i/>
          <w:iCs/>
          <w:sz w:val="22"/>
          <w:szCs w:val="22"/>
        </w:rPr>
        <w:t>i,t</w:t>
      </w:r>
      <w:proofErr w:type="spellEnd"/>
      <w:r>
        <w:rPr>
          <w:i/>
          <w:iCs/>
          <w:sz w:val="22"/>
          <w:szCs w:val="22"/>
        </w:rPr>
        <w:t>) + α_</w:t>
      </w:r>
      <w:proofErr w:type="spellStart"/>
      <w:r>
        <w:rPr>
          <w:i/>
          <w:iCs/>
          <w:sz w:val="22"/>
          <w:szCs w:val="22"/>
        </w:rPr>
        <w:t>i</w:t>
      </w:r>
      <w:proofErr w:type="spellEnd"/>
      <w:r>
        <w:rPr>
          <w:i/>
          <w:iCs/>
          <w:sz w:val="22"/>
          <w:szCs w:val="22"/>
        </w:rPr>
        <w:t xml:space="preserve"> + ε(</w:t>
      </w:r>
      <w:proofErr w:type="spellStart"/>
      <w:r>
        <w:rPr>
          <w:i/>
          <w:iCs/>
          <w:sz w:val="22"/>
          <w:szCs w:val="22"/>
        </w:rPr>
        <w:t>i,t</w:t>
      </w:r>
      <w:proofErr w:type="spellEnd"/>
      <w:r>
        <w:rPr>
          <w:i/>
          <w:iCs/>
          <w:sz w:val="22"/>
          <w:szCs w:val="22"/>
        </w:rPr>
        <w:t>)</w:t>
      </w:r>
    </w:p>
    <w:p w14:paraId="46AF8A68" w14:textId="77777777" w:rsidR="0032143A" w:rsidRDefault="00000000">
      <w:pPr>
        <w:spacing w:before="240" w:after="240" w:line="480" w:lineRule="auto"/>
        <w:ind w:firstLine="720"/>
        <w:jc w:val="both"/>
      </w:pPr>
      <w:r>
        <w:t xml:space="preserve">Model 1 examines whether the introduction of the second apron was associated with changes in how teams allocated payroll across their rosters, specifically whether teams devoted a larger share of total payroll to their three highest-paid players following the policy change. The dependent variable is the share of team payroll allocated to a team's three highest-paid players (Top3Share), while the coefficient on </w:t>
      </w:r>
      <w:proofErr w:type="spellStart"/>
      <w:r>
        <w:t>ApronEra</w:t>
      </w:r>
      <w:proofErr w:type="spellEnd"/>
      <w:r>
        <w:t xml:space="preserve"> captures the average change in payroll concentration after the policy's implementation. Because </w:t>
      </w:r>
      <w:proofErr w:type="spellStart"/>
      <w:r>
        <w:t>ApronEra</w:t>
      </w:r>
      <w:proofErr w:type="spellEnd"/>
      <w:r>
        <w:t xml:space="preserve"> is perfectly collinear with year fixed effects, the model includes team fixed effects but not year fixed effects, and should therefore be interpreted as a descriptive policy comparison rather than the paper's primary identification strategy. To examine whether the distribution of payroll concentration changed even if the league average did not, the model is re-estimated using indicator variables for whether a team's Top3Share exceeds the sample median and, separately, a fixed 55 percent threshold. These alternative specifications test whether highly concentrated payroll structures became more common following the second apron.</w:t>
      </w:r>
    </w:p>
    <w:p w14:paraId="575D82A2" w14:textId="77777777" w:rsidR="0032143A" w:rsidRDefault="00000000">
      <w:pPr>
        <w:spacing w:line="480" w:lineRule="auto"/>
        <w:ind w:firstLine="720"/>
        <w:jc w:val="both"/>
      </w:pPr>
      <w:r>
        <w:rPr>
          <w:b/>
          <w:bCs/>
        </w:rPr>
        <w:t>Model 2 (Payroll Concentration and Roster Composition):</w:t>
      </w:r>
    </w:p>
    <w:p w14:paraId="39696C4D" w14:textId="77777777" w:rsidR="0032143A" w:rsidRDefault="00000000">
      <w:pPr>
        <w:spacing w:before="120" w:after="120" w:line="480" w:lineRule="auto"/>
        <w:jc w:val="center"/>
      </w:pPr>
      <w:proofErr w:type="spellStart"/>
      <w:r>
        <w:rPr>
          <w:i/>
          <w:iCs/>
          <w:sz w:val="22"/>
          <w:szCs w:val="22"/>
        </w:rPr>
        <w:t>MidVet_MinShare</w:t>
      </w:r>
      <w:proofErr w:type="spellEnd"/>
      <w:r>
        <w:rPr>
          <w:i/>
          <w:iCs/>
          <w:sz w:val="22"/>
          <w:szCs w:val="22"/>
        </w:rPr>
        <w:t>(</w:t>
      </w:r>
      <w:proofErr w:type="spellStart"/>
      <w:r>
        <w:rPr>
          <w:i/>
          <w:iCs/>
          <w:sz w:val="22"/>
          <w:szCs w:val="22"/>
        </w:rPr>
        <w:t>i,t</w:t>
      </w:r>
      <w:proofErr w:type="spellEnd"/>
      <w:r>
        <w:rPr>
          <w:i/>
          <w:iCs/>
          <w:sz w:val="22"/>
          <w:szCs w:val="22"/>
        </w:rPr>
        <w:t>) = β₀ + β₁·Top3Share(</w:t>
      </w:r>
      <w:proofErr w:type="spellStart"/>
      <w:r>
        <w:rPr>
          <w:i/>
          <w:iCs/>
          <w:sz w:val="22"/>
          <w:szCs w:val="22"/>
        </w:rPr>
        <w:t>i,t</w:t>
      </w:r>
      <w:proofErr w:type="spellEnd"/>
      <w:r>
        <w:rPr>
          <w:i/>
          <w:iCs/>
          <w:sz w:val="22"/>
          <w:szCs w:val="22"/>
        </w:rPr>
        <w:t>) + β₂·</w:t>
      </w:r>
      <w:proofErr w:type="spellStart"/>
      <w:r>
        <w:rPr>
          <w:i/>
          <w:iCs/>
          <w:sz w:val="22"/>
          <w:szCs w:val="22"/>
        </w:rPr>
        <w:t>Wins_Prior</w:t>
      </w:r>
      <w:proofErr w:type="spellEnd"/>
      <w:r>
        <w:rPr>
          <w:i/>
          <w:iCs/>
          <w:sz w:val="22"/>
          <w:szCs w:val="22"/>
        </w:rPr>
        <w:t>(</w:t>
      </w:r>
      <w:proofErr w:type="spellStart"/>
      <w:r>
        <w:rPr>
          <w:i/>
          <w:iCs/>
          <w:sz w:val="22"/>
          <w:szCs w:val="22"/>
        </w:rPr>
        <w:t>i,t</w:t>
      </w:r>
      <w:proofErr w:type="spellEnd"/>
      <w:r>
        <w:rPr>
          <w:i/>
          <w:iCs/>
          <w:sz w:val="22"/>
          <w:szCs w:val="22"/>
        </w:rPr>
        <w:t>) + β₃·Top3Yrs_Avg(</w:t>
      </w:r>
      <w:proofErr w:type="spellStart"/>
      <w:r>
        <w:rPr>
          <w:i/>
          <w:iCs/>
          <w:sz w:val="22"/>
          <w:szCs w:val="22"/>
        </w:rPr>
        <w:t>i,t</w:t>
      </w:r>
      <w:proofErr w:type="spellEnd"/>
      <w:r>
        <w:rPr>
          <w:i/>
          <w:iCs/>
          <w:sz w:val="22"/>
          <w:szCs w:val="22"/>
        </w:rPr>
        <w:t>) + β₄·[Top3Share(</w:t>
      </w:r>
      <w:proofErr w:type="spellStart"/>
      <w:r>
        <w:rPr>
          <w:i/>
          <w:iCs/>
          <w:sz w:val="22"/>
          <w:szCs w:val="22"/>
        </w:rPr>
        <w:t>i,t</w:t>
      </w:r>
      <w:proofErr w:type="spellEnd"/>
      <w:r>
        <w:rPr>
          <w:i/>
          <w:iCs/>
          <w:sz w:val="22"/>
          <w:szCs w:val="22"/>
        </w:rPr>
        <w:t>) × Era(t)] + α_</w:t>
      </w:r>
      <w:proofErr w:type="spellStart"/>
      <w:r>
        <w:rPr>
          <w:i/>
          <w:iCs/>
          <w:sz w:val="22"/>
          <w:szCs w:val="22"/>
        </w:rPr>
        <w:t>i</w:t>
      </w:r>
      <w:proofErr w:type="spellEnd"/>
      <w:r>
        <w:rPr>
          <w:i/>
          <w:iCs/>
          <w:sz w:val="22"/>
          <w:szCs w:val="22"/>
        </w:rPr>
        <w:t xml:space="preserve"> + </w:t>
      </w:r>
      <w:proofErr w:type="spellStart"/>
      <w:r>
        <w:rPr>
          <w:i/>
          <w:iCs/>
          <w:sz w:val="22"/>
          <w:szCs w:val="22"/>
        </w:rPr>
        <w:t>τ_t</w:t>
      </w:r>
      <w:proofErr w:type="spellEnd"/>
      <w:r>
        <w:rPr>
          <w:i/>
          <w:iCs/>
          <w:sz w:val="22"/>
          <w:szCs w:val="22"/>
        </w:rPr>
        <w:t xml:space="preserve"> + ε(</w:t>
      </w:r>
      <w:proofErr w:type="spellStart"/>
      <w:r>
        <w:rPr>
          <w:i/>
          <w:iCs/>
          <w:sz w:val="22"/>
          <w:szCs w:val="22"/>
        </w:rPr>
        <w:t>i,t</w:t>
      </w:r>
      <w:proofErr w:type="spellEnd"/>
      <w:r>
        <w:rPr>
          <w:i/>
          <w:iCs/>
          <w:sz w:val="22"/>
          <w:szCs w:val="22"/>
        </w:rPr>
        <w:t>)</w:t>
      </w:r>
    </w:p>
    <w:p w14:paraId="1C6C8B95" w14:textId="77777777" w:rsidR="0032143A" w:rsidRDefault="00000000">
      <w:pPr>
        <w:spacing w:before="240" w:after="240" w:line="480" w:lineRule="auto"/>
        <w:ind w:firstLine="720"/>
        <w:jc w:val="both"/>
      </w:pPr>
      <w:r>
        <w:t>Model 2 estimates whether greater payroll concentration (Top3Share) is associated with a smaller share of team minutes played by mid-level veterans (</w:t>
      </w:r>
      <w:proofErr w:type="spellStart"/>
      <w:r>
        <w:t>MidVet_MinShare</w:t>
      </w:r>
      <w:proofErr w:type="spellEnd"/>
      <w:r>
        <w:t xml:space="preserve">). Because major roster decisions occur during the offseason, the primary specifications use a team's </w:t>
      </w:r>
      <w:proofErr w:type="gramStart"/>
      <w:r>
        <w:t>prior-season</w:t>
      </w:r>
      <w:proofErr w:type="gramEnd"/>
      <w:r>
        <w:t xml:space="preserve"> winning percentage (</w:t>
      </w:r>
      <w:proofErr w:type="spellStart"/>
      <w:r>
        <w:t>Wins_Prior</w:t>
      </w:r>
      <w:proofErr w:type="spellEnd"/>
      <w:r>
        <w:t>) and three-year average payroll concentration (Top3Yrs_Avg) to account for existing team quality and contractual persistence. The model is re-estimated using the number of mid-level veterans (</w:t>
      </w:r>
      <w:proofErr w:type="spellStart"/>
      <w:r>
        <w:t>N_MidVet</w:t>
      </w:r>
      <w:proofErr w:type="spellEnd"/>
      <w:r>
        <w:t>) and average minutes per mid-level veteran (</w:t>
      </w:r>
      <w:proofErr w:type="spellStart"/>
      <w:r>
        <w:t>Minutes_per_MidVet</w:t>
      </w:r>
      <w:proofErr w:type="spellEnd"/>
      <w:r>
        <w:t>) as alternative dependent variables to distinguish whether concentrated payroll structures reduce veteran playing time by carrying fewer mid-level veterans or by reducing the playing time of veterans already on the roster. A final specification adds the share of minutes played by high-salary veterans (</w:t>
      </w:r>
      <w:proofErr w:type="spellStart"/>
      <w:r>
        <w:t>HighSalVet_MinShare</w:t>
      </w:r>
      <w:proofErr w:type="spellEnd"/>
      <w:r>
        <w:t>) as a control to determine whether any reduction in mid-level veteran minutes simply reflects stars occupying a larger share of available minutes or a broader roster-construction effect.</w:t>
      </w:r>
    </w:p>
    <w:p w14:paraId="0B33A328" w14:textId="77777777" w:rsidR="0032143A" w:rsidRDefault="00000000">
      <w:pPr>
        <w:spacing w:line="480" w:lineRule="auto"/>
        <w:ind w:firstLine="720"/>
        <w:jc w:val="both"/>
      </w:pPr>
      <w:r>
        <w:rPr>
          <w:b/>
          <w:bCs/>
        </w:rPr>
        <w:lastRenderedPageBreak/>
        <w:t>Model 3 (Roster Composition and Team Performance):</w:t>
      </w:r>
    </w:p>
    <w:p w14:paraId="5706E8B5" w14:textId="77777777" w:rsidR="0032143A" w:rsidRDefault="00000000">
      <w:pPr>
        <w:spacing w:before="120" w:after="120" w:line="480" w:lineRule="auto"/>
        <w:jc w:val="center"/>
      </w:pPr>
      <w:proofErr w:type="spellStart"/>
      <w:r>
        <w:rPr>
          <w:i/>
          <w:iCs/>
          <w:sz w:val="22"/>
          <w:szCs w:val="22"/>
        </w:rPr>
        <w:t>Win_Pct</w:t>
      </w:r>
      <w:proofErr w:type="spellEnd"/>
      <w:r>
        <w:rPr>
          <w:i/>
          <w:iCs/>
          <w:sz w:val="22"/>
          <w:szCs w:val="22"/>
        </w:rPr>
        <w:t>(</w:t>
      </w:r>
      <w:proofErr w:type="spellStart"/>
      <w:r>
        <w:rPr>
          <w:i/>
          <w:iCs/>
          <w:sz w:val="22"/>
          <w:szCs w:val="22"/>
        </w:rPr>
        <w:t>i,t</w:t>
      </w:r>
      <w:proofErr w:type="spellEnd"/>
      <w:r>
        <w:rPr>
          <w:i/>
          <w:iCs/>
          <w:sz w:val="22"/>
          <w:szCs w:val="22"/>
        </w:rPr>
        <w:t>) = β₀ + β₁·</w:t>
      </w:r>
      <w:proofErr w:type="spellStart"/>
      <w:r>
        <w:rPr>
          <w:i/>
          <w:iCs/>
          <w:sz w:val="22"/>
          <w:szCs w:val="22"/>
        </w:rPr>
        <w:t>MidVet_MinShare</w:t>
      </w:r>
      <w:proofErr w:type="spellEnd"/>
      <w:r>
        <w:rPr>
          <w:i/>
          <w:iCs/>
          <w:sz w:val="22"/>
          <w:szCs w:val="22"/>
        </w:rPr>
        <w:t>(</w:t>
      </w:r>
      <w:proofErr w:type="spellStart"/>
      <w:r>
        <w:rPr>
          <w:i/>
          <w:iCs/>
          <w:sz w:val="22"/>
          <w:szCs w:val="22"/>
        </w:rPr>
        <w:t>i,t</w:t>
      </w:r>
      <w:proofErr w:type="spellEnd"/>
      <w:r>
        <w:rPr>
          <w:i/>
          <w:iCs/>
          <w:sz w:val="22"/>
          <w:szCs w:val="22"/>
        </w:rPr>
        <w:t>) + β₂·Top3Share(</w:t>
      </w:r>
      <w:proofErr w:type="spellStart"/>
      <w:r>
        <w:rPr>
          <w:i/>
          <w:iCs/>
          <w:sz w:val="22"/>
          <w:szCs w:val="22"/>
        </w:rPr>
        <w:t>i,t</w:t>
      </w:r>
      <w:proofErr w:type="spellEnd"/>
      <w:r>
        <w:rPr>
          <w:i/>
          <w:iCs/>
          <w:sz w:val="22"/>
          <w:szCs w:val="22"/>
        </w:rPr>
        <w:t>) + β₃·Top3_BPM(</w:t>
      </w:r>
      <w:proofErr w:type="spellStart"/>
      <w:r>
        <w:rPr>
          <w:i/>
          <w:iCs/>
          <w:sz w:val="22"/>
          <w:szCs w:val="22"/>
        </w:rPr>
        <w:t>i,t</w:t>
      </w:r>
      <w:proofErr w:type="spellEnd"/>
      <w:r>
        <w:rPr>
          <w:i/>
          <w:iCs/>
          <w:sz w:val="22"/>
          <w:szCs w:val="22"/>
        </w:rPr>
        <w:t>) + α_</w:t>
      </w:r>
      <w:proofErr w:type="spellStart"/>
      <w:r>
        <w:rPr>
          <w:i/>
          <w:iCs/>
          <w:sz w:val="22"/>
          <w:szCs w:val="22"/>
        </w:rPr>
        <w:t>i</w:t>
      </w:r>
      <w:proofErr w:type="spellEnd"/>
      <w:r>
        <w:rPr>
          <w:i/>
          <w:iCs/>
          <w:sz w:val="22"/>
          <w:szCs w:val="22"/>
        </w:rPr>
        <w:t xml:space="preserve"> + </w:t>
      </w:r>
      <w:proofErr w:type="spellStart"/>
      <w:r>
        <w:rPr>
          <w:i/>
          <w:iCs/>
          <w:sz w:val="22"/>
          <w:szCs w:val="22"/>
        </w:rPr>
        <w:t>τ_t</w:t>
      </w:r>
      <w:proofErr w:type="spellEnd"/>
      <w:r>
        <w:rPr>
          <w:i/>
          <w:iCs/>
          <w:sz w:val="22"/>
          <w:szCs w:val="22"/>
        </w:rPr>
        <w:t xml:space="preserve"> + ε(</w:t>
      </w:r>
      <w:proofErr w:type="spellStart"/>
      <w:r>
        <w:rPr>
          <w:i/>
          <w:iCs/>
          <w:sz w:val="22"/>
          <w:szCs w:val="22"/>
        </w:rPr>
        <w:t>i,t</w:t>
      </w:r>
      <w:proofErr w:type="spellEnd"/>
      <w:r>
        <w:rPr>
          <w:i/>
          <w:iCs/>
          <w:sz w:val="22"/>
          <w:szCs w:val="22"/>
        </w:rPr>
        <w:t>)</w:t>
      </w:r>
    </w:p>
    <w:p w14:paraId="3F1A43EB" w14:textId="77777777" w:rsidR="0032143A" w:rsidRDefault="00000000">
      <w:pPr>
        <w:spacing w:before="240" w:after="240" w:line="480" w:lineRule="auto"/>
        <w:ind w:firstLine="720"/>
        <w:jc w:val="both"/>
      </w:pPr>
      <w:r>
        <w:t>Model 3 estimates whether greater reliance on mid-level veterans (</w:t>
      </w:r>
      <w:proofErr w:type="spellStart"/>
      <w:r>
        <w:t>MidVet_MinShare</w:t>
      </w:r>
      <w:proofErr w:type="spellEnd"/>
      <w:r>
        <w:t>) is associated with improved team performance while controlling for payroll concentration (Top3Share) and the quality of a team's three highest-paid players (Top3_BPM). Because payroll concentration and star-player quality are naturally correlated, controlling for Top3_BPM allows the analysis to distinguish the quality of the players receiving concentrated payroll from payroll concentration itself. The model is re-estimated with distance from the luxury tax threshold (</w:t>
      </w:r>
      <w:proofErr w:type="spellStart"/>
      <w:r>
        <w:t>Dist_Pct</w:t>
      </w:r>
      <w:proofErr w:type="spellEnd"/>
      <w:r>
        <w:t>) and, separately, total team payroll (Taxable Salary) to determine whether the relationship between mid-level veteran minutes and winning is simply driven by differences in overall team spending.</w:t>
      </w:r>
    </w:p>
    <w:p w14:paraId="6DAC51E1" w14:textId="77777777" w:rsidR="0032143A" w:rsidRDefault="00000000">
      <w:pPr>
        <w:spacing w:line="480" w:lineRule="auto"/>
        <w:ind w:firstLine="720"/>
        <w:jc w:val="both"/>
      </w:pPr>
      <w:r>
        <w:rPr>
          <w:b/>
          <w:bCs/>
        </w:rPr>
        <w:t>Model 4 (Does Concentration Itself Predict Winning?):</w:t>
      </w:r>
    </w:p>
    <w:p w14:paraId="06CE17D5" w14:textId="77777777" w:rsidR="0032143A" w:rsidRDefault="00000000">
      <w:pPr>
        <w:spacing w:before="120" w:after="120" w:line="480" w:lineRule="auto"/>
        <w:jc w:val="center"/>
      </w:pPr>
      <w:proofErr w:type="spellStart"/>
      <w:r>
        <w:rPr>
          <w:i/>
          <w:iCs/>
          <w:sz w:val="22"/>
          <w:szCs w:val="22"/>
        </w:rPr>
        <w:t>Win_Pct</w:t>
      </w:r>
      <w:proofErr w:type="spellEnd"/>
      <w:r>
        <w:rPr>
          <w:i/>
          <w:iCs/>
          <w:sz w:val="22"/>
          <w:szCs w:val="22"/>
        </w:rPr>
        <w:t>(</w:t>
      </w:r>
      <w:proofErr w:type="spellStart"/>
      <w:r>
        <w:rPr>
          <w:i/>
          <w:iCs/>
          <w:sz w:val="22"/>
          <w:szCs w:val="22"/>
        </w:rPr>
        <w:t>i,t</w:t>
      </w:r>
      <w:proofErr w:type="spellEnd"/>
      <w:r>
        <w:rPr>
          <w:i/>
          <w:iCs/>
          <w:sz w:val="22"/>
          <w:szCs w:val="22"/>
        </w:rPr>
        <w:t>) = β₀ + β₁·Top3Share(</w:t>
      </w:r>
      <w:proofErr w:type="spellStart"/>
      <w:r>
        <w:rPr>
          <w:i/>
          <w:iCs/>
          <w:sz w:val="22"/>
          <w:szCs w:val="22"/>
        </w:rPr>
        <w:t>i,t</w:t>
      </w:r>
      <w:proofErr w:type="spellEnd"/>
      <w:r>
        <w:rPr>
          <w:i/>
          <w:iCs/>
          <w:sz w:val="22"/>
          <w:szCs w:val="22"/>
        </w:rPr>
        <w:t>) + controls + α_</w:t>
      </w:r>
      <w:proofErr w:type="spellStart"/>
      <w:r>
        <w:rPr>
          <w:i/>
          <w:iCs/>
          <w:sz w:val="22"/>
          <w:szCs w:val="22"/>
        </w:rPr>
        <w:t>i</w:t>
      </w:r>
      <w:proofErr w:type="spellEnd"/>
      <w:r>
        <w:rPr>
          <w:i/>
          <w:iCs/>
          <w:sz w:val="22"/>
          <w:szCs w:val="22"/>
        </w:rPr>
        <w:t xml:space="preserve"> + </w:t>
      </w:r>
      <w:proofErr w:type="spellStart"/>
      <w:r>
        <w:rPr>
          <w:i/>
          <w:iCs/>
          <w:sz w:val="22"/>
          <w:szCs w:val="22"/>
        </w:rPr>
        <w:t>τ_t</w:t>
      </w:r>
      <w:proofErr w:type="spellEnd"/>
      <w:r>
        <w:rPr>
          <w:i/>
          <w:iCs/>
          <w:sz w:val="22"/>
          <w:szCs w:val="22"/>
        </w:rPr>
        <w:t xml:space="preserve"> + ε(</w:t>
      </w:r>
      <w:proofErr w:type="spellStart"/>
      <w:r>
        <w:rPr>
          <w:i/>
          <w:iCs/>
          <w:sz w:val="22"/>
          <w:szCs w:val="22"/>
        </w:rPr>
        <w:t>i,t</w:t>
      </w:r>
      <w:proofErr w:type="spellEnd"/>
      <w:r>
        <w:rPr>
          <w:i/>
          <w:iCs/>
          <w:sz w:val="22"/>
          <w:szCs w:val="22"/>
        </w:rPr>
        <w:t>)</w:t>
      </w:r>
    </w:p>
    <w:p w14:paraId="2B74F9DB" w14:textId="77777777" w:rsidR="0032143A" w:rsidRDefault="00000000">
      <w:pPr>
        <w:spacing w:before="240" w:after="240" w:line="480" w:lineRule="auto"/>
        <w:ind w:firstLine="720"/>
        <w:jc w:val="both"/>
      </w:pPr>
      <w:r>
        <w:t>Model 4 examines whether payroll concentration itself predicts winning, or whether any relationship between concentrated payroll structures and team performance is entirely attributable to the quality of the players receiving the concentrated payroll. To answer this question, the model is estimated three times using alternative control sets: (</w:t>
      </w:r>
      <w:proofErr w:type="spellStart"/>
      <w:r>
        <w:t>i</w:t>
      </w:r>
      <w:proofErr w:type="spellEnd"/>
      <w:r>
        <w:t xml:space="preserve">) total team payroll (Taxable Salary), (ii) the quality of the team's three highest-paid players (Top3_BPM), and (iii) both variables simultaneously. Comparing the estimated relationship between payroll concentration and winning across these specifications isolates whether concentrating payroll has any independent association with team performance once differences in overall spending and star-player quality are </w:t>
      </w:r>
      <w:proofErr w:type="gramStart"/>
      <w:r>
        <w:t>taken into account</w:t>
      </w:r>
      <w:proofErr w:type="gramEnd"/>
      <w:r>
        <w:t>.</w:t>
      </w:r>
    </w:p>
    <w:p w14:paraId="41A2183B" w14:textId="77777777" w:rsidR="0032143A" w:rsidRDefault="00000000">
      <w:pPr>
        <w:spacing w:line="480" w:lineRule="auto"/>
        <w:rPr>
          <w:b/>
          <w:bCs/>
          <w:sz w:val="24"/>
          <w:szCs w:val="24"/>
        </w:rPr>
      </w:pPr>
      <w:r>
        <w:rPr>
          <w:b/>
          <w:bCs/>
          <w:sz w:val="24"/>
          <w:szCs w:val="24"/>
        </w:rPr>
        <w:t>B. Identifying Assumptions and Threats to Identification</w:t>
      </w:r>
    </w:p>
    <w:p w14:paraId="028868D4" w14:textId="77777777" w:rsidR="0032143A" w:rsidRDefault="00000000">
      <w:pPr>
        <w:spacing w:line="480" w:lineRule="auto"/>
        <w:ind w:firstLine="720"/>
      </w:pPr>
      <w:r>
        <w:t>First, the analysis assumes conditional exogeneity. After accounting for team fixed effects, year fixed effects, and the included control variables, the remaining variation in the explanatory variables is assumed to be unrelated to unobserved determinants of the outcome variables. Under this assumption, the estimated coefficients can be interpreted as the partial relationships between payroll allocation, roster construction, and team performance.</w:t>
      </w:r>
    </w:p>
    <w:p w14:paraId="462A34E1" w14:textId="77777777" w:rsidR="0032143A" w:rsidRDefault="00000000">
      <w:pPr>
        <w:spacing w:line="480" w:lineRule="auto"/>
        <w:ind w:firstLine="720"/>
      </w:pPr>
      <w:r>
        <w:t xml:space="preserve">Second, the analysis assumes that roster construction decisions precede regular-season performance. Payroll allocation and roster composition are largely determined during the offseason, while team performance is </w:t>
      </w:r>
      <w:r>
        <w:lastRenderedPageBreak/>
        <w:t xml:space="preserve">realized over the subsequent regular season. This timing supports interpreting payroll allocation and roster construction as preceding team performance rather than responding to it. The inclusion of </w:t>
      </w:r>
      <w:proofErr w:type="gramStart"/>
      <w:r>
        <w:t>prior-season</w:t>
      </w:r>
      <w:proofErr w:type="gramEnd"/>
      <w:r>
        <w:t xml:space="preserve"> winning percentage further accounts for pre-existing differences in team quality that may influence subsequent roster decisions.</w:t>
      </w:r>
    </w:p>
    <w:p w14:paraId="5C3B677E" w14:textId="77777777" w:rsidR="0032143A" w:rsidRDefault="00000000">
      <w:pPr>
        <w:spacing w:line="480" w:lineRule="auto"/>
        <w:ind w:firstLine="720"/>
      </w:pPr>
      <w:r>
        <w:t>Third, the analysis assumes that the quality of a team's highest-paid players is adequately captured by the minutes-weighted average Box Plus-Minus (Top3_BPM). Because elite players both command larger salaries and contribute disproportionately to team success, payroll concentration and player quality are naturally correlated. Controlling for Top3_BPM allows the remaining variation in payroll concentration to reflect differences in how financial resources are allocated across the remainder of the roster rather than differences in the quality of the concentrated talent itself.</w:t>
      </w:r>
    </w:p>
    <w:p w14:paraId="6DFE2FC0" w14:textId="77777777" w:rsidR="0032143A" w:rsidRDefault="00000000">
      <w:pPr>
        <w:spacing w:before="240" w:after="240" w:line="480" w:lineRule="auto"/>
        <w:rPr>
          <w:b/>
          <w:bCs/>
          <w:sz w:val="28"/>
          <w:szCs w:val="28"/>
        </w:rPr>
      </w:pPr>
      <w:r>
        <w:rPr>
          <w:b/>
          <w:bCs/>
          <w:sz w:val="28"/>
          <w:szCs w:val="28"/>
        </w:rPr>
        <w:t>V. Payroll Concentration and Roster Construction</w:t>
      </w:r>
    </w:p>
    <w:p w14:paraId="4B7AD6EE" w14:textId="77777777" w:rsidR="0032143A" w:rsidRDefault="00000000">
      <w:pPr>
        <w:spacing w:before="240" w:after="240" w:line="480" w:lineRule="auto"/>
        <w:rPr>
          <w:b/>
          <w:bCs/>
          <w:sz w:val="28"/>
          <w:szCs w:val="28"/>
          <w:highlight w:val="yellow"/>
        </w:rPr>
      </w:pPr>
      <w:r>
        <w:rPr>
          <w:b/>
          <w:bCs/>
          <w:sz w:val="28"/>
          <w:szCs w:val="28"/>
          <w:highlight w:val="yellow"/>
        </w:rPr>
        <w:t>LIMITATIONS SECTION</w:t>
      </w:r>
    </w:p>
    <w:p w14:paraId="42943DCE" w14:textId="77777777" w:rsidR="0032143A" w:rsidRDefault="00000000">
      <w:pPr>
        <w:spacing w:line="480" w:lineRule="auto"/>
        <w:rPr>
          <w:b/>
          <w:bCs/>
        </w:rPr>
      </w:pPr>
      <w:r>
        <w:rPr>
          <w:b/>
          <w:bCs/>
          <w:sz w:val="24"/>
          <w:szCs w:val="24"/>
        </w:rPr>
        <w:t>A. The Second Apron and Payroll Concentration</w:t>
      </w:r>
    </w:p>
    <w:p w14:paraId="4C13DD67" w14:textId="77777777" w:rsidR="0032143A" w:rsidRDefault="00000000">
      <w:pPr>
        <w:spacing w:line="480" w:lineRule="auto"/>
        <w:ind w:firstLine="720"/>
        <w:jc w:val="both"/>
      </w:pPr>
      <w:r>
        <w:t xml:space="preserve">The first empirical test examines whether teams allocated a greater share of payroll to their highest-paid players following the introduction of the second apron. Table X reports </w:t>
      </w:r>
      <w:proofErr w:type="gramStart"/>
      <w:r>
        <w:t>estimates</w:t>
      </w:r>
      <w:proofErr w:type="gramEnd"/>
      <w:r>
        <w:t xml:space="preserve"> from both Model 1 specifications — the league-average level of concentration and the share of teams exceeding a given concentration threshold — while Figure X illustrates the evolution of payroll concentration over time. Although average payroll concentration increased modestly after the second apron's implementation, the estimated increase is not statistically significant after controlling for persistent differences across teams (β = 0.016, p = 0.13). At the league level, therefore, the second apron was not associated with a meaningful increase in average payroll concentration.</w:t>
      </w:r>
    </w:p>
    <w:p w14:paraId="3121A2E4" w14:textId="77777777" w:rsidR="0032143A" w:rsidRDefault="00000000">
      <w:pPr>
        <w:spacing w:line="480" w:lineRule="auto"/>
        <w:ind w:firstLine="720"/>
        <w:jc w:val="both"/>
      </w:pPr>
      <w:r>
        <w:t xml:space="preserve">Although average payroll concentration changed little, many more teams adopted highly concentrated payroll structures following the second apron. The share of team-seasons allocating more than half of payroll to their three highest-paid players increased from 47.5 percent before the policy to 60.0 percent afterward (p = 0.04), while the share exceeding a fixed 55 percent threshold rose from approximately 40 percent to approximately 60 percent. Similar increases appear across a broad range of concentration thresholds, including cutoffs above 60 percent. Although statistical significance becomes more difficult to detect at the highest thresholds because relatively few observations </w:t>
      </w:r>
      <w:r>
        <w:lastRenderedPageBreak/>
        <w:t>fall into those categories during the short post-apron period, the estimated effects remain consistently positive. Taken together, these findings suggest that the second apron did not substantially increase average payroll concentration across the league, but it did coincide with a broader shift toward more teams operating with highly concentrated payroll structures.</w:t>
      </w:r>
    </w:p>
    <w:p w14:paraId="7272E2EF" w14:textId="77777777" w:rsidR="0032143A" w:rsidRDefault="00000000">
      <w:pPr>
        <w:spacing w:line="480" w:lineRule="auto"/>
        <w:ind w:firstLine="720"/>
        <w:jc w:val="both"/>
      </w:pPr>
      <w:r>
        <w:t>Figure X also reveals a pronounced temporary increase in payroll concentration during the 2019 offseason, raising the possibility that the post-2023 pattern simply reflects another short-lived wave of superstar movement rather than a structural change in roster construction. To distinguish between these explanations, I conduct two additional analyses. First, excluding the three teams with the most concentrated payrolls during the 2018–19 season removes only approximately 0.011 of the roughly 0.077 increase in league-wide payroll concentration that year, indicating that the spike was not driven by a handful of extreme outliers. Second, unlike the post-second-apron period, payroll concentration returned to pre-2019 levels within two seasons, suggesting that the earlier increase reflected a temporary free-agency shock — driven by moves such as Kevin Durant and Kyrie Irving joining the Brooklyn Nets and Kawhi Leonard and Paul George joining the Los Angeles Clippers — rather than a lasting change in roster-building behavior. By contrast, the post-</w:t>
      </w:r>
      <w:proofErr w:type="gramStart"/>
      <w:r>
        <w:t>second-apron</w:t>
      </w:r>
      <w:proofErr w:type="gramEnd"/>
      <w:r>
        <w:t xml:space="preserve"> increase in the prevalence of highly concentrated payroll structures has persisted throughout the available sample (though only 3 seasons), consistent with a broader shift in how teams allocate payroll under the new CBA.</w:t>
      </w:r>
    </w:p>
    <w:p w14:paraId="3C78F06C" w14:textId="77777777" w:rsidR="0032143A" w:rsidRDefault="00000000">
      <w:pPr>
        <w:spacing w:line="480" w:lineRule="auto"/>
      </w:pPr>
      <w:r>
        <w:rPr>
          <w:b/>
          <w:bCs/>
          <w:sz w:val="24"/>
          <w:szCs w:val="24"/>
        </w:rPr>
        <w:t>B. Payroll Concentration and Roster Composition</w:t>
      </w:r>
    </w:p>
    <w:p w14:paraId="06AC33FB" w14:textId="77777777" w:rsidR="0032143A" w:rsidRDefault="00000000">
      <w:pPr>
        <w:spacing w:line="480" w:lineRule="auto"/>
        <w:ind w:firstLine="720"/>
        <w:jc w:val="both"/>
      </w:pPr>
      <w:r>
        <w:t>Having established that more teams adopted concentrated payroll structures following the second apron, I next examine how payroll concentration affects roster composition more broadly. Specifically, I investigate whether teams with more concentrated payrolls devote fewer minutes to mid-level veterans — experienced rotation players likely to be displaced as payroll becomes increasingly concentrated.</w:t>
      </w:r>
    </w:p>
    <w:p w14:paraId="1752E85F" w14:textId="77777777" w:rsidR="0032143A" w:rsidRDefault="00000000">
      <w:pPr>
        <w:spacing w:line="480" w:lineRule="auto"/>
        <w:ind w:firstLine="720"/>
        <w:jc w:val="both"/>
      </w:pPr>
      <w:sdt>
        <w:sdtPr>
          <w:tag w:val="goog_rdk_1"/>
          <w:id w:val="1549253499"/>
        </w:sdtPr>
        <w:sdtContent>
          <w:r>
            <w:rPr>
              <w:rFonts w:ascii="Cardo" w:eastAsia="Cardo" w:hAnsi="Cardo" w:cs="Cardo"/>
            </w:rPr>
            <w:t>Estimating Model 2, the results reveal a significant negative relationship between payroll concentration and the share of team minutes played by mid-level veterans. A 10-percentage-point increase in Top3Share is associated with approximately a 2.8-percentage-point reduction in mid-level veteran minute share (β = −0.283, p = 0.0045). Over an 82-game season, this corresponds to roughly 557 fewer team minutes — almost twelve full games of playing time.</w:t>
          </w:r>
        </w:sdtContent>
      </w:sdt>
    </w:p>
    <w:p w14:paraId="62A9433A" w14:textId="77777777" w:rsidR="0032143A" w:rsidRDefault="00000000">
      <w:pPr>
        <w:spacing w:line="480" w:lineRule="auto"/>
        <w:ind w:firstLine="720"/>
        <w:jc w:val="both"/>
      </w:pPr>
      <w:sdt>
        <w:sdtPr>
          <w:tag w:val="goog_rdk_2"/>
          <w:id w:val="429681548"/>
        </w:sdtPr>
        <w:sdtContent>
          <w:r>
            <w:rPr>
              <w:rFonts w:ascii="Gungsuh" w:eastAsia="Gungsuh" w:hAnsi="Gungsuh" w:cs="Gungsuh"/>
            </w:rPr>
            <w:t xml:space="preserve">One remaining concern is that two teams could share the same level of payroll concentration while differing substantially in total spending — a large-market team willing to spend deep into the tax could match another team's concentration percentage while still having far more absolute dollars left over for the rest of the roster after paying its stars. If that were driving the result, the relationship between concentration and mid-level veteran minutes would really be a relationship between total spending and mid-level veteran minutes in disguise. To rule this out, I re-estimate the model controlling separately for luxury tax position and total taxable payroll — directly holding total spending fixed so that any remaining relationship must come from concentration itself, not from how much money a team has overall. The coefficient </w:t>
          </w:r>
          <w:proofErr w:type="gramStart"/>
          <w:r>
            <w:rPr>
              <w:rFonts w:ascii="Gungsuh" w:eastAsia="Gungsuh" w:hAnsi="Gungsuh" w:cs="Gungsuh"/>
            </w:rPr>
            <w:t>moves only slightly,</w:t>
          </w:r>
          <w:proofErr w:type="gramEnd"/>
          <w:r>
            <w:rPr>
              <w:rFonts w:ascii="Gungsuh" w:eastAsia="Gungsuh" w:hAnsi="Gungsuh" w:cs="Gungsuh"/>
            </w:rPr>
            <w:t xml:space="preserve"> to −0.264 controlling for tax-threshold distance and −0.265 controlling for raw taxable salary: even comparing teams with the same overall payroll, more concentrated teams still devote less to mid-level veterans.</w:t>
          </w:r>
        </w:sdtContent>
      </w:sdt>
    </w:p>
    <w:p w14:paraId="1284E330" w14:textId="77777777" w:rsidR="0032143A" w:rsidRDefault="00000000">
      <w:pPr>
        <w:spacing w:line="480" w:lineRule="auto"/>
        <w:ind w:firstLine="720"/>
        <w:jc w:val="both"/>
      </w:pPr>
      <w:r>
        <w:t>This finding holds across the full sample, not only in the years since the second apron. It is broadly consistent with a simple budget-constraint logic: money committed to a team's highest-paid players is money unavailable for the rest of the roster. The second apron's specific restrictions on the taxpayer mid-level exception and salary aggregation in trades — the primary tools teams have historically used to sign and retain mid-level veterans — plausibly sharpen this tradeoff further for the most concentrated teams. Section [X] tests this directly by examining whether the relationship between payroll concentration and mid-level veteran roster presence grew stronger specifically in the seasons following the second apron's introduction. The underlying relationship documented here, however, predates the second apron and holds across the full sample regardless of that result.</w:t>
      </w:r>
    </w:p>
    <w:p w14:paraId="0F0C571F" w14:textId="77777777" w:rsidR="0032143A" w:rsidRDefault="00000000">
      <w:pPr>
        <w:spacing w:line="480" w:lineRule="auto"/>
      </w:pPr>
      <w:r>
        <w:rPr>
          <w:b/>
          <w:bCs/>
          <w:sz w:val="24"/>
          <w:szCs w:val="24"/>
        </w:rPr>
        <w:t>C. Is the Decline in Mid-Level Veterans Mechanical or Strategic?</w:t>
      </w:r>
    </w:p>
    <w:p w14:paraId="6776F9F4" w14:textId="77777777" w:rsidR="0032143A" w:rsidRDefault="00000000">
      <w:pPr>
        <w:spacing w:line="480" w:lineRule="auto"/>
        <w:ind w:firstLine="720"/>
        <w:jc w:val="both"/>
      </w:pPr>
      <w:r>
        <w:t>One possible explanation for the relationship documented above is that it is purely mechanical. Because star players generally play more minutes, allocating a larger share of payroll to elite talent may simply leave fewer minutes available for everyone else.</w:t>
      </w:r>
    </w:p>
    <w:p w14:paraId="5A600099" w14:textId="77777777" w:rsidR="0032143A" w:rsidRDefault="00000000">
      <w:pPr>
        <w:spacing w:line="480" w:lineRule="auto"/>
        <w:ind w:firstLine="720"/>
        <w:jc w:val="both"/>
      </w:pPr>
      <w:sdt>
        <w:sdtPr>
          <w:tag w:val="goog_rdk_3"/>
          <w:id w:val="708853173"/>
        </w:sdtPr>
        <w:sdtContent>
          <w:r>
            <w:rPr>
              <w:rFonts w:ascii="Gungsuh" w:eastAsia="Gungsuh" w:hAnsi="Gungsuh" w:cs="Gungsuh"/>
            </w:rPr>
            <w:t xml:space="preserve">Re-estimating Model 2 with </w:t>
          </w:r>
          <w:proofErr w:type="spellStart"/>
          <w:r>
            <w:rPr>
              <w:rFonts w:ascii="Gungsuh" w:eastAsia="Gungsuh" w:hAnsi="Gungsuh" w:cs="Gungsuh"/>
            </w:rPr>
            <w:t>HighSalVet_MinShare</w:t>
          </w:r>
          <w:proofErr w:type="spellEnd"/>
          <w:r>
            <w:rPr>
              <w:rFonts w:ascii="Gungsuh" w:eastAsia="Gungsuh" w:hAnsi="Gungsuh" w:cs="Gungsuh"/>
            </w:rPr>
            <w:t xml:space="preserve"> added as a control, the estimated effect of payroll concentration falls modestly, from −0.283 to −0.212, and remains statistically significant (p = 0.023). This indicates that roughly a quarter of the decline in mid-level veteran minutes reflects stars mechanically occupying a larger share of available playing time; the majority of the relationship — roughly three-quarters of the original effect — persists even after accounting for star minutes directly, suggesting that payroll concentration reflects broader roster-construction decisions rather than merely a mechanical redistribution of minutes within the existing roster. The section that follows identifies exactly where that roster-construction effect shows up: whether teams carry fewer mid-level veterans outright, or simply play the ones they have fewer minutes each.</w:t>
          </w:r>
        </w:sdtContent>
      </w:sdt>
    </w:p>
    <w:p w14:paraId="3003CA32" w14:textId="77777777" w:rsidR="0032143A" w:rsidRDefault="00000000">
      <w:pPr>
        <w:spacing w:line="480" w:lineRule="auto"/>
      </w:pPr>
      <w:r>
        <w:rPr>
          <w:b/>
          <w:bCs/>
          <w:sz w:val="24"/>
          <w:szCs w:val="24"/>
        </w:rPr>
        <w:t>D. Fewer Mid-Level Veterans or Less Playing Time?</w:t>
      </w:r>
    </w:p>
    <w:p w14:paraId="1C70A720" w14:textId="77777777" w:rsidR="0032143A" w:rsidRDefault="00000000">
      <w:pPr>
        <w:spacing w:line="480" w:lineRule="auto"/>
        <w:ind w:firstLine="720"/>
        <w:jc w:val="both"/>
      </w:pPr>
      <w:r>
        <w:t xml:space="preserve">The previous results establish that concentrated payroll structures reallocate minutes away from mid-level veterans. An important remaining question is what </w:t>
      </w:r>
      <w:proofErr w:type="gramStart"/>
      <w:r>
        <w:t>actually drives</w:t>
      </w:r>
      <w:proofErr w:type="gramEnd"/>
      <w:r>
        <w:t xml:space="preserve"> this decline in minutes: do teams retain the same mid-level veterans but reduce their playing time, or do they simply carry fewer such players on their rosters?</w:t>
      </w:r>
    </w:p>
    <w:p w14:paraId="28C82AA1" w14:textId="77777777" w:rsidR="0032143A" w:rsidRDefault="00000000">
      <w:pPr>
        <w:spacing w:line="480" w:lineRule="auto"/>
        <w:ind w:firstLine="720"/>
        <w:jc w:val="both"/>
      </w:pPr>
      <w:sdt>
        <w:sdtPr>
          <w:tag w:val="goog_rdk_4"/>
          <w:id w:val="-1064140746"/>
        </w:sdtPr>
        <w:sdtContent>
          <w:r>
            <w:rPr>
              <w:rFonts w:ascii="Cardo" w:eastAsia="Cardo" w:hAnsi="Cardo" w:cs="Cardo"/>
            </w:rPr>
            <w:t>The evidence strongly supports the latter explanation. Re-estimating Model 2 using the number of rostered mid-level veterans (</w:t>
          </w:r>
          <w:proofErr w:type="spellStart"/>
          <w:r>
            <w:rPr>
              <w:rFonts w:ascii="Cardo" w:eastAsia="Cardo" w:hAnsi="Cardo" w:cs="Cardo"/>
            </w:rPr>
            <w:t>N_MidVet</w:t>
          </w:r>
          <w:proofErr w:type="spellEnd"/>
          <w:r>
            <w:rPr>
              <w:rFonts w:ascii="Cardo" w:eastAsia="Cardo" w:hAnsi="Cardo" w:cs="Cardo"/>
            </w:rPr>
            <w:t>) and the average minutes played per mid-level veteran (</w:t>
          </w:r>
          <w:proofErr w:type="spellStart"/>
          <w:r>
            <w:rPr>
              <w:rFonts w:ascii="Cardo" w:eastAsia="Cardo" w:hAnsi="Cardo" w:cs="Cardo"/>
            </w:rPr>
            <w:t>Minutes_per_MidVet</w:t>
          </w:r>
          <w:proofErr w:type="spellEnd"/>
          <w:r>
            <w:rPr>
              <w:rFonts w:ascii="Cardo" w:eastAsia="Cardo" w:hAnsi="Cardo" w:cs="Cardo"/>
            </w:rPr>
            <w:t>) as alternative outcomes, teams with more concentrated payrolls roster significantly fewer mid-level veterans: a 10-percentage-point increase in payroll concentration (Top3Share) predicts roughly 0.44 fewer mid-level veterans rostered (β = −4.44, p &lt; 0.001). Because a typical roster in the sample carries only two to three mid-level veterans at any given time, losing nearly half a player per standard-deviation shift in concentration represents a meaningful share of a team's entire mid-level veteran presence — the equivalent of one in every two or three concentrated teams effectively losing an entire rotation spot at that tier. Payroll concentration has no statistically significant relationship with the average minutes played by each remaining mid-level veteran (β = 0.025, p = 0.28).</w:t>
          </w:r>
        </w:sdtContent>
      </w:sdt>
    </w:p>
    <w:p w14:paraId="22181837" w14:textId="77777777" w:rsidR="0032143A" w:rsidRDefault="00000000">
      <w:pPr>
        <w:spacing w:line="480" w:lineRule="auto"/>
        <w:jc w:val="both"/>
      </w:pPr>
      <w:r>
        <w:lastRenderedPageBreak/>
        <w:t>Table 2 (rough): Headcount vs. Minutes-Per-Player</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2"/>
        <w:gridCol w:w="3678"/>
        <w:gridCol w:w="908"/>
        <w:gridCol w:w="1382"/>
      </w:tblGrid>
      <w:tr w:rsidR="0032143A" w14:paraId="3EA785DE" w14:textId="77777777">
        <w:trPr>
          <w:trHeight w:val="785"/>
        </w:trPr>
        <w:tc>
          <w:tcPr>
            <w:tcW w:w="3391" w:type="dxa"/>
            <w:tcBorders>
              <w:top w:val="nil"/>
              <w:left w:val="nil"/>
              <w:bottom w:val="nil"/>
              <w:right w:val="nil"/>
            </w:tcBorders>
            <w:tcMar>
              <w:top w:w="100" w:type="dxa"/>
              <w:left w:w="100" w:type="dxa"/>
              <w:bottom w:w="100" w:type="dxa"/>
              <w:right w:w="100" w:type="dxa"/>
            </w:tcMar>
          </w:tcPr>
          <w:p w14:paraId="1165B287" w14:textId="77777777" w:rsidR="0032143A" w:rsidRDefault="00000000">
            <w:pPr>
              <w:spacing w:line="480" w:lineRule="auto"/>
              <w:ind w:firstLine="720"/>
              <w:jc w:val="center"/>
            </w:pPr>
            <w:r>
              <w:rPr>
                <w:b/>
                <w:bCs/>
              </w:rPr>
              <w:t>Dependent Variable</w:t>
            </w:r>
          </w:p>
        </w:tc>
        <w:tc>
          <w:tcPr>
            <w:tcW w:w="3677" w:type="dxa"/>
            <w:tcBorders>
              <w:top w:val="nil"/>
              <w:left w:val="nil"/>
              <w:bottom w:val="nil"/>
              <w:right w:val="nil"/>
            </w:tcBorders>
            <w:tcMar>
              <w:top w:w="100" w:type="dxa"/>
              <w:left w:w="100" w:type="dxa"/>
              <w:bottom w:w="100" w:type="dxa"/>
              <w:right w:w="100" w:type="dxa"/>
            </w:tcMar>
          </w:tcPr>
          <w:p w14:paraId="057E8F88" w14:textId="77777777" w:rsidR="0032143A" w:rsidRDefault="00000000">
            <w:pPr>
              <w:spacing w:line="480" w:lineRule="auto"/>
              <w:ind w:firstLine="720"/>
              <w:jc w:val="center"/>
            </w:pPr>
            <w:r>
              <w:rPr>
                <w:b/>
                <w:bCs/>
              </w:rPr>
              <w:t>Coefficient on Payroll Concentration (Top3Share)</w:t>
            </w:r>
          </w:p>
        </w:tc>
        <w:tc>
          <w:tcPr>
            <w:tcW w:w="908" w:type="dxa"/>
            <w:tcBorders>
              <w:top w:val="nil"/>
              <w:left w:val="nil"/>
              <w:bottom w:val="nil"/>
              <w:right w:val="nil"/>
            </w:tcBorders>
            <w:tcMar>
              <w:top w:w="100" w:type="dxa"/>
              <w:left w:w="100" w:type="dxa"/>
              <w:bottom w:w="100" w:type="dxa"/>
              <w:right w:w="100" w:type="dxa"/>
            </w:tcMar>
          </w:tcPr>
          <w:p w14:paraId="63550781" w14:textId="77777777" w:rsidR="0032143A" w:rsidRDefault="00000000">
            <w:pPr>
              <w:spacing w:line="480" w:lineRule="auto"/>
              <w:ind w:firstLine="720"/>
              <w:jc w:val="center"/>
            </w:pPr>
            <w:r>
              <w:rPr>
                <w:b/>
                <w:bCs/>
              </w:rPr>
              <w:t>p-value</w:t>
            </w:r>
          </w:p>
        </w:tc>
        <w:tc>
          <w:tcPr>
            <w:tcW w:w="1382" w:type="dxa"/>
            <w:tcBorders>
              <w:top w:val="nil"/>
              <w:left w:val="nil"/>
              <w:bottom w:val="nil"/>
              <w:right w:val="nil"/>
            </w:tcBorders>
            <w:tcMar>
              <w:top w:w="100" w:type="dxa"/>
              <w:left w:w="100" w:type="dxa"/>
              <w:bottom w:w="100" w:type="dxa"/>
              <w:right w:w="100" w:type="dxa"/>
            </w:tcMar>
          </w:tcPr>
          <w:p w14:paraId="500DDB6B" w14:textId="77777777" w:rsidR="0032143A" w:rsidRDefault="00000000">
            <w:pPr>
              <w:spacing w:line="480" w:lineRule="auto"/>
              <w:ind w:firstLine="720"/>
              <w:jc w:val="center"/>
            </w:pPr>
            <w:r>
              <w:rPr>
                <w:b/>
                <w:bCs/>
              </w:rPr>
              <w:t>Significant?</w:t>
            </w:r>
          </w:p>
        </w:tc>
      </w:tr>
      <w:tr w:rsidR="0032143A" w14:paraId="690D1033" w14:textId="77777777">
        <w:trPr>
          <w:trHeight w:val="785"/>
        </w:trPr>
        <w:tc>
          <w:tcPr>
            <w:tcW w:w="3391" w:type="dxa"/>
            <w:tcBorders>
              <w:top w:val="nil"/>
              <w:left w:val="nil"/>
              <w:bottom w:val="nil"/>
              <w:right w:val="nil"/>
            </w:tcBorders>
            <w:tcMar>
              <w:top w:w="100" w:type="dxa"/>
              <w:left w:w="100" w:type="dxa"/>
              <w:bottom w:w="100" w:type="dxa"/>
              <w:right w:w="100" w:type="dxa"/>
            </w:tcMar>
          </w:tcPr>
          <w:p w14:paraId="3BC76200" w14:textId="77777777" w:rsidR="0032143A" w:rsidRDefault="00000000">
            <w:pPr>
              <w:spacing w:line="480" w:lineRule="auto"/>
              <w:ind w:firstLine="720"/>
              <w:jc w:val="both"/>
            </w:pPr>
            <w:r>
              <w:t>Minutes share (</w:t>
            </w:r>
            <w:proofErr w:type="spellStart"/>
            <w:r>
              <w:t>MidVet_MinShare</w:t>
            </w:r>
            <w:proofErr w:type="spellEnd"/>
            <w:r>
              <w:t>)</w:t>
            </w:r>
          </w:p>
        </w:tc>
        <w:tc>
          <w:tcPr>
            <w:tcW w:w="3677" w:type="dxa"/>
            <w:tcBorders>
              <w:top w:val="nil"/>
              <w:left w:val="nil"/>
              <w:bottom w:val="nil"/>
              <w:right w:val="nil"/>
            </w:tcBorders>
            <w:tcMar>
              <w:top w:w="100" w:type="dxa"/>
              <w:left w:w="100" w:type="dxa"/>
              <w:bottom w:w="100" w:type="dxa"/>
              <w:right w:w="100" w:type="dxa"/>
            </w:tcMar>
          </w:tcPr>
          <w:p w14:paraId="6B07775C" w14:textId="77777777" w:rsidR="0032143A" w:rsidRDefault="00000000">
            <w:pPr>
              <w:spacing w:line="480" w:lineRule="auto"/>
              <w:ind w:firstLine="720"/>
              <w:jc w:val="both"/>
            </w:pPr>
            <w:sdt>
              <w:sdtPr>
                <w:tag w:val="goog_rdk_5"/>
                <w:id w:val="-1311848608"/>
              </w:sdtPr>
              <w:sdtContent>
                <w:r>
                  <w:rPr>
                    <w:rFonts w:ascii="Gungsuh" w:eastAsia="Gungsuh" w:hAnsi="Gungsuh" w:cs="Gungsuh"/>
                  </w:rPr>
                  <w:t>−0.283</w:t>
                </w:r>
              </w:sdtContent>
            </w:sdt>
          </w:p>
        </w:tc>
        <w:tc>
          <w:tcPr>
            <w:tcW w:w="908" w:type="dxa"/>
            <w:tcBorders>
              <w:top w:val="nil"/>
              <w:left w:val="nil"/>
              <w:bottom w:val="nil"/>
              <w:right w:val="nil"/>
            </w:tcBorders>
            <w:tcMar>
              <w:top w:w="100" w:type="dxa"/>
              <w:left w:w="100" w:type="dxa"/>
              <w:bottom w:w="100" w:type="dxa"/>
              <w:right w:w="100" w:type="dxa"/>
            </w:tcMar>
          </w:tcPr>
          <w:p w14:paraId="187AEAB4" w14:textId="77777777" w:rsidR="0032143A" w:rsidRDefault="00000000">
            <w:pPr>
              <w:spacing w:line="480" w:lineRule="auto"/>
              <w:ind w:firstLine="720"/>
              <w:jc w:val="both"/>
            </w:pPr>
            <w:r>
              <w:t>0.0045</w:t>
            </w:r>
          </w:p>
        </w:tc>
        <w:tc>
          <w:tcPr>
            <w:tcW w:w="1382" w:type="dxa"/>
            <w:tcBorders>
              <w:top w:val="nil"/>
              <w:left w:val="nil"/>
              <w:bottom w:val="nil"/>
              <w:right w:val="nil"/>
            </w:tcBorders>
            <w:tcMar>
              <w:top w:w="100" w:type="dxa"/>
              <w:left w:w="100" w:type="dxa"/>
              <w:bottom w:w="100" w:type="dxa"/>
              <w:right w:w="100" w:type="dxa"/>
            </w:tcMar>
          </w:tcPr>
          <w:p w14:paraId="3E8AAC9E" w14:textId="77777777" w:rsidR="0032143A" w:rsidRDefault="00000000">
            <w:pPr>
              <w:spacing w:line="480" w:lineRule="auto"/>
              <w:ind w:firstLine="720"/>
              <w:jc w:val="both"/>
            </w:pPr>
            <w:r>
              <w:t>Yes</w:t>
            </w:r>
          </w:p>
        </w:tc>
      </w:tr>
      <w:tr w:rsidR="0032143A" w14:paraId="4A59F74B" w14:textId="77777777">
        <w:trPr>
          <w:trHeight w:val="515"/>
        </w:trPr>
        <w:tc>
          <w:tcPr>
            <w:tcW w:w="3391" w:type="dxa"/>
            <w:tcBorders>
              <w:top w:val="nil"/>
              <w:left w:val="nil"/>
              <w:bottom w:val="nil"/>
              <w:right w:val="nil"/>
            </w:tcBorders>
            <w:tcMar>
              <w:top w:w="100" w:type="dxa"/>
              <w:left w:w="100" w:type="dxa"/>
              <w:bottom w:w="100" w:type="dxa"/>
              <w:right w:w="100" w:type="dxa"/>
            </w:tcMar>
          </w:tcPr>
          <w:p w14:paraId="35335676" w14:textId="77777777" w:rsidR="0032143A" w:rsidRDefault="00000000">
            <w:pPr>
              <w:spacing w:line="480" w:lineRule="auto"/>
              <w:ind w:firstLine="720"/>
              <w:jc w:val="both"/>
            </w:pPr>
            <w:r>
              <w:t>Roster headcount (</w:t>
            </w:r>
            <w:proofErr w:type="spellStart"/>
            <w:r>
              <w:t>N_MidVet</w:t>
            </w:r>
            <w:proofErr w:type="spellEnd"/>
            <w:r>
              <w:t>)</w:t>
            </w:r>
          </w:p>
        </w:tc>
        <w:tc>
          <w:tcPr>
            <w:tcW w:w="3677" w:type="dxa"/>
            <w:tcBorders>
              <w:top w:val="nil"/>
              <w:left w:val="nil"/>
              <w:bottom w:val="nil"/>
              <w:right w:val="nil"/>
            </w:tcBorders>
            <w:tcMar>
              <w:top w:w="100" w:type="dxa"/>
              <w:left w:w="100" w:type="dxa"/>
              <w:bottom w:w="100" w:type="dxa"/>
              <w:right w:w="100" w:type="dxa"/>
            </w:tcMar>
          </w:tcPr>
          <w:p w14:paraId="0D88AFDB" w14:textId="77777777" w:rsidR="0032143A" w:rsidRDefault="00000000">
            <w:pPr>
              <w:spacing w:line="480" w:lineRule="auto"/>
              <w:ind w:firstLine="720"/>
              <w:jc w:val="both"/>
            </w:pPr>
            <w:sdt>
              <w:sdtPr>
                <w:tag w:val="goog_rdk_6"/>
                <w:id w:val="-727169906"/>
              </w:sdtPr>
              <w:sdtContent>
                <w:r>
                  <w:rPr>
                    <w:rFonts w:ascii="Gungsuh" w:eastAsia="Gungsuh" w:hAnsi="Gungsuh" w:cs="Gungsuh"/>
                  </w:rPr>
                  <w:t>−4.44</w:t>
                </w:r>
              </w:sdtContent>
            </w:sdt>
          </w:p>
        </w:tc>
        <w:tc>
          <w:tcPr>
            <w:tcW w:w="908" w:type="dxa"/>
            <w:tcBorders>
              <w:top w:val="nil"/>
              <w:left w:val="nil"/>
              <w:bottom w:val="nil"/>
              <w:right w:val="nil"/>
            </w:tcBorders>
            <w:tcMar>
              <w:top w:w="100" w:type="dxa"/>
              <w:left w:w="100" w:type="dxa"/>
              <w:bottom w:w="100" w:type="dxa"/>
              <w:right w:w="100" w:type="dxa"/>
            </w:tcMar>
          </w:tcPr>
          <w:p w14:paraId="4FCF26DF" w14:textId="77777777" w:rsidR="0032143A" w:rsidRDefault="00000000">
            <w:pPr>
              <w:spacing w:line="480" w:lineRule="auto"/>
              <w:ind w:firstLine="720"/>
              <w:jc w:val="both"/>
            </w:pPr>
            <w:r>
              <w:t>&lt;0.001</w:t>
            </w:r>
          </w:p>
        </w:tc>
        <w:tc>
          <w:tcPr>
            <w:tcW w:w="1382" w:type="dxa"/>
            <w:tcBorders>
              <w:top w:val="nil"/>
              <w:left w:val="nil"/>
              <w:bottom w:val="nil"/>
              <w:right w:val="nil"/>
            </w:tcBorders>
            <w:tcMar>
              <w:top w:w="100" w:type="dxa"/>
              <w:left w:w="100" w:type="dxa"/>
              <w:bottom w:w="100" w:type="dxa"/>
              <w:right w:w="100" w:type="dxa"/>
            </w:tcMar>
          </w:tcPr>
          <w:p w14:paraId="59130955" w14:textId="77777777" w:rsidR="0032143A" w:rsidRDefault="00000000">
            <w:pPr>
              <w:spacing w:line="480" w:lineRule="auto"/>
              <w:ind w:firstLine="720"/>
              <w:jc w:val="both"/>
            </w:pPr>
            <w:r>
              <w:t>Yes</w:t>
            </w:r>
          </w:p>
        </w:tc>
      </w:tr>
      <w:tr w:rsidR="0032143A" w14:paraId="403E15CF" w14:textId="77777777">
        <w:trPr>
          <w:trHeight w:val="785"/>
        </w:trPr>
        <w:tc>
          <w:tcPr>
            <w:tcW w:w="3391" w:type="dxa"/>
            <w:tcBorders>
              <w:top w:val="nil"/>
              <w:left w:val="nil"/>
              <w:bottom w:val="nil"/>
              <w:right w:val="nil"/>
            </w:tcBorders>
            <w:tcMar>
              <w:top w:w="100" w:type="dxa"/>
              <w:left w:w="100" w:type="dxa"/>
              <w:bottom w:w="100" w:type="dxa"/>
              <w:right w:w="100" w:type="dxa"/>
            </w:tcMar>
          </w:tcPr>
          <w:p w14:paraId="7870C3EC" w14:textId="77777777" w:rsidR="0032143A" w:rsidRDefault="00000000">
            <w:pPr>
              <w:spacing w:line="480" w:lineRule="auto"/>
              <w:ind w:firstLine="720"/>
              <w:jc w:val="both"/>
            </w:pPr>
            <w:r>
              <w:t>Minutes per player (</w:t>
            </w:r>
            <w:proofErr w:type="spellStart"/>
            <w:r>
              <w:t>Minutes_per_MidVet</w:t>
            </w:r>
            <w:proofErr w:type="spellEnd"/>
            <w:r>
              <w:t>)</w:t>
            </w:r>
          </w:p>
        </w:tc>
        <w:tc>
          <w:tcPr>
            <w:tcW w:w="3677" w:type="dxa"/>
            <w:tcBorders>
              <w:top w:val="nil"/>
              <w:left w:val="nil"/>
              <w:bottom w:val="nil"/>
              <w:right w:val="nil"/>
            </w:tcBorders>
            <w:tcMar>
              <w:top w:w="100" w:type="dxa"/>
              <w:left w:w="100" w:type="dxa"/>
              <w:bottom w:w="100" w:type="dxa"/>
              <w:right w:w="100" w:type="dxa"/>
            </w:tcMar>
          </w:tcPr>
          <w:p w14:paraId="1919201C" w14:textId="77777777" w:rsidR="0032143A" w:rsidRDefault="00000000">
            <w:pPr>
              <w:spacing w:line="480" w:lineRule="auto"/>
              <w:ind w:firstLine="720"/>
              <w:jc w:val="both"/>
            </w:pPr>
            <w:r>
              <w:t>0.025</w:t>
            </w:r>
          </w:p>
        </w:tc>
        <w:tc>
          <w:tcPr>
            <w:tcW w:w="908" w:type="dxa"/>
            <w:tcBorders>
              <w:top w:val="nil"/>
              <w:left w:val="nil"/>
              <w:bottom w:val="nil"/>
              <w:right w:val="nil"/>
            </w:tcBorders>
            <w:tcMar>
              <w:top w:w="100" w:type="dxa"/>
              <w:left w:w="100" w:type="dxa"/>
              <w:bottom w:w="100" w:type="dxa"/>
              <w:right w:w="100" w:type="dxa"/>
            </w:tcMar>
          </w:tcPr>
          <w:p w14:paraId="73F190E2" w14:textId="77777777" w:rsidR="0032143A" w:rsidRDefault="00000000">
            <w:pPr>
              <w:spacing w:line="480" w:lineRule="auto"/>
              <w:ind w:firstLine="720"/>
              <w:jc w:val="both"/>
            </w:pPr>
            <w:r>
              <w:t>0.28</w:t>
            </w:r>
          </w:p>
        </w:tc>
        <w:tc>
          <w:tcPr>
            <w:tcW w:w="1382" w:type="dxa"/>
            <w:tcBorders>
              <w:top w:val="nil"/>
              <w:left w:val="nil"/>
              <w:bottom w:val="nil"/>
              <w:right w:val="nil"/>
            </w:tcBorders>
            <w:tcMar>
              <w:top w:w="100" w:type="dxa"/>
              <w:left w:w="100" w:type="dxa"/>
              <w:bottom w:w="100" w:type="dxa"/>
              <w:right w:w="100" w:type="dxa"/>
            </w:tcMar>
          </w:tcPr>
          <w:p w14:paraId="15502F95" w14:textId="77777777" w:rsidR="0032143A" w:rsidRDefault="00000000">
            <w:pPr>
              <w:spacing w:line="480" w:lineRule="auto"/>
              <w:ind w:firstLine="720"/>
              <w:jc w:val="both"/>
            </w:pPr>
            <w:r>
              <w:t>No</w:t>
            </w:r>
          </w:p>
        </w:tc>
      </w:tr>
    </w:tbl>
    <w:p w14:paraId="28D78642" w14:textId="77777777" w:rsidR="0032143A" w:rsidRDefault="00000000">
      <w:pPr>
        <w:spacing w:line="480" w:lineRule="auto"/>
        <w:jc w:val="both"/>
        <w:rPr>
          <w:i/>
          <w:iCs/>
        </w:rPr>
      </w:pPr>
      <w:r>
        <w:rPr>
          <w:i/>
          <w:iCs/>
        </w:rPr>
        <w:t>Rough / draft table — not formatted for final submission.</w:t>
      </w:r>
    </w:p>
    <w:p w14:paraId="6F466691" w14:textId="77777777" w:rsidR="0032143A" w:rsidRDefault="00000000">
      <w:pPr>
        <w:spacing w:line="480" w:lineRule="auto"/>
        <w:ind w:firstLine="720"/>
        <w:jc w:val="both"/>
      </w:pPr>
      <w:r>
        <w:t>This distinction matters because it identifies the actual mechanism behind the roster changes documented above. Rather than shortening the rotation of the veterans they keep, teams appear to reduce roster depth itself by carrying fewer of them in the first place. This finding holds across the full sample, consistent with the same budget-constraint logic discussed earlier: as payroll becomes more concentrated, a smaller share of roster spots and rotation minutes go to mid-level veterans. Adding an interaction between payroll concentration and the apron-era indicator — testing whether this relationship strengthened after the second apron — returns a result directionally consistent with a stronger effect (more than half as large as the baseline coefficient) but not statistically significant (p = 0.20). This is unsurprising given only three apron-era seasons to estimate from, and is consistent with the second apron intensifying an existing relationship rather than creating a new one, by further restricting the roster-building tools teams use to retain this tier of player.</w:t>
      </w:r>
    </w:p>
    <w:p w14:paraId="7AD9CBA6" w14:textId="77777777" w:rsidR="0032143A" w:rsidRDefault="00000000">
      <w:pPr>
        <w:spacing w:line="480" w:lineRule="auto"/>
        <w:ind w:firstLine="720"/>
        <w:jc w:val="both"/>
      </w:pPr>
      <w:r>
        <w:t>Given that more teams now operate with concentrated payrolls, and that such concentration is associated with carrying fewer mid-level veterans, the following section examines how this roster structure — concentration at the top, with reduced reliance on mid-level veterans — influences team performance.</w:t>
      </w:r>
    </w:p>
    <w:p w14:paraId="10668CA1" w14:textId="77777777" w:rsidR="0032143A" w:rsidRDefault="00000000">
      <w:pPr>
        <w:spacing w:line="480" w:lineRule="auto"/>
      </w:pPr>
      <w:r>
        <w:rPr>
          <w:b/>
          <w:bCs/>
          <w:sz w:val="28"/>
          <w:szCs w:val="28"/>
        </w:rPr>
        <w:t>VI. Roster Construction and Team Performance</w:t>
      </w:r>
    </w:p>
    <w:p w14:paraId="492DB090" w14:textId="77777777" w:rsidR="0032143A" w:rsidRDefault="00000000">
      <w:pPr>
        <w:spacing w:line="480" w:lineRule="auto"/>
      </w:pPr>
      <w:r>
        <w:rPr>
          <w:b/>
          <w:bCs/>
          <w:sz w:val="24"/>
          <w:szCs w:val="24"/>
        </w:rPr>
        <w:t>A. How Do Mid-Level Veterans Impact Winning?</w:t>
      </w:r>
    </w:p>
    <w:p w14:paraId="78DB675D" w14:textId="77777777" w:rsidR="0032143A" w:rsidRDefault="00000000">
      <w:pPr>
        <w:spacing w:line="480" w:lineRule="auto"/>
        <w:ind w:firstLine="720"/>
        <w:jc w:val="both"/>
      </w:pPr>
      <w:r>
        <w:lastRenderedPageBreak/>
        <w:t>The previous section demonstrated that greater payroll concentration is associated with fewer minutes played by experienced mid-level veterans and, more importantly, with carrying fewer such players on the roster. The next question is how these changes in roster composition factor into team performance.</w:t>
      </w:r>
    </w:p>
    <w:p w14:paraId="14195FF0" w14:textId="77777777" w:rsidR="0032143A" w:rsidRDefault="00000000">
      <w:pPr>
        <w:spacing w:line="480" w:lineRule="auto"/>
        <w:ind w:firstLine="720"/>
        <w:jc w:val="both"/>
      </w:pPr>
      <w:r>
        <w:t>Estimating Model 3, teams allocating a larger share of minutes to mid-level veterans consistently win more games across all specifications. A 10-percentage-point increase in mid-level veteran minute share is associated with approximately a 2.8-percentage-point increase in winning percentage in the baseline specification, which already controls for payroll concentration and the quality of a team's three highest-paid players (β = 0.277, p &lt; 0.001). Importantly, this relationship remains statistically significant after also controlling for total team payroll: the coefficient changes very little whether that control is luxury tax position (β = 0.264) or total taxable payroll (β = 0.265), indicating that the result is not simply driven by higher-spending teams rostering more mid-level veterans.</w:t>
      </w:r>
    </w:p>
    <w:p w14:paraId="2C82251F" w14:textId="77777777" w:rsidR="0032143A" w:rsidRDefault="00000000">
      <w:pPr>
        <w:spacing w:line="480" w:lineRule="auto"/>
        <w:ind w:firstLine="720"/>
        <w:jc w:val="both"/>
      </w:pPr>
      <w:r>
        <w:t xml:space="preserve">These findings suggest that experienced complementary veterans contribute to team success independently of overall payroll and star quality. While star players remain essential, the results indicate that maintaining productive roster depth provides measurable value beyond the contributions of a team's highest-paid players alone. </w:t>
      </w:r>
    </w:p>
    <w:p w14:paraId="17D6F32D" w14:textId="77777777" w:rsidR="0032143A" w:rsidRDefault="00000000">
      <w:pPr>
        <w:spacing w:line="480" w:lineRule="auto"/>
      </w:pPr>
      <w:r>
        <w:rPr>
          <w:b/>
          <w:bCs/>
          <w:sz w:val="24"/>
          <w:szCs w:val="24"/>
        </w:rPr>
        <w:t>B. Does Payroll Concentration Itself Improve Team Performance?</w:t>
      </w:r>
    </w:p>
    <w:p w14:paraId="2C3BC1D1" w14:textId="77777777" w:rsidR="0032143A" w:rsidRDefault="00000000">
      <w:pPr>
        <w:spacing w:before="240" w:after="240" w:line="480" w:lineRule="auto"/>
        <w:ind w:firstLine="720"/>
        <w:jc w:val="both"/>
      </w:pPr>
      <w:r>
        <w:t xml:space="preserve">Section II showed that prior studies generally find a positive relationship between payroll or talent concentration and winning, at least up to a point. At first glance, the results here appear to reach a similar conclusion. When team performance is regressed on payroll concentration while controlling only for total payroll, more concentrated payroll structures are associated with higher winning percentages (β = 0.350, </w:t>
      </w:r>
      <w:r>
        <w:rPr>
          <w:i/>
          <w:iCs/>
        </w:rPr>
        <w:t>p</w:t>
      </w:r>
      <w:r>
        <w:t xml:space="preserve"> &lt; 0.001).</w:t>
      </w:r>
    </w:p>
    <w:p w14:paraId="0B8738CF" w14:textId="77777777" w:rsidR="0032143A" w:rsidRDefault="00000000">
      <w:pPr>
        <w:spacing w:before="240" w:after="240" w:line="480" w:lineRule="auto"/>
        <w:ind w:firstLine="720"/>
        <w:jc w:val="both"/>
      </w:pPr>
      <w:r>
        <w:t xml:space="preserve">That relationship disappears once the quality of the players receiving the concentrated payroll is </w:t>
      </w:r>
      <w:proofErr w:type="gramStart"/>
      <w:r>
        <w:t>taken into account</w:t>
      </w:r>
      <w:proofErr w:type="gramEnd"/>
      <w:r>
        <w:t xml:space="preserve">. Table 3 illustrates this progression. Controlling for the quality of a team's three highest-paid players reduces the estimated effect of payroll concentration from β = 0.350 to β = 0.041, rendering it statistically insignificant. Adding total payroll as an additional control leaves the estimate essentially unchanged (β = –0.009, </w:t>
      </w:r>
      <w:r>
        <w:rPr>
          <w:i/>
          <w:iCs/>
        </w:rPr>
        <w:t>p</w:t>
      </w:r>
      <w:r>
        <w:t xml:space="preserve"> = 0.914).</w:t>
      </w:r>
    </w:p>
    <w:p w14:paraId="5D9B146B" w14:textId="77777777" w:rsidR="0032143A" w:rsidRDefault="00000000">
      <w:pPr>
        <w:spacing w:before="240" w:after="240" w:line="480" w:lineRule="auto"/>
        <w:jc w:val="both"/>
        <w:rPr>
          <w:b/>
          <w:bCs/>
        </w:rPr>
      </w:pPr>
      <w:r>
        <w:rPr>
          <w:b/>
          <w:bCs/>
        </w:rPr>
        <w:t>Table 3. Payroll Concentration and Team Performance</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1"/>
        <w:gridCol w:w="3957"/>
        <w:gridCol w:w="1252"/>
      </w:tblGrid>
      <w:tr w:rsidR="0032143A" w14:paraId="5F2C9762" w14:textId="77777777">
        <w:trPr>
          <w:trHeight w:val="515"/>
        </w:trPr>
        <w:tc>
          <w:tcPr>
            <w:tcW w:w="4150" w:type="dxa"/>
            <w:tcBorders>
              <w:top w:val="nil"/>
              <w:left w:val="nil"/>
              <w:bottom w:val="nil"/>
              <w:right w:val="nil"/>
            </w:tcBorders>
            <w:tcMar>
              <w:top w:w="100" w:type="dxa"/>
              <w:left w:w="100" w:type="dxa"/>
              <w:bottom w:w="100" w:type="dxa"/>
              <w:right w:w="100" w:type="dxa"/>
            </w:tcMar>
          </w:tcPr>
          <w:p w14:paraId="216B480E" w14:textId="77777777" w:rsidR="0032143A" w:rsidRDefault="00000000">
            <w:pPr>
              <w:spacing w:before="240" w:after="240" w:line="480" w:lineRule="auto"/>
              <w:ind w:firstLine="720"/>
              <w:jc w:val="center"/>
            </w:pPr>
            <w:r>
              <w:rPr>
                <w:b/>
                <w:bCs/>
              </w:rPr>
              <w:lastRenderedPageBreak/>
              <w:t>Specification</w:t>
            </w:r>
          </w:p>
        </w:tc>
        <w:tc>
          <w:tcPr>
            <w:tcW w:w="3956" w:type="dxa"/>
            <w:tcBorders>
              <w:top w:val="nil"/>
              <w:left w:val="nil"/>
              <w:bottom w:val="nil"/>
              <w:right w:val="nil"/>
            </w:tcBorders>
            <w:tcMar>
              <w:top w:w="100" w:type="dxa"/>
              <w:left w:w="100" w:type="dxa"/>
              <w:bottom w:w="100" w:type="dxa"/>
              <w:right w:w="100" w:type="dxa"/>
            </w:tcMar>
          </w:tcPr>
          <w:p w14:paraId="2BB80C3E" w14:textId="77777777" w:rsidR="0032143A" w:rsidRDefault="00000000">
            <w:pPr>
              <w:spacing w:before="240" w:after="240" w:line="480" w:lineRule="auto"/>
              <w:ind w:firstLine="720"/>
              <w:jc w:val="center"/>
            </w:pPr>
            <w:r>
              <w:rPr>
                <w:b/>
                <w:bCs/>
              </w:rPr>
              <w:t>Coefficient on Payroll Concentration</w:t>
            </w:r>
          </w:p>
        </w:tc>
        <w:tc>
          <w:tcPr>
            <w:tcW w:w="1252" w:type="dxa"/>
            <w:tcBorders>
              <w:top w:val="nil"/>
              <w:left w:val="nil"/>
              <w:bottom w:val="nil"/>
              <w:right w:val="nil"/>
            </w:tcBorders>
            <w:tcMar>
              <w:top w:w="100" w:type="dxa"/>
              <w:left w:w="100" w:type="dxa"/>
              <w:bottom w:w="100" w:type="dxa"/>
              <w:right w:w="100" w:type="dxa"/>
            </w:tcMar>
          </w:tcPr>
          <w:p w14:paraId="4EBA611E" w14:textId="77777777" w:rsidR="0032143A" w:rsidRDefault="00000000">
            <w:pPr>
              <w:spacing w:before="240" w:after="240" w:line="480" w:lineRule="auto"/>
              <w:ind w:firstLine="720"/>
              <w:jc w:val="center"/>
            </w:pPr>
            <w:r>
              <w:rPr>
                <w:b/>
                <w:bCs/>
              </w:rPr>
              <w:t>p-value</w:t>
            </w:r>
          </w:p>
        </w:tc>
      </w:tr>
      <w:tr w:rsidR="0032143A" w14:paraId="23EC1B1E" w14:textId="77777777">
        <w:trPr>
          <w:trHeight w:val="515"/>
        </w:trPr>
        <w:tc>
          <w:tcPr>
            <w:tcW w:w="4150" w:type="dxa"/>
            <w:tcBorders>
              <w:top w:val="nil"/>
              <w:left w:val="nil"/>
              <w:bottom w:val="nil"/>
              <w:right w:val="nil"/>
            </w:tcBorders>
            <w:tcMar>
              <w:top w:w="100" w:type="dxa"/>
              <w:left w:w="100" w:type="dxa"/>
              <w:bottom w:w="100" w:type="dxa"/>
              <w:right w:w="100" w:type="dxa"/>
            </w:tcMar>
          </w:tcPr>
          <w:p w14:paraId="4CB8827D" w14:textId="77777777" w:rsidR="0032143A" w:rsidRDefault="00000000">
            <w:pPr>
              <w:spacing w:before="240" w:after="240" w:line="480" w:lineRule="auto"/>
              <w:ind w:firstLine="720"/>
              <w:jc w:val="both"/>
            </w:pPr>
            <w:r>
              <w:t>Controls for total payroll only</w:t>
            </w:r>
          </w:p>
        </w:tc>
        <w:tc>
          <w:tcPr>
            <w:tcW w:w="3956" w:type="dxa"/>
            <w:tcBorders>
              <w:top w:val="nil"/>
              <w:left w:val="nil"/>
              <w:bottom w:val="nil"/>
              <w:right w:val="nil"/>
            </w:tcBorders>
            <w:tcMar>
              <w:top w:w="100" w:type="dxa"/>
              <w:left w:w="100" w:type="dxa"/>
              <w:bottom w:w="100" w:type="dxa"/>
              <w:right w:w="100" w:type="dxa"/>
            </w:tcMar>
          </w:tcPr>
          <w:p w14:paraId="5D72C0DD" w14:textId="77777777" w:rsidR="0032143A" w:rsidRDefault="00000000">
            <w:pPr>
              <w:spacing w:before="240" w:after="240" w:line="480" w:lineRule="auto"/>
              <w:ind w:firstLine="720"/>
              <w:jc w:val="both"/>
            </w:pPr>
            <w:r>
              <w:t>0.350</w:t>
            </w:r>
          </w:p>
        </w:tc>
        <w:tc>
          <w:tcPr>
            <w:tcW w:w="1252" w:type="dxa"/>
            <w:tcBorders>
              <w:top w:val="nil"/>
              <w:left w:val="nil"/>
              <w:bottom w:val="nil"/>
              <w:right w:val="nil"/>
            </w:tcBorders>
            <w:tcMar>
              <w:top w:w="100" w:type="dxa"/>
              <w:left w:w="100" w:type="dxa"/>
              <w:bottom w:w="100" w:type="dxa"/>
              <w:right w:w="100" w:type="dxa"/>
            </w:tcMar>
          </w:tcPr>
          <w:p w14:paraId="165DB4C1" w14:textId="77777777" w:rsidR="0032143A" w:rsidRDefault="00000000">
            <w:pPr>
              <w:spacing w:before="240" w:after="240" w:line="480" w:lineRule="auto"/>
              <w:ind w:firstLine="720"/>
              <w:jc w:val="both"/>
            </w:pPr>
            <w:r>
              <w:t>&lt;0.001***</w:t>
            </w:r>
          </w:p>
        </w:tc>
      </w:tr>
      <w:tr w:rsidR="0032143A" w14:paraId="711D27D6" w14:textId="77777777">
        <w:trPr>
          <w:trHeight w:val="515"/>
        </w:trPr>
        <w:tc>
          <w:tcPr>
            <w:tcW w:w="4150" w:type="dxa"/>
            <w:tcBorders>
              <w:top w:val="nil"/>
              <w:left w:val="nil"/>
              <w:bottom w:val="nil"/>
              <w:right w:val="nil"/>
            </w:tcBorders>
            <w:tcMar>
              <w:top w:w="100" w:type="dxa"/>
              <w:left w:w="100" w:type="dxa"/>
              <w:bottom w:w="100" w:type="dxa"/>
              <w:right w:w="100" w:type="dxa"/>
            </w:tcMar>
          </w:tcPr>
          <w:p w14:paraId="33D920EC" w14:textId="77777777" w:rsidR="0032143A" w:rsidRDefault="00000000">
            <w:pPr>
              <w:spacing w:before="240" w:after="240" w:line="480" w:lineRule="auto"/>
              <w:ind w:firstLine="720"/>
              <w:jc w:val="both"/>
            </w:pPr>
            <w:r>
              <w:t xml:space="preserve">Controls for </w:t>
            </w:r>
            <w:proofErr w:type="gramStart"/>
            <w:r>
              <w:t>top-three</w:t>
            </w:r>
            <w:proofErr w:type="gramEnd"/>
            <w:r>
              <w:t xml:space="preserve"> player quality only</w:t>
            </w:r>
          </w:p>
        </w:tc>
        <w:tc>
          <w:tcPr>
            <w:tcW w:w="3956" w:type="dxa"/>
            <w:tcBorders>
              <w:top w:val="nil"/>
              <w:left w:val="nil"/>
              <w:bottom w:val="nil"/>
              <w:right w:val="nil"/>
            </w:tcBorders>
            <w:tcMar>
              <w:top w:w="100" w:type="dxa"/>
              <w:left w:w="100" w:type="dxa"/>
              <w:bottom w:w="100" w:type="dxa"/>
              <w:right w:w="100" w:type="dxa"/>
            </w:tcMar>
          </w:tcPr>
          <w:p w14:paraId="2BD0BB1A" w14:textId="77777777" w:rsidR="0032143A" w:rsidRDefault="00000000">
            <w:pPr>
              <w:spacing w:before="240" w:after="240" w:line="480" w:lineRule="auto"/>
              <w:ind w:firstLine="720"/>
              <w:jc w:val="both"/>
            </w:pPr>
            <w:r>
              <w:t>0.041</w:t>
            </w:r>
          </w:p>
        </w:tc>
        <w:tc>
          <w:tcPr>
            <w:tcW w:w="1252" w:type="dxa"/>
            <w:tcBorders>
              <w:top w:val="nil"/>
              <w:left w:val="nil"/>
              <w:bottom w:val="nil"/>
              <w:right w:val="nil"/>
            </w:tcBorders>
            <w:tcMar>
              <w:top w:w="100" w:type="dxa"/>
              <w:left w:w="100" w:type="dxa"/>
              <w:bottom w:w="100" w:type="dxa"/>
              <w:right w:w="100" w:type="dxa"/>
            </w:tcMar>
          </w:tcPr>
          <w:p w14:paraId="01A6A539" w14:textId="77777777" w:rsidR="0032143A" w:rsidRDefault="00000000">
            <w:pPr>
              <w:spacing w:before="240" w:after="240" w:line="480" w:lineRule="auto"/>
              <w:ind w:firstLine="720"/>
              <w:jc w:val="both"/>
            </w:pPr>
            <w:proofErr w:type="spellStart"/>
            <w:r>
              <w:t>n.s</w:t>
            </w:r>
            <w:proofErr w:type="spellEnd"/>
            <w:r>
              <w:t>.</w:t>
            </w:r>
          </w:p>
        </w:tc>
      </w:tr>
      <w:tr w:rsidR="0032143A" w14:paraId="694CFE11" w14:textId="77777777">
        <w:trPr>
          <w:trHeight w:val="515"/>
        </w:trPr>
        <w:tc>
          <w:tcPr>
            <w:tcW w:w="4150" w:type="dxa"/>
            <w:tcBorders>
              <w:top w:val="nil"/>
              <w:left w:val="nil"/>
              <w:bottom w:val="nil"/>
              <w:right w:val="nil"/>
            </w:tcBorders>
            <w:tcMar>
              <w:top w:w="100" w:type="dxa"/>
              <w:left w:w="100" w:type="dxa"/>
              <w:bottom w:w="100" w:type="dxa"/>
              <w:right w:w="100" w:type="dxa"/>
            </w:tcMar>
          </w:tcPr>
          <w:p w14:paraId="068E3C6D" w14:textId="77777777" w:rsidR="0032143A" w:rsidRDefault="00000000">
            <w:pPr>
              <w:spacing w:before="240" w:after="240" w:line="480" w:lineRule="auto"/>
              <w:ind w:firstLine="720"/>
              <w:jc w:val="both"/>
            </w:pPr>
            <w:r>
              <w:t>Controls for both</w:t>
            </w:r>
          </w:p>
        </w:tc>
        <w:tc>
          <w:tcPr>
            <w:tcW w:w="3956" w:type="dxa"/>
            <w:tcBorders>
              <w:top w:val="nil"/>
              <w:left w:val="nil"/>
              <w:bottom w:val="nil"/>
              <w:right w:val="nil"/>
            </w:tcBorders>
            <w:tcMar>
              <w:top w:w="100" w:type="dxa"/>
              <w:left w:w="100" w:type="dxa"/>
              <w:bottom w:w="100" w:type="dxa"/>
              <w:right w:w="100" w:type="dxa"/>
            </w:tcMar>
          </w:tcPr>
          <w:p w14:paraId="19B0CE08" w14:textId="77777777" w:rsidR="0032143A" w:rsidRDefault="00000000">
            <w:pPr>
              <w:spacing w:before="240" w:after="240" w:line="480" w:lineRule="auto"/>
              <w:ind w:firstLine="720"/>
              <w:jc w:val="both"/>
            </w:pPr>
            <w:r>
              <w:t>-0.009</w:t>
            </w:r>
          </w:p>
        </w:tc>
        <w:tc>
          <w:tcPr>
            <w:tcW w:w="1252" w:type="dxa"/>
            <w:tcBorders>
              <w:top w:val="nil"/>
              <w:left w:val="nil"/>
              <w:bottom w:val="nil"/>
              <w:right w:val="nil"/>
            </w:tcBorders>
            <w:tcMar>
              <w:top w:w="100" w:type="dxa"/>
              <w:left w:w="100" w:type="dxa"/>
              <w:bottom w:w="100" w:type="dxa"/>
              <w:right w:w="100" w:type="dxa"/>
            </w:tcMar>
          </w:tcPr>
          <w:p w14:paraId="2EDCD7BB" w14:textId="77777777" w:rsidR="0032143A" w:rsidRDefault="00000000">
            <w:pPr>
              <w:spacing w:before="240" w:after="240" w:line="480" w:lineRule="auto"/>
              <w:ind w:firstLine="720"/>
              <w:jc w:val="both"/>
            </w:pPr>
            <w:r>
              <w:t>0.914</w:t>
            </w:r>
          </w:p>
        </w:tc>
      </w:tr>
    </w:tbl>
    <w:p w14:paraId="49BBC9E9" w14:textId="77777777" w:rsidR="0032143A" w:rsidRDefault="00000000">
      <w:pPr>
        <w:spacing w:before="240" w:after="240" w:line="480" w:lineRule="auto"/>
        <w:ind w:firstLine="720"/>
        <w:jc w:val="both"/>
      </w:pPr>
      <w:r>
        <w:t>This progression illustrates a straightforward case of omitted variable bias. Elite players both command larger salaries and contribute disproportionately to winning, making payroll concentration and player quality naturally correlated. Once player quality is held constant, payroll concentration itself has essentially no average relationship with team performance.</w:t>
      </w:r>
    </w:p>
    <w:p w14:paraId="443DD386" w14:textId="77777777" w:rsidR="0032143A" w:rsidRDefault="00000000">
      <w:pPr>
        <w:pStyle w:val="Heading3"/>
        <w:spacing w:before="280" w:after="80" w:line="480" w:lineRule="auto"/>
        <w:jc w:val="both"/>
        <w:rPr>
          <w:b/>
          <w:bCs/>
          <w:color w:val="000000"/>
          <w:sz w:val="26"/>
          <w:szCs w:val="26"/>
        </w:rPr>
      </w:pPr>
      <w:bookmarkStart w:id="0" w:name="_heading=h.yq8cdjsljbri" w:colFirst="0" w:colLast="0"/>
      <w:bookmarkEnd w:id="0"/>
      <w:r>
        <w:rPr>
          <w:b/>
          <w:bCs/>
          <w:color w:val="000000"/>
          <w:sz w:val="26"/>
          <w:szCs w:val="26"/>
        </w:rPr>
        <w:t>C. Does the Value of Elite Talent Depend on Payroll Concentration?</w:t>
      </w:r>
    </w:p>
    <w:p w14:paraId="12E89A64" w14:textId="77777777" w:rsidR="0032143A" w:rsidRDefault="00000000">
      <w:pPr>
        <w:spacing w:before="240" w:after="240" w:line="480" w:lineRule="auto"/>
        <w:ind w:firstLine="720"/>
        <w:jc w:val="both"/>
      </w:pPr>
      <w:r>
        <w:t xml:space="preserve">The previous section showed that payroll concentration, by itself, has no independent relationship with winning once player quality is </w:t>
      </w:r>
      <w:proofErr w:type="gramStart"/>
      <w:r>
        <w:t>taken into account</w:t>
      </w:r>
      <w:proofErr w:type="gramEnd"/>
      <w:r>
        <w:t>. The remaining question is whether the value of elite talent depends on how much of a team's payroll is already committed to that talent.</w:t>
      </w:r>
    </w:p>
    <w:p w14:paraId="0077B896" w14:textId="77777777" w:rsidR="0032143A" w:rsidRDefault="00000000">
      <w:pPr>
        <w:spacing w:before="240" w:after="240" w:line="480" w:lineRule="auto"/>
        <w:ind w:firstLine="720"/>
        <w:jc w:val="both"/>
      </w:pPr>
      <w:r>
        <w:t xml:space="preserve">To examine this possibility, I estimate an interaction between the quality of a team's three highest-paid players (Top3_BPM) and payroll concentration (Top3Share) while controlling for total payroll. The interaction is negative and statistically significant (β = –0.059, </w:t>
      </w:r>
      <w:r>
        <w:rPr>
          <w:i/>
          <w:iCs/>
        </w:rPr>
        <w:t>p</w:t>
      </w:r>
      <w:r>
        <w:t xml:space="preserve"> = 0.014), indicating that the relationship between star-player quality and winning becomes weaker as payroll becomes more concentrated.</w:t>
      </w:r>
    </w:p>
    <w:p w14:paraId="0BF10632" w14:textId="77777777" w:rsidR="0032143A" w:rsidRDefault="00000000">
      <w:pPr>
        <w:spacing w:before="240" w:after="240" w:line="480" w:lineRule="auto"/>
        <w:ind w:firstLine="720"/>
        <w:jc w:val="both"/>
      </w:pPr>
      <w:r>
        <w:lastRenderedPageBreak/>
        <w:t>The practical implications are straightforward. For a team allocating roughly 40 percent of its payroll to its three highest-paid players, improving that group's quality by one additional BPM point is associated with approximately a 5.3 percentage-point increase in winning percentage—about 4.3 additional wins over an 82-game season. For an otherwise identical team allocating 60 percent of its payroll to the same three players, that same improvement is associated with only a 4.1 percentage-point increase in winning percentage, or roughly 3.4 additional wins.</w:t>
      </w:r>
    </w:p>
    <w:p w14:paraId="38876C61" w14:textId="77777777" w:rsidR="0032143A" w:rsidRDefault="00000000">
      <w:pPr>
        <w:spacing w:before="240" w:after="240" w:line="480" w:lineRule="auto"/>
        <w:ind w:firstLine="720"/>
        <w:jc w:val="both"/>
      </w:pPr>
      <w:r>
        <w:t>Elite talent therefore always improves team performance, but the benefit of acquiring even better stars becomes smaller as a larger share of the salary cap is already committed to those players. The reason is not that elite players become less valuable individually. Rather, concentrating additional payroll around an already expensive core increases the opportunity cost imposed on the remainder of the roster. Every additional dollar committed to a team's highest-paid players leaves fewer resources available to strengthen the complementary players around them, reducing the marginal benefit of further investments in star talent.</w:t>
      </w:r>
    </w:p>
    <w:p w14:paraId="3E559DC4" w14:textId="77777777" w:rsidR="0032143A" w:rsidRDefault="00000000">
      <w:pPr>
        <w:spacing w:before="240" w:after="240" w:line="480" w:lineRule="auto"/>
        <w:ind w:firstLine="720"/>
        <w:jc w:val="both"/>
      </w:pPr>
      <w:r>
        <w:t>This interpretation is reinforced by a robustness check that adds the share of minutes played by mid-level veterans (</w:t>
      </w:r>
      <w:proofErr w:type="spellStart"/>
      <w:r>
        <w:t>MidVet_MinShare</w:t>
      </w:r>
      <w:proofErr w:type="spellEnd"/>
      <w:r>
        <w:t>) to the model. Once this measure of roster depth is included, the interaction coefficient falls by roughly one-third (from β = –0.059 to β = –0.039) and becomes only marginally significant (</w:t>
      </w:r>
      <w:r>
        <w:rPr>
          <w:i/>
          <w:iCs/>
        </w:rPr>
        <w:t>p</w:t>
      </w:r>
      <w:r>
        <w:t xml:space="preserve"> = 0.081). The attenuation suggests that part of the reduced return to concentrating payroll around elite players operates through the mechanism identified earlier in the paper: teams with more concentrated payroll structures rely less on mid-level veterans, weakening the supporting cast that allows elite talent to translate into additional wins.</w:t>
      </w:r>
    </w:p>
    <w:p w14:paraId="7592463C" w14:textId="77777777" w:rsidR="0032143A" w:rsidRDefault="00000000">
      <w:pPr>
        <w:spacing w:before="240" w:after="240" w:line="480" w:lineRule="auto"/>
        <w:ind w:firstLine="720"/>
        <w:jc w:val="both"/>
      </w:pPr>
      <w:r>
        <w:t xml:space="preserve">Taken together, these findings suggest that payroll concentration does not diminish the value of elite players themselves. Instead, it reduces the value of investing </w:t>
      </w:r>
      <w:r>
        <w:rPr>
          <w:b/>
          <w:bCs/>
        </w:rPr>
        <w:t>even more</w:t>
      </w:r>
      <w:r>
        <w:t xml:space="preserve"> in those players by increasing the opportunity cost borne elsewhere on the roster. As payroll becomes increasingly concentrated, additional improvements in star talent continue to help teams win—but by progressively smaller amounts because fewer resources remain available to build the complementary roster around them.</w:t>
      </w:r>
    </w:p>
    <w:p w14:paraId="079D6A6E" w14:textId="77777777" w:rsidR="0032143A" w:rsidRDefault="00000000">
      <w:pPr>
        <w:pStyle w:val="Heading3"/>
        <w:spacing w:before="280" w:after="80" w:line="480" w:lineRule="auto"/>
        <w:jc w:val="both"/>
        <w:rPr>
          <w:b/>
          <w:bCs/>
          <w:color w:val="000000"/>
          <w:sz w:val="26"/>
          <w:szCs w:val="26"/>
        </w:rPr>
      </w:pPr>
      <w:bookmarkStart w:id="1" w:name="_heading=h.jbqmxaerxfkv" w:colFirst="0" w:colLast="0"/>
      <w:bookmarkEnd w:id="1"/>
      <w:r>
        <w:rPr>
          <w:b/>
          <w:bCs/>
          <w:color w:val="000000"/>
          <w:sz w:val="26"/>
          <w:szCs w:val="26"/>
        </w:rPr>
        <w:t>D. Summary of Empirical Findings</w:t>
      </w:r>
    </w:p>
    <w:p w14:paraId="3D08B063" w14:textId="77777777" w:rsidR="0032143A" w:rsidRDefault="00000000">
      <w:pPr>
        <w:spacing w:before="240" w:after="240" w:line="480" w:lineRule="auto"/>
        <w:ind w:firstLine="720"/>
        <w:jc w:val="both"/>
      </w:pPr>
      <w:sdt>
        <w:sdtPr>
          <w:tag w:val="goog_rdk_7"/>
          <w:id w:val="930238612"/>
        </w:sdtPr>
        <w:sdtContent>
          <w:r>
            <w:rPr>
              <w:rFonts w:ascii="Cardo" w:eastAsia="Cardo" w:hAnsi="Cardo" w:cs="Cardo"/>
            </w:rPr>
            <w:t xml:space="preserve">Taken together, the results suggest a clear sequence linking the second apron, roster construction, and team performance. Following the introduction of the second apron, substantially more teams adopted highly concentrated payroll structures, even though league-average payroll concentration changed little. Teams with more concentrated payrolls consistently carried fewer experienced mid-level veterans (β = −4.44, </w:t>
          </w:r>
        </w:sdtContent>
      </w:sdt>
      <w:r>
        <w:rPr>
          <w:i/>
          <w:iCs/>
        </w:rPr>
        <w:t>p</w:t>
      </w:r>
      <w:r>
        <w:t xml:space="preserve"> &lt; 0.001), while payroll concentration had no significant relationship with the playing time of the veterans who remained (β = 0.025, </w:t>
      </w:r>
      <w:r>
        <w:rPr>
          <w:i/>
          <w:iCs/>
        </w:rPr>
        <w:t>p</w:t>
      </w:r>
      <w:r>
        <w:t xml:space="preserve"> = 0.28). In turn, greater reliance on mid-level veterans was associated with improved team performance even after accounting for payroll concentration, total payroll, and the quality of a team's highest-paid players (β = 0.277, </w:t>
      </w:r>
      <w:r>
        <w:rPr>
          <w:i/>
          <w:iCs/>
        </w:rPr>
        <w:t>p</w:t>
      </w:r>
      <w:r>
        <w:t xml:space="preserve"> &lt; 0.001).</w:t>
      </w:r>
    </w:p>
    <w:p w14:paraId="1163A92C" w14:textId="77777777" w:rsidR="0032143A" w:rsidRDefault="00000000">
      <w:pPr>
        <w:spacing w:before="240" w:after="240" w:line="480" w:lineRule="auto"/>
        <w:ind w:firstLine="720"/>
        <w:jc w:val="both"/>
      </w:pPr>
      <w:r>
        <w:t xml:space="preserve">Perhaps most importantly, payroll concentration itself has no independent average relationship with winning once player quality is </w:t>
      </w:r>
      <w:proofErr w:type="gramStart"/>
      <w:r>
        <w:t>taken into account</w:t>
      </w:r>
      <w:proofErr w:type="gramEnd"/>
      <w:r>
        <w:t xml:space="preserve">. The apparent positive relationship between concentration and team success (β = 0.350, </w:t>
      </w:r>
      <w:r>
        <w:rPr>
          <w:i/>
          <w:iCs/>
        </w:rPr>
        <w:t>p</w:t>
      </w:r>
      <w:sdt>
        <w:sdtPr>
          <w:tag w:val="goog_rdk_8"/>
          <w:id w:val="-1346350878"/>
        </w:sdtPr>
        <w:sdtContent>
          <w:r>
            <w:rPr>
              <w:rFonts w:ascii="Cardo" w:eastAsia="Cardo" w:hAnsi="Cardo" w:cs="Cardo"/>
            </w:rPr>
            <w:t xml:space="preserve"> &lt; 0.001) disappears after controlling for the quality of a team's three highest-paid players (β = −0.009, </w:t>
          </w:r>
        </w:sdtContent>
      </w:sdt>
      <w:r>
        <w:rPr>
          <w:i/>
          <w:iCs/>
        </w:rPr>
        <w:t>p</w:t>
      </w:r>
      <w:r>
        <w:t xml:space="preserve"> = 0.914), indicating that previous estimates largely reflected omitted variable bias rather than an independent benefit of concentrating payroll.</w:t>
      </w:r>
    </w:p>
    <w:p w14:paraId="375DC358" w14:textId="77777777" w:rsidR="0032143A" w:rsidRDefault="00000000">
      <w:pPr>
        <w:spacing w:before="240" w:after="240" w:line="480" w:lineRule="auto"/>
        <w:ind w:firstLine="720"/>
        <w:jc w:val="both"/>
      </w:pPr>
      <w:r>
        <w:t>The results further show that payroll concentration changes the value of elite talent. Higher-quality top players are consistently associated with better team performance, but those improvements translate into progressively smaller gains as a larger share of payroll is already committed to that group. A robustness check indicates that this pattern is explained in part by reduced reliance on mid-level veterans, suggesting that concentrating additional resources into an already expensive core carries an increasing opportunity cost elsewhere on the roster.</w:t>
      </w:r>
    </w:p>
    <w:p w14:paraId="231BCFF3" w14:textId="77777777" w:rsidR="0032143A" w:rsidRDefault="00000000">
      <w:pPr>
        <w:spacing w:before="240" w:after="240" w:line="480" w:lineRule="auto"/>
        <w:ind w:firstLine="720"/>
        <w:jc w:val="both"/>
        <w:rPr>
          <w:b/>
          <w:bCs/>
          <w:sz w:val="24"/>
          <w:szCs w:val="24"/>
        </w:rPr>
      </w:pPr>
      <w:r>
        <w:t xml:space="preserve">Taken together, the evidence suggests that payroll concentration is best understood not as a winning </w:t>
      </w:r>
      <w:proofErr w:type="gramStart"/>
      <w:r>
        <w:t>strategy in itself, but</w:t>
      </w:r>
      <w:proofErr w:type="gramEnd"/>
      <w:r>
        <w:t xml:space="preserve"> as a financing decision that involves meaningful tradeoffs. Concentrating payroll around elite players does not automatically improve team performance; instead, it reduces roster depth and diminishes the marginal value of further investments in star talent by limiting the resources available to build the complementary roster around them. The following case study applies this framework to one of the NBA's most consequential recent personnel decisions: the Boston Celtics' decision to commit a supermax contract to Jaylen Brown under the second apron.</w:t>
      </w:r>
    </w:p>
    <w:p w14:paraId="7D0573F7" w14:textId="77777777" w:rsidR="0032143A" w:rsidRDefault="00000000">
      <w:pPr>
        <w:spacing w:before="240" w:after="240" w:line="480" w:lineRule="auto"/>
      </w:pPr>
      <w:r>
        <w:rPr>
          <w:b/>
          <w:bCs/>
          <w:sz w:val="28"/>
          <w:szCs w:val="28"/>
        </w:rPr>
        <w:t>VII. Case Study: Jaylen Brown and the Boston Celtics</w:t>
      </w:r>
    </w:p>
    <w:p w14:paraId="553ED100" w14:textId="77777777" w:rsidR="0032143A" w:rsidRDefault="00000000">
      <w:pPr>
        <w:spacing w:line="480" w:lineRule="auto"/>
        <w:ind w:firstLine="720"/>
        <w:jc w:val="both"/>
      </w:pPr>
      <w:r>
        <w:lastRenderedPageBreak/>
        <w:t>While the previous sections identify league-wide relationships between payroll concentration, roster construction, and team performance, NBA front offices ultimately face these tradeoffs through individual personnel decisions. The Boston Celtics provide a useful case study because they entered the second apron with one of the league's most talented — and most expensive — rosters. Jaylen Brown's five-year supermax extension, signed in July 2023 after earning All-NBA honors, made him the highest-paid player in NBA history at the time and substantially increased Boston's long-term payroll commitments.</w:t>
      </w:r>
    </w:p>
    <w:p w14:paraId="65E4DA05" w14:textId="77777777" w:rsidR="0032143A" w:rsidRDefault="00000000">
      <w:pPr>
        <w:spacing w:line="480" w:lineRule="auto"/>
        <w:ind w:firstLine="720"/>
        <w:jc w:val="both"/>
      </w:pPr>
      <w:r>
        <w:t xml:space="preserve">The purpose of this case study is not simply to evaluate Brown as a player. </w:t>
      </w:r>
      <w:r>
        <w:rPr>
          <w:highlight w:val="yellow"/>
        </w:rPr>
        <w:t>Rather, it asks whether Brown generated enough value to justify occupying such a large share of Boston's payroll under the second apron/whether trading him was justified.</w:t>
      </w:r>
      <w:r>
        <w:t xml:space="preserve"> The league-wide analysis above suggests that payroll concentration itself is neither inherently beneficial nor harmful — success depends on whether the players receiving the concentrated investment generate sufficient value to justify the resulting reduction in roster depth. The Boston Celtics provide a useful illustration of this tradeoff.</w:t>
      </w:r>
    </w:p>
    <w:p w14:paraId="178CD6AC" w14:textId="77777777" w:rsidR="0032143A" w:rsidRDefault="00000000">
      <w:pPr>
        <w:spacing w:line="480" w:lineRule="auto"/>
        <w:ind w:firstLine="720"/>
        <w:jc w:val="both"/>
      </w:pPr>
      <w:r>
        <w:t>I begin by examining Estimated Plus-Minus (EPM), a player evaluation metric that estimates overall impact using lineup and play-by-play data rather than traditional box-score statistics alone. Unlike many player metrics, EPM already adjusts for the quality of a player's teammates, making it particularly useful for comparing players across different roster contexts. During the 2025-26 season, Brown posted an overall EPM of +2.2, which ranked in the 89th percentile league-wide, while his Offensive EPM of +2.3 comfortably exceeded league average. Viewed in isolation, these results suggest Brown remained one of the NBA's better players.</w:t>
      </w:r>
    </w:p>
    <w:p w14:paraId="11144AB2" w14:textId="77777777" w:rsidR="0032143A" w:rsidRDefault="00000000">
      <w:pPr>
        <w:spacing w:line="480" w:lineRule="auto"/>
        <w:ind w:firstLine="720"/>
        <w:jc w:val="both"/>
      </w:pPr>
      <w:r>
        <w:t xml:space="preserve">The more economically relevant question, however, is whether that level of production matched the offensive role and financial resources committed to him. During the 2025-26 season, Brown posted a 35.2% usage rate, the </w:t>
      </w:r>
      <w:proofErr w:type="gramStart"/>
      <w:r>
        <w:t>third-highest</w:t>
      </w:r>
      <w:proofErr w:type="gramEnd"/>
      <w:r>
        <w:t xml:space="preserve"> in the NBA, placing him alongside players such as Nikola Jokić, Luka Dončić, Giannis Antetokounmpo, and Shai Gilgeous-Alexander. Players entrusted with that level of offensive responsibility are generally expected to produce elite impact.</w:t>
      </w:r>
    </w:p>
    <w:p w14:paraId="528249B5" w14:textId="77777777" w:rsidR="0032143A" w:rsidRDefault="00000000">
      <w:pPr>
        <w:spacing w:line="480" w:lineRule="auto"/>
        <w:ind w:firstLine="720"/>
        <w:jc w:val="both"/>
      </w:pPr>
      <w:r>
        <w:t xml:space="preserve">To evaluate whether Brown met those expectations, I regress both EPM and Offensive EPM on usage rate and salary across the classified high-salary veteran population introduced earlier in the paper — veteran players with at least four prior years of NBA service earning more than 13% of the salary cap during a given season. Each measure is estimated two ways: a linear specification, and a quadratic specification allowing returns to usage to accelerate at the very top of the distribution, where a small number of true superstars carry disproportionate offensive loads. </w:t>
      </w:r>
      <w:r>
        <w:lastRenderedPageBreak/>
        <w:t>Comparing each player's actual production with each model's predicted production yields a residual measuring how far above or below expectation that player performed relative to comparable high-salary veterans. Positive residuals indicate players who generated more value than expected given their offensive role, while negative residuals indicate players who produced less than expected.</w:t>
      </w:r>
    </w:p>
    <w:p w14:paraId="6B5283B0" w14:textId="77777777" w:rsidR="0032143A" w:rsidRDefault="00000000">
      <w:pPr>
        <w:spacing w:line="480" w:lineRule="auto"/>
        <w:ind w:firstLine="720"/>
        <w:jc w:val="both"/>
      </w:pPr>
      <w:r>
        <w:t>Across all four specifications, Brown ranked among the two or three largest negative residuals in the comparison group, falling 0.9 to 2.3 EPM points below expectation under the linear models and 3.2 to 3.8 points under the quadratic models. Put differently, relative to other high-salary veterans carrying similar offensive roles and financial commitments, Brown was statistically one of the league's most underwhelming performers — an All-NBA-caliber player whose statistical production nonetheless fell well short of what teams typically receive from someone occupying such a large share of both the offense and the payroll.</w:t>
      </w:r>
    </w:p>
    <w:p w14:paraId="5792D618" w14:textId="77777777" w:rsidR="0032143A" w:rsidRDefault="00000000">
      <w:pPr>
        <w:spacing w:line="480" w:lineRule="auto"/>
        <w:ind w:firstLine="720"/>
        <w:jc w:val="both"/>
      </w:pPr>
      <w:r>
        <w:t xml:space="preserve">One potential concern is that Brown's 2025-26 season may not reflect his typical role. Jayson Tatum missed much of the season while recovering from an Achilles injury, resulting in Brown's highest usage rate of his career. To determine whether these findings reflect one unusual season or a more persistent pattern, I repeat the analysis for each of the previous three seasons, when Tatum remained healthy and Brown occupied his more typical offensive role. </w:t>
      </w:r>
      <w:r>
        <w:rPr>
          <w:highlight w:val="yellow"/>
        </w:rPr>
        <w:t>Because publicly available EPM data were only available for the 2025-26 season, these earlier analyses use Box Plus-Minus (BPM) instead</w:t>
      </w:r>
      <w:r>
        <w:t xml:space="preserve">. Unlike EPM, BPM does not inherently adjust for surrounding talent, so each regression includes a </w:t>
      </w:r>
      <w:r>
        <w:rPr>
          <w:highlight w:val="yellow"/>
        </w:rPr>
        <w:t>leave-one-out</w:t>
      </w:r>
      <w:r>
        <w:t>, minutes-weighted measure of teammate quality (</w:t>
      </w:r>
      <w:proofErr w:type="spellStart"/>
      <w:r>
        <w:t>Teammate_BPM</w:t>
      </w:r>
      <w:proofErr w:type="spellEnd"/>
      <w:r>
        <w:t>) to isolate Brown's individual performance from the quality of the roster around him.²</w:t>
      </w:r>
    </w:p>
    <w:p w14:paraId="372C4AC9" w14:textId="77777777" w:rsidR="0032143A" w:rsidRDefault="00000000">
      <w:pPr>
        <w:spacing w:line="480" w:lineRule="auto"/>
        <w:ind w:firstLine="720"/>
        <w:jc w:val="both"/>
      </w:pPr>
      <w:r>
        <w:t xml:space="preserve">The results reveal a remarkably consistent pattern. In 2022-23, Brown's BPM fell 2.34 points below expectation, ranking 13th-worst among 84 classified high-salary veterans. In 2023-24, the shortfall widened to 2.70 points, ranking 18th-worst among 87. By 2024-25, Brown's BPM fell 4.80 points below expectation, the second-largest negative residual among 93 high-salary veterans league-wide. Over the same period, Brown's raw BPM steadily declined from 2.5 in 2020-21 to 0.0 in 2024-25, even as his salary nearly doubled from $23.7 million to $49.2 million. Together, these results suggest that Brown's 2025-26 performance was not an isolated outlier, but the continuation of a broader trend in which his </w:t>
      </w:r>
      <w:r>
        <w:rPr>
          <w:highlight w:val="yellow"/>
        </w:rPr>
        <w:t>(statistical?)</w:t>
      </w:r>
      <w:r>
        <w:t xml:space="preserve"> production increasingly </w:t>
      </w:r>
      <w:proofErr w:type="gramStart"/>
      <w:r>
        <w:t>lagged behind</w:t>
      </w:r>
      <w:proofErr w:type="gramEnd"/>
      <w:r>
        <w:t xml:space="preserve"> what would be expected from a player with his salary and offensive role.</w:t>
      </w:r>
    </w:p>
    <w:p w14:paraId="393DC25C" w14:textId="77777777" w:rsidR="0032143A" w:rsidRDefault="00000000">
      <w:pPr>
        <w:spacing w:line="480" w:lineRule="auto"/>
        <w:ind w:firstLine="720"/>
        <w:jc w:val="both"/>
      </w:pPr>
      <w:sdt>
        <w:sdtPr>
          <w:tag w:val="goog_rdk_9"/>
          <w:id w:val="-1369567417"/>
        </w:sdtPr>
        <w:sdtContent>
          <w:r>
            <w:rPr>
              <w:rFonts w:ascii="Gungsuh" w:eastAsia="Gungsuh" w:hAnsi="Gungsuh" w:cs="Gungsuh"/>
            </w:rPr>
            <w:t xml:space="preserve">Derrick White provides an informative comparison because nearly every external factor remained constant. Both players competed within the same </w:t>
          </w:r>
          <w:r>
            <w:rPr>
              <w:rFonts w:ascii="Gungsuh" w:eastAsia="Gungsuh" w:hAnsi="Gungsuh" w:cs="Gungsuh"/>
            </w:rPr>
            <w:lastRenderedPageBreak/>
            <w:t xml:space="preserve">organization, under the same coaching staff, and alongside the same teammates. During the 2025-26 season, White earned roughly half of Brown's salary ($28.1 million versus $53.1 million) while carrying a substantially smaller offensive role (21.8% usage versus 35.2%), yet in the same usage-and-salary-adjusted framework, White's residual was positive across every specification — for example, +3.39 in the linear EPM model, compared to Brown's −2.34. On a production basis relative to both usage and salary, White was statistically more productive than Brown at roughly half the cost </w:t>
          </w:r>
        </w:sdtContent>
      </w:sdt>
      <w:r>
        <w:rPr>
          <w:highlight w:val="yellow"/>
        </w:rPr>
        <w:t>(White’s production was far more efficient/valuable in an apron restricted environment???).</w:t>
      </w:r>
    </w:p>
    <w:p w14:paraId="115605E3" w14:textId="77777777" w:rsidR="0032143A" w:rsidRDefault="00000000">
      <w:pPr>
        <w:spacing w:line="480" w:lineRule="auto"/>
        <w:ind w:firstLine="720"/>
        <w:jc w:val="both"/>
      </w:pPr>
      <w:r>
        <w:t xml:space="preserve">The case study closely mirrors the broader empirical findings presented earlier. Teams facing greater luxury tax pressure </w:t>
      </w:r>
      <w:r>
        <w:rPr>
          <w:highlight w:val="yellow"/>
        </w:rPr>
        <w:t>(Also just teams following the implementation of the second apron have moved toward this structure)</w:t>
      </w:r>
      <w:sdt>
        <w:sdtPr>
          <w:tag w:val="goog_rdk_10"/>
          <w:id w:val="-740565351"/>
        </w:sdtPr>
        <w:sdtContent>
          <w:r>
            <w:rPr>
              <w:rFonts w:ascii="Cardo" w:eastAsia="Cardo" w:hAnsi="Cardo" w:cs="Cardo"/>
            </w:rPr>
            <w:t xml:space="preserve"> allocate a larger share of payroll to their highest-paid players, and greater payroll concentration is associated with carrying fewer mid-level veterans on the roster. At the same time, holding total payroll and the quality of a team's highest-paid players fixed, teams that allocate more minutes to mid-level veterans win more games. Most importantly, payroll concentration itself has no independent relationship with winning once both total spending and the quality of a team's highest-paid players are taken into account: a model controlling only for total payroll suggests a strong positive relationship (β = 0.350, p &lt; 0.001), but that relationship disappears entirely once player quality is added (β = −0.009, p = 0.914). Concentration, in other words, does not independently improve performance — what matters is whether the players receiving the largest share of payroll generate enough value to justify the roster depth sacrificed elsewhere.</w:t>
          </w:r>
        </w:sdtContent>
      </w:sdt>
    </w:p>
    <w:p w14:paraId="2C2C8D5D" w14:textId="77777777" w:rsidR="0032143A" w:rsidRDefault="00000000">
      <w:pPr>
        <w:spacing w:line="480" w:lineRule="auto"/>
        <w:ind w:firstLine="720"/>
        <w:jc w:val="both"/>
      </w:pPr>
      <w:r>
        <w:t xml:space="preserve">Viewed through this framework, Brown's contract illustrates the broader economic tradeoff created by the second apron rather than serving as a judgment of Brown's ability. Brown remained an </w:t>
      </w:r>
      <w:r>
        <w:rPr>
          <w:highlight w:val="yellow"/>
        </w:rPr>
        <w:t>All-NBA</w:t>
      </w:r>
      <w:r>
        <w:t xml:space="preserve"> caliber player and an important contributor to a championship team. The relevant question is not whether he deserved to be highly paid, but whether committing a supermax-level share of payroll to a player producing below expectation relative to his salary and offensive role represented the organization's most efficient use of increasingly scarce financial resources.</w:t>
      </w:r>
    </w:p>
    <w:p w14:paraId="4437EF98" w14:textId="77777777" w:rsidR="0032143A" w:rsidRDefault="00000000">
      <w:pPr>
        <w:spacing w:line="480" w:lineRule="auto"/>
        <w:ind w:firstLine="720"/>
        <w:jc w:val="both"/>
      </w:pPr>
      <w:r>
        <w:t xml:space="preserve">Taken together, the Boston case study reinforces the central conclusion of this paper. Concentrating payroll is not inherently a successful or unsuccessful roster-building strategy. Rather, concentrating payroll creates a tradeoff </w:t>
      </w:r>
      <w:r>
        <w:lastRenderedPageBreak/>
        <w:t xml:space="preserve">between investing in elite talent and maintaining roster depth. When the players receiving the largest share of payroll generate truly elite value, that tradeoff may be worthwhile. When they do not, teams sacrifice the roster depth that this paper finds </w:t>
      </w:r>
      <w:proofErr w:type="gramStart"/>
      <w:r>
        <w:t>is</w:t>
      </w:r>
      <w:proofErr w:type="gramEnd"/>
      <w:r>
        <w:t xml:space="preserve"> independently associated with winning.</w:t>
      </w:r>
    </w:p>
    <w:p w14:paraId="30EF66A6" w14:textId="77777777" w:rsidR="0032143A" w:rsidRDefault="00000000">
      <w:pPr>
        <w:spacing w:before="200" w:after="200" w:line="480" w:lineRule="auto"/>
        <w:jc w:val="both"/>
        <w:rPr>
          <w:highlight w:val="yellow"/>
        </w:rPr>
      </w:pPr>
      <w:r>
        <w:t>²</w:t>
      </w:r>
      <w:r>
        <w:rPr>
          <w:highlight w:val="yellow"/>
        </w:rPr>
        <w:t xml:space="preserve"> Publicly available Estimated Plus-Minus (EPM) data were only available for the 2025-26 season. The analyses for prior seasons therefore use Box Plus-Minus (BPM). Because BPM does not inherently account for teammate quality, each regression includes a leave-one-out, minutes-weighted measure of teammate quality (</w:t>
      </w:r>
      <w:proofErr w:type="spellStart"/>
      <w:r>
        <w:rPr>
          <w:highlight w:val="yellow"/>
        </w:rPr>
        <w:t>Teammate_BPM</w:t>
      </w:r>
      <w:proofErr w:type="spellEnd"/>
      <w:r>
        <w:rPr>
          <w:highlight w:val="yellow"/>
        </w:rPr>
        <w:t>) to isolate a player's individual contribution from the quality of the teammates surrounding him.</w:t>
      </w:r>
    </w:p>
    <w:p w14:paraId="6B41AC45" w14:textId="77777777" w:rsidR="0032143A" w:rsidRDefault="00000000">
      <w:pPr>
        <w:spacing w:before="240" w:after="240" w:line="480" w:lineRule="auto"/>
      </w:pPr>
      <w:r>
        <w:rPr>
          <w:b/>
          <w:bCs/>
          <w:sz w:val="28"/>
          <w:szCs w:val="28"/>
        </w:rPr>
        <w:t>VIII. Conclusion</w:t>
      </w:r>
    </w:p>
    <w:p w14:paraId="517AB539" w14:textId="77777777" w:rsidR="0032143A" w:rsidRDefault="00000000">
      <w:pPr>
        <w:spacing w:line="480" w:lineRule="auto"/>
        <w:ind w:firstLine="720"/>
        <w:jc w:val="both"/>
      </w:pPr>
      <w:r>
        <w:t>The introduction of the NBA's second apron has fundamentally changed the economics of roster construction. Rather than changing the importance of star players themselves, the new collective bargaining agreement has changed the cost of paying them. The central finding of this paper is that the second apron has increased the opportunity cost of concentrating payroll by making it increasingly difficult for teams to maintain the experienced roster depth surrounding their stars.</w:t>
      </w:r>
    </w:p>
    <w:p w14:paraId="6B872398" w14:textId="77777777" w:rsidR="0032143A" w:rsidRDefault="00000000">
      <w:pPr>
        <w:spacing w:line="480" w:lineRule="auto"/>
        <w:ind w:firstLine="720"/>
        <w:jc w:val="both"/>
      </w:pPr>
      <w:r>
        <w:t xml:space="preserve">The empirical evidence points to a clear shift in how teams allocate payroll under the second apron. Rather than producing a uniform increase in league-wide payroll concentration, the second apron appears to have increased the prevalence of top-heavy roster construction. Following its introduction, a larger share of NBA teams adopted relatively concentrated payroll structures. Consistent with this pattern, teams facing greater tax pressure </w:t>
      </w:r>
      <w:proofErr w:type="gramStart"/>
      <w:r>
        <w:t>in a given</w:t>
      </w:r>
      <w:proofErr w:type="gramEnd"/>
      <w:r>
        <w:t xml:space="preserve"> season go on to allocate a larger share of payroll to their top three players the following season (β = 0.218, p &lt; 0.001). Together, these findings suggest that the second apron has increased the incentive for teams to concentrate payroll among their highest-paid players.</w:t>
      </w:r>
    </w:p>
    <w:p w14:paraId="3A6D80E5" w14:textId="77777777" w:rsidR="0032143A" w:rsidRDefault="00000000">
      <w:pPr>
        <w:spacing w:line="480" w:lineRule="auto"/>
        <w:ind w:firstLine="720"/>
        <w:jc w:val="both"/>
      </w:pPr>
      <w:r>
        <w:t>The consequences of those decisions, however, are not driven by payroll concentration itself. Instead, they arise from what teams must sacrifice to support increasingly expensive stars. Teams allocating a larger share of payroll to their top three players carried significantly fewer experienced mid-level veterans, indicating that the primary adjustment occurred through roster construction rather than by simply reducing the playing time of existing role players. In other words, the cost of concentrating payroll is not fewer minutes for veterans already on the roster — it is carrying fewer of those veterans in the first place.</w:t>
      </w:r>
    </w:p>
    <w:p w14:paraId="15F6A2A4" w14:textId="77777777" w:rsidR="0032143A" w:rsidRDefault="00000000">
      <w:pPr>
        <w:spacing w:line="480" w:lineRule="auto"/>
        <w:ind w:firstLine="720"/>
        <w:jc w:val="both"/>
      </w:pPr>
      <w:r>
        <w:lastRenderedPageBreak/>
        <w:t xml:space="preserve">This distinction helps explain the paper's most important result. Once the quality of a team's highest-paid players is </w:t>
      </w:r>
      <w:proofErr w:type="gramStart"/>
      <w:r>
        <w:t>taken into account</w:t>
      </w:r>
      <w:proofErr w:type="gramEnd"/>
      <w:r>
        <w:t>, payroll concentration itself has essentially no relationship with winning. Concentrating payroll is therefore neither inherently an effective nor ineffective roster-building strategy. Instead, its success depends on whether the value generated by a team's highest-paid players outweighs the opportunity cost of the roster depth sacrificed elsewhere. Teams paying truly elite players may benefit from concentrating payroll, while teams committing similar financial resources to lesser production incur increasingly costly tradeoffs under the second apron.</w:t>
      </w:r>
    </w:p>
    <w:p w14:paraId="31CA3210" w14:textId="77777777" w:rsidR="0032143A" w:rsidRDefault="00000000">
      <w:pPr>
        <w:spacing w:line="480" w:lineRule="auto"/>
        <w:ind w:firstLine="720"/>
        <w:jc w:val="both"/>
      </w:pPr>
      <w:r>
        <w:t>The Boston Celtics case study illustrates this tradeoff in practice. Jaylen Brown remained an excellent NBA player, but the analysis suggests his production did not consistently match the offensive role and financial commitment associated with a supermax contract. Under previous collective bargaining agreements, a team could more easily absorb that inefficiency while maintaining much of its supporting cast. Under the second apron, that same decision carries a much larger opportunity cost, because every additional dollar committed to one player further limits a team's ability to retain productive mid-level veterans and preserve roster flexibility.</w:t>
      </w:r>
    </w:p>
    <w:p w14:paraId="34EF6A67" w14:textId="77777777" w:rsidR="0032143A" w:rsidRDefault="00000000">
      <w:pPr>
        <w:spacing w:line="480" w:lineRule="auto"/>
        <w:ind w:firstLine="720"/>
        <w:jc w:val="both"/>
      </w:pPr>
      <w:r>
        <w:t>This study also has several limitations. Most importantly, the second apron has been in effect for only three seasons, limiting the number of post-policy observations available for empirical analysis. Although the findings remain consistent across numerous specifications and robustness checks, additional post-apron seasons will allow future research to estimate the long-run effects of the policy with greater precision. Future work may also examine how teams adapt through greater reliance on rookie-scale contracts, internal player development, and the accumulation of draft capital as organizations continue adjusting to the league's evolving financial landscape.</w:t>
      </w:r>
    </w:p>
    <w:p w14:paraId="5FD1BC0C" w14:textId="77777777" w:rsidR="0032143A" w:rsidRDefault="00000000">
      <w:pPr>
        <w:spacing w:line="480" w:lineRule="auto"/>
        <w:ind w:firstLine="720"/>
        <w:jc w:val="both"/>
      </w:pPr>
      <w:r>
        <w:t>Ultimately, the second apron has not changed the importance of star talent — it has changed the cost of paying for it. As financial flexibility becomes increasingly constrained, success depends not simply on concentrating payroll among a team's highest-paid players, but on whether those players generate enough value to justify the roster depth sacrificed elsewhere. The findings presented in this paper suggest that the second apron's most significant effect is not reducing spending itself, but fundamentally changing the tradeoffs NBA front offices face when allocating limited financial resources across a roster.</w:t>
      </w:r>
    </w:p>
    <w:p w14:paraId="0C27EEE8" w14:textId="77777777" w:rsidR="0032143A" w:rsidRDefault="00000000">
      <w:pPr>
        <w:spacing w:before="240" w:after="240" w:line="480" w:lineRule="auto"/>
      </w:pPr>
      <w:r>
        <w:rPr>
          <w:b/>
          <w:bCs/>
          <w:sz w:val="28"/>
          <w:szCs w:val="28"/>
        </w:rPr>
        <w:t>References</w:t>
      </w:r>
    </w:p>
    <w:p w14:paraId="7304E5E3" w14:textId="77777777" w:rsidR="0032143A" w:rsidRDefault="00000000">
      <w:pPr>
        <w:spacing w:after="200" w:line="480" w:lineRule="auto"/>
      </w:pPr>
      <w:r>
        <w:t>Basketball-Reference. (2025). NBA team and player statistics, 2011–2025. Retrieved from https://www.basketball-reference.com</w:t>
      </w:r>
    </w:p>
    <w:p w14:paraId="1DF42ABB" w14:textId="77777777" w:rsidR="0032143A" w:rsidRDefault="00000000">
      <w:pPr>
        <w:spacing w:after="200" w:line="480" w:lineRule="auto"/>
      </w:pPr>
      <w:r>
        <w:lastRenderedPageBreak/>
        <w:t>Dunks &amp; Threes. (2026). Estimated Plus-Minus (EPM), 2025-26 season. Retrieved from https://dunksandthrees.com</w:t>
      </w:r>
    </w:p>
    <w:p w14:paraId="3B1805C0" w14:textId="77777777" w:rsidR="0032143A" w:rsidRDefault="00000000">
      <w:pPr>
        <w:spacing w:after="200" w:line="480" w:lineRule="auto"/>
      </w:pPr>
      <w:r>
        <w:t xml:space="preserve">Gula, B., Vaci, N., Alexandrowicz, R. W., &amp; </w:t>
      </w:r>
      <w:proofErr w:type="spellStart"/>
      <w:r>
        <w:t>Bilalić</w:t>
      </w:r>
      <w:proofErr w:type="spellEnd"/>
      <w:r>
        <w:t xml:space="preserve">, M. (2021). Never too much—The benefit of talent to team performance in the National Basketball Association: Comment on </w:t>
      </w:r>
      <w:proofErr w:type="spellStart"/>
      <w:r>
        <w:t>Swaab</w:t>
      </w:r>
      <w:proofErr w:type="spellEnd"/>
      <w:r>
        <w:t>, Schaerer, Anicich, Ronay, and Galinsky (2014). Psychological Science, 32(2), 262–269.</w:t>
      </w:r>
    </w:p>
    <w:p w14:paraId="23A16AF9" w14:textId="77777777" w:rsidR="0032143A" w:rsidRDefault="00000000">
      <w:pPr>
        <w:spacing w:after="200" w:line="480" w:lineRule="auto"/>
      </w:pPr>
      <w:r>
        <w:t xml:space="preserve">Pradhan, S., &amp; </w:t>
      </w:r>
      <w:proofErr w:type="spellStart"/>
      <w:r>
        <w:t>Leshchinskii</w:t>
      </w:r>
      <w:proofErr w:type="spellEnd"/>
      <w:r>
        <w:t>, D. (2025). Violating the salary cap: Exploring performance gains in the National Basketball Association. Frontiers in Sports and Active Living, 7, 1625458.</w:t>
      </w:r>
    </w:p>
    <w:p w14:paraId="02918C3B" w14:textId="77777777" w:rsidR="0032143A" w:rsidRDefault="00000000">
      <w:pPr>
        <w:spacing w:after="200" w:line="480" w:lineRule="auto"/>
      </w:pPr>
      <w:r>
        <w:t>Spotrac. (2025). NBA contract and salary data, 2011–2025. Retrieved from https://www.spotrac.com</w:t>
      </w:r>
    </w:p>
    <w:p w14:paraId="24BD68A2" w14:textId="77777777" w:rsidR="0032143A" w:rsidRDefault="00000000">
      <w:pPr>
        <w:spacing w:after="200" w:line="480" w:lineRule="auto"/>
      </w:pPr>
      <w:proofErr w:type="spellStart"/>
      <w:r>
        <w:t>Swaab</w:t>
      </w:r>
      <w:proofErr w:type="spellEnd"/>
      <w:r>
        <w:t>, R. I., Schaerer, M., Anicich, E. M., Ronay, R., &amp; Galinsky, A. D. (2014). The too-much-talent effect: Team interdependence determines when more talent is too much or not enough. Psychological Science, 25(8), 1581–1591.</w:t>
      </w:r>
    </w:p>
    <w:sectPr w:rsidR="0032143A">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255D8" w14:textId="77777777" w:rsidR="00F87EE7" w:rsidRDefault="00F87EE7">
      <w:r>
        <w:separator/>
      </w:r>
    </w:p>
  </w:endnote>
  <w:endnote w:type="continuationSeparator" w:id="0">
    <w:p w14:paraId="490401B6" w14:textId="77777777" w:rsidR="00F87EE7" w:rsidRDefault="00F87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088B455-CEBE-E948-BF7E-EB823B2CB100}"/>
    <w:embedBold r:id="rId2" w:fontKey="{7F95BAE6-9435-4741-863D-D26D542291CB}"/>
    <w:embedItalic r:id="rId3" w:fontKey="{0667ACCF-E4D0-9845-8B7C-8F99F5457EA0}"/>
  </w:font>
  <w:font w:name="Georgia">
    <w:panose1 w:val="02040502050405020303"/>
    <w:charset w:val="00"/>
    <w:family w:val="roman"/>
    <w:pitch w:val="variable"/>
    <w:sig w:usb0="00000287" w:usb1="00000000" w:usb2="00000000" w:usb3="00000000" w:csb0="0000009F" w:csb1="00000000"/>
    <w:embedItalic r:id="rId4" w:fontKey="{BDB67321-5708-A84A-A3CA-8D439D4BD74B}"/>
  </w:font>
  <w:font w:name="Gungsuh">
    <w:panose1 w:val="02030600000101010101"/>
    <w:charset w:val="81"/>
    <w:family w:val="roman"/>
    <w:pitch w:val="variable"/>
    <w:sig w:usb0="B00002AF" w:usb1="69D77CFB" w:usb2="00000030" w:usb3="00000000" w:csb0="0008009F" w:csb1="00000000"/>
    <w:embedRegular r:id="rId5" w:subsetted="1" w:fontKey="{90CEF53C-E6C0-4D45-9F67-AB269008B291}"/>
  </w:font>
  <w:font w:name="Cardo">
    <w:charset w:val="00"/>
    <w:family w:val="auto"/>
    <w:pitch w:val="default"/>
    <w:embedRegular r:id="rId6" w:fontKey="{64645DBC-B404-8C4A-BB61-AA2B6EACA559}"/>
  </w:font>
  <w:font w:name="Calibri">
    <w:panose1 w:val="020F0502020204030204"/>
    <w:charset w:val="00"/>
    <w:family w:val="auto"/>
    <w:pitch w:val="variable"/>
    <w:sig w:usb0="00000003" w:usb1="00000000" w:usb2="00000000" w:usb3="00000000" w:csb0="00000001" w:csb1="00000000"/>
    <w:embedRegular r:id="rId7" w:fontKey="{C2FA54E6-CF95-364E-8160-8595F73E43D2}"/>
  </w:font>
  <w:font w:name="Cambria">
    <w:panose1 w:val="02040503050406030204"/>
    <w:charset w:val="00"/>
    <w:family w:val="auto"/>
    <w:pitch w:val="variable"/>
    <w:sig w:usb0="00000003" w:usb1="00000000" w:usb2="00000000" w:usb3="00000000" w:csb0="00000001" w:csb1="00000000"/>
    <w:embedRegular r:id="rId8" w:fontKey="{3C632CA4-B379-7843-9ED7-D835FFF69D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3E7B" w14:textId="77777777" w:rsidR="0032143A" w:rsidRDefault="00000000">
    <w:pPr>
      <w:jc w:val="center"/>
    </w:pPr>
    <w:r>
      <w:rPr>
        <w:sz w:val="24"/>
        <w:szCs w:val="24"/>
      </w:rPr>
      <w:fldChar w:fldCharType="begin"/>
    </w:r>
    <w:r>
      <w:rPr>
        <w:sz w:val="24"/>
        <w:szCs w:val="24"/>
      </w:rPr>
      <w:instrText>PAGE</w:instrText>
    </w:r>
    <w:r>
      <w:rPr>
        <w:sz w:val="24"/>
        <w:szCs w:val="24"/>
      </w:rPr>
      <w:fldChar w:fldCharType="separate"/>
    </w:r>
    <w:r w:rsidR="007E3468">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252F9" w14:textId="77777777" w:rsidR="00F87EE7" w:rsidRDefault="00F87EE7">
      <w:r>
        <w:separator/>
      </w:r>
    </w:p>
  </w:footnote>
  <w:footnote w:type="continuationSeparator" w:id="0">
    <w:p w14:paraId="7BAF0C16" w14:textId="77777777" w:rsidR="00F87EE7" w:rsidRDefault="00F87EE7">
      <w:r>
        <w:continuationSeparator/>
      </w:r>
    </w:p>
  </w:footnote>
  <w:footnote w:id="1">
    <w:p w14:paraId="5B7EB14E" w14:textId="77777777" w:rsidR="0032143A" w:rsidRDefault="00000000">
      <w:r>
        <w:rPr>
          <w:vertAlign w:val="superscript"/>
        </w:rPr>
        <w:footnoteRef/>
      </w:r>
      <w:r>
        <w:t xml:space="preserve"> The NBA's second apron was introduced as part of the 2023 Collective Bargaining Agreement beginning with the 2023–24 season. While several restrictions were phased in over the following two seasons, 2023–24 marks the first season in which the second apron existed as a distinct payroll threshold. Accordingly, this paper defines the post-apron period as 2023–24 onward, while recognizing that only the 2024–25 and 2025–26 seasons were subject to the apron's full set of roster-building restrictions.</w:t>
      </w:r>
    </w:p>
  </w:footnote>
  <w:footnote w:id="2">
    <w:p w14:paraId="2664D7C7" w14:textId="77777777" w:rsidR="0032143A" w:rsidRDefault="00000000">
      <w:r>
        <w:rPr>
          <w:vertAlign w:val="superscript"/>
        </w:rPr>
        <w:footnoteRef/>
      </w:r>
      <w:r>
        <w:t xml:space="preserve"> The 7–13 percent range is centered around the value of the NBA's primary non-taxpayer mid-level exception, which averaged approximately 8–9 percent of the salary cap over the sample period, while extending upward to capture similarly experienced complementary veterans earning modestly above the exception. The lower bound excludes minimum-salary and fringe roster players, while the upper bound distinguishes these mid-level veterans from higher-salary veterans.</w:t>
      </w:r>
    </w:p>
  </w:footnote>
  <w:footnote w:id="3">
    <w:p w14:paraId="05B6A9FD" w14:textId="77777777" w:rsidR="0032143A" w:rsidRDefault="00000000">
      <w:r>
        <w:rPr>
          <w:vertAlign w:val="superscript"/>
        </w:rPr>
        <w:footnoteRef/>
      </w:r>
      <w:r>
        <w:t xml:space="preserve"> EPM is available only for the 2025–26 season and is used in the paper's closing case study.</w:t>
      </w:r>
    </w:p>
    <w:p w14:paraId="4BA40755" w14:textId="77777777" w:rsidR="0032143A" w:rsidRDefault="0032143A"/>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43A"/>
    <w:rsid w:val="0032143A"/>
    <w:rsid w:val="007E3468"/>
    <w:rsid w:val="00D603DF"/>
    <w:rsid w:val="00F8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44CFD"/>
  <w15:docId w15:val="{0C4C9740-34BB-2649-930D-C4F49FE6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sspvugndIrLhOXHl8JQ37Uykg==">CgMxLjAaFAoBMBIPCg0IB0IJEgdHdW5nc3VoGhIKATESDQoLCAdCBxIFQ2FyZG8aFAoBMhIPCg0IB0IJEgdHdW5nc3VoGhQKATMSDwoNCAdCCRIHR3VuZ3N1aBoSCgE0Eg0KCwgHQgcSBUNhcmRvGhQKATUSDwoNCAdCCRIHR3VuZ3N1aBoUCgE2Eg8KDQgHQgkSB0d1bmdzdWgaEgoBNxINCgsIB0IHEgVDYXJkbxoSCgE4Eg0KCwgHQgcSBUNhcmRvGhQKATkSDwoNCAdCCRIHR3VuZ3N1aBoTCgIxMBINCgsIB0IHEgVDYXJkbzIOaC55cThjZGpzbGpicmkyDmguamJxbXhhZXJ4Zmt2OAByITFOdllGMTJfSGlfTjFRdlFVc2xzSkUwOXVOU1RIcDdi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8347</Words>
  <Characters>47578</Characters>
  <Application>Microsoft Office Word</Application>
  <DocSecurity>0</DocSecurity>
  <Lines>396</Lines>
  <Paragraphs>111</Paragraphs>
  <ScaleCrop>false</ScaleCrop>
  <Company/>
  <LinksUpToDate>false</LinksUpToDate>
  <CharactersWithSpaces>55814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Daileanes, Andy</cp:lastModifiedBy>
  <cp:revision>2</cp:revision>
  <dcterms:created xsi:type="dcterms:W3CDTF">2026-08-04T16:39:00Z</dcterms:created>
  <dcterms:modified xsi:type="dcterms:W3CDTF">2026-08-04T16:39:00Z</dcterms:modified>
</cp:coreProperties>
</file>