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F43C4" w:rsidRDefault="00000000">
      <w:pPr>
        <w:spacing w:after="40"/>
        <w:jc w:val="center"/>
        <w:rPr>
          <w:b/>
          <w:bCs/>
          <w:sz w:val="32"/>
          <w:szCs w:val="32"/>
        </w:rPr>
      </w:pPr>
      <w:r>
        <w:rPr>
          <w:b/>
          <w:bCs/>
          <w:color w:val="1F3864"/>
          <w:sz w:val="32"/>
          <w:szCs w:val="32"/>
        </w:rPr>
        <w:t>ANDREW DAILEANES</w:t>
      </w:r>
    </w:p>
    <w:p w14:paraId="00000002" w14:textId="77777777" w:rsidR="002F43C4" w:rsidRDefault="00000000">
      <w:pPr>
        <w:spacing w:after="60"/>
        <w:jc w:val="center"/>
        <w:rPr>
          <w:b/>
          <w:bCs/>
          <w:color w:val="1F3864"/>
          <w:sz w:val="20"/>
          <w:szCs w:val="20"/>
        </w:rPr>
      </w:pPr>
      <w:r>
        <w:rPr>
          <w:b/>
          <w:bCs/>
          <w:color w:val="1F3864"/>
          <w:sz w:val="20"/>
          <w:szCs w:val="20"/>
        </w:rPr>
        <w:t>ECONOMICS  ·  DATA SCIENCE  ·  SPORTS ANALYTICS</w:t>
      </w:r>
    </w:p>
    <w:p w14:paraId="00000003" w14:textId="77777777" w:rsidR="002F43C4" w:rsidRDefault="00000000">
      <w:pPr>
        <w:spacing w:after="100"/>
        <w:jc w:val="center"/>
        <w:rPr>
          <w:b/>
          <w:bCs/>
          <w:color w:val="1A1A1A"/>
          <w:sz w:val="21"/>
          <w:szCs w:val="21"/>
        </w:rPr>
      </w:pPr>
      <w:r>
        <w:rPr>
          <w:b/>
          <w:bCs/>
          <w:color w:val="1A1A1A"/>
          <w:sz w:val="21"/>
          <w:szCs w:val="21"/>
        </w:rPr>
        <w:t>Amesbury, MA 01913 | (857) 272-4135 | andrewdaileanes@gmail.com | linkedin.com/in/andy-daileanes-805007350</w:t>
      </w:r>
    </w:p>
    <w:p w14:paraId="00000004" w14:textId="77777777" w:rsidR="002F43C4" w:rsidRDefault="00000000">
      <w:pPr>
        <w:spacing w:after="100"/>
        <w:rPr>
          <w:b/>
          <w:bCs/>
          <w:color w:val="1A1A1A"/>
          <w:sz w:val="21"/>
          <w:szCs w:val="21"/>
        </w:rPr>
      </w:pPr>
      <w:r>
        <w:rPr>
          <w:b/>
          <w:bCs/>
          <w:color w:val="1A1A1A"/>
          <w:sz w:val="21"/>
          <w:szCs w:val="21"/>
        </w:rPr>
        <w:t xml:space="preserve">Website: </w:t>
      </w:r>
      <w:hyperlink r:id="rId6">
        <w:r>
          <w:rPr>
            <w:b/>
            <w:bCs/>
            <w:color w:val="1155CC"/>
            <w:sz w:val="21"/>
            <w:szCs w:val="21"/>
            <w:u w:val="single"/>
          </w:rPr>
          <w:t>https://andrewdaileanes.github.io</w:t>
        </w:r>
      </w:hyperlink>
    </w:p>
    <w:p w14:paraId="00000005" w14:textId="77777777" w:rsidR="002F43C4" w:rsidRDefault="00000000">
      <w:pPr>
        <w:pBdr>
          <w:bottom w:val="single" w:sz="6" w:space="2" w:color="1F3864"/>
        </w:pBdr>
        <w:spacing w:before="90" w:after="35"/>
        <w:rPr>
          <w:sz w:val="20"/>
          <w:szCs w:val="20"/>
        </w:rPr>
      </w:pPr>
      <w:r>
        <w:rPr>
          <w:b/>
          <w:bCs/>
          <w:color w:val="1F3864"/>
          <w:sz w:val="20"/>
          <w:szCs w:val="20"/>
        </w:rPr>
        <w:t>EDUCATION</w:t>
      </w:r>
    </w:p>
    <w:p w14:paraId="00000006" w14:textId="77777777" w:rsidR="002F43C4" w:rsidRDefault="00000000">
      <w:pPr>
        <w:tabs>
          <w:tab w:val="right" w:pos="9026"/>
        </w:tabs>
        <w:spacing w:before="48" w:after="8"/>
        <w:rPr>
          <w:sz w:val="20"/>
          <w:szCs w:val="20"/>
        </w:rPr>
      </w:pPr>
      <w:r>
        <w:rPr>
          <w:b/>
          <w:bCs/>
          <w:color w:val="1A1A1A"/>
          <w:sz w:val="21"/>
          <w:szCs w:val="21"/>
        </w:rPr>
        <w:t xml:space="preserve">Davidson College </w:t>
      </w:r>
      <w:r>
        <w:rPr>
          <w:color w:val="1A1A1A"/>
          <w:sz w:val="21"/>
          <w:szCs w:val="21"/>
        </w:rPr>
        <w:t>(2022</w:t>
      </w:r>
      <w:r>
        <w:rPr>
          <w:color w:val="1A1A1A"/>
          <w:sz w:val="20"/>
          <w:szCs w:val="20"/>
        </w:rPr>
        <w:t>–</w:t>
      </w:r>
      <w:r>
        <w:rPr>
          <w:color w:val="1A1A1A"/>
          <w:sz w:val="21"/>
          <w:szCs w:val="21"/>
        </w:rPr>
        <w:t>2026)</w:t>
      </w:r>
      <w:r>
        <w:rPr>
          <w:b/>
          <w:bCs/>
          <w:color w:val="1A1A1A"/>
          <w:sz w:val="20"/>
          <w:szCs w:val="20"/>
        </w:rPr>
        <w:tab/>
      </w:r>
    </w:p>
    <w:p w14:paraId="00000007" w14:textId="77777777" w:rsidR="002F43C4" w:rsidRDefault="00000000">
      <w:pPr>
        <w:spacing w:after="18"/>
        <w:rPr>
          <w:sz w:val="20"/>
          <w:szCs w:val="20"/>
        </w:rPr>
      </w:pPr>
      <w:r>
        <w:rPr>
          <w:color w:val="1A1A1A"/>
          <w:sz w:val="20"/>
          <w:szCs w:val="20"/>
        </w:rPr>
        <w:t>B.A. in Economics, Minor in Data Science  |  GPA: 3.6, Cum Laude</w:t>
      </w:r>
    </w:p>
    <w:p w14:paraId="00000008" w14:textId="77777777" w:rsidR="002F43C4" w:rsidRDefault="00000000">
      <w:pPr>
        <w:spacing w:after="18"/>
        <w:rPr>
          <w:sz w:val="20"/>
          <w:szCs w:val="20"/>
        </w:rPr>
      </w:pPr>
      <w:r>
        <w:rPr>
          <w:color w:val="1A1A1A"/>
          <w:sz w:val="20"/>
          <w:szCs w:val="20"/>
        </w:rPr>
        <w:t>Coursework: Econometrics, Statistics, Sports Economics, Corporate Finance, Industrial Organization, Urban Economics, Accounting</w:t>
      </w:r>
    </w:p>
    <w:p w14:paraId="00000009" w14:textId="77777777" w:rsidR="002F43C4" w:rsidRDefault="00000000">
      <w:pPr>
        <w:tabs>
          <w:tab w:val="right" w:pos="9026"/>
        </w:tabs>
        <w:spacing w:before="48" w:after="8"/>
        <w:rPr>
          <w:sz w:val="20"/>
          <w:szCs w:val="20"/>
        </w:rPr>
      </w:pPr>
      <w:r>
        <w:rPr>
          <w:b/>
          <w:bCs/>
          <w:color w:val="1A1A1A"/>
          <w:sz w:val="21"/>
          <w:szCs w:val="21"/>
        </w:rPr>
        <w:t xml:space="preserve">University of New South Wales </w:t>
      </w:r>
      <w:r>
        <w:rPr>
          <w:color w:val="1A1A1A"/>
          <w:sz w:val="21"/>
          <w:szCs w:val="21"/>
        </w:rPr>
        <w:t>(Spring 2025)</w:t>
      </w:r>
      <w:r>
        <w:rPr>
          <w:b/>
          <w:bCs/>
          <w:color w:val="1A1A1A"/>
          <w:sz w:val="20"/>
          <w:szCs w:val="20"/>
        </w:rPr>
        <w:tab/>
      </w:r>
    </w:p>
    <w:p w14:paraId="0000000A" w14:textId="77777777" w:rsidR="002F43C4" w:rsidRDefault="00000000">
      <w:pPr>
        <w:spacing w:after="18"/>
        <w:rPr>
          <w:sz w:val="20"/>
          <w:szCs w:val="20"/>
        </w:rPr>
      </w:pPr>
      <w:r>
        <w:rPr>
          <w:color w:val="1A1A1A"/>
          <w:sz w:val="20"/>
          <w:szCs w:val="20"/>
        </w:rPr>
        <w:t>Semester Abroad—Sydney, Australia; Coursework in Economics and Data Analytics</w:t>
      </w:r>
    </w:p>
    <w:p w14:paraId="0000000B" w14:textId="77777777" w:rsidR="002F43C4" w:rsidRDefault="00000000">
      <w:pPr>
        <w:pBdr>
          <w:bottom w:val="single" w:sz="6" w:space="2" w:color="1F3864"/>
        </w:pBdr>
        <w:spacing w:before="90" w:after="35"/>
        <w:rPr>
          <w:sz w:val="20"/>
          <w:szCs w:val="20"/>
        </w:rPr>
      </w:pPr>
      <w:r>
        <w:rPr>
          <w:b/>
          <w:bCs/>
          <w:color w:val="1F3864"/>
          <w:sz w:val="20"/>
          <w:szCs w:val="20"/>
        </w:rPr>
        <w:t>INDEPENDENT RESEARCH</w:t>
      </w:r>
    </w:p>
    <w:p w14:paraId="0000000C" w14:textId="77777777" w:rsidR="002F43C4" w:rsidRDefault="00000000">
      <w:pPr>
        <w:tabs>
          <w:tab w:val="right" w:pos="9026"/>
        </w:tabs>
        <w:spacing w:before="48" w:after="8"/>
        <w:rPr>
          <w:sz w:val="20"/>
          <w:szCs w:val="20"/>
        </w:rPr>
      </w:pPr>
      <w:r>
        <w:rPr>
          <w:b/>
          <w:bCs/>
          <w:color w:val="1A1A1A"/>
          <w:sz w:val="21"/>
          <w:szCs w:val="21"/>
        </w:rPr>
        <w:t>Independent Honors Research</w:t>
      </w:r>
      <w:r>
        <w:rPr>
          <w:color w:val="1A1A1A"/>
          <w:sz w:val="20"/>
          <w:szCs w:val="20"/>
        </w:rPr>
        <w:t>—Davidson College, Department of Economics</w:t>
      </w:r>
    </w:p>
    <w:p w14:paraId="0000000D" w14:textId="77777777" w:rsidR="002F43C4" w:rsidRDefault="00000000">
      <w:pPr>
        <w:spacing w:before="60"/>
        <w:rPr>
          <w:sz w:val="21"/>
          <w:szCs w:val="21"/>
        </w:rPr>
      </w:pPr>
      <w:r>
        <w:rPr>
          <w:b/>
          <w:bCs/>
          <w:color w:val="1A1A1A"/>
          <w:sz w:val="21"/>
          <w:szCs w:val="21"/>
        </w:rPr>
        <w:t xml:space="preserve">NBA Second Apron Labor Market Analysis </w:t>
      </w:r>
      <w:r>
        <w:rPr>
          <w:color w:val="1A1A1A"/>
          <w:sz w:val="21"/>
          <w:szCs w:val="21"/>
        </w:rPr>
        <w:t>(Spring 2026)</w:t>
      </w:r>
    </w:p>
    <w:p w14:paraId="0000000E" w14:textId="77777777" w:rsidR="002F43C4" w:rsidRDefault="00000000">
      <w:pPr>
        <w:rPr>
          <w:sz w:val="20"/>
          <w:szCs w:val="20"/>
        </w:rPr>
      </w:pPr>
      <w:r>
        <w:rPr>
          <w:i/>
          <w:iCs/>
          <w:color w:val="1A1A1A"/>
          <w:sz w:val="20"/>
          <w:szCs w:val="20"/>
        </w:rPr>
        <w:t>How the NBA's Second Apron Has Reshaped Mid-Level Veteran Labor</w:t>
      </w:r>
    </w:p>
    <w:p w14:paraId="0000000F" w14:textId="77777777" w:rsidR="002F43C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23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Assembled and cleaned a panel dataset of 3,645 NBA player-seasons (2011–2026) in Excel before running fixed-effects regressions in R on the second apron's effect on labor utilization across high-salary veteran, mid-level, and rookie-scale players</w:t>
      </w:r>
    </w:p>
    <w:p w14:paraId="00000010" w14:textId="77777777" w:rsidR="002F43C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23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Estimated fixed-effects models showing mid-level veterans lost an average of 3.2 minutes per game and shifted from starting to bench roles post-apron (p &lt; 0.01), while rookie-scale players absorbed more starting opportunities</w:t>
      </w:r>
    </w:p>
    <w:p w14:paraId="00000011" w14:textId="77777777" w:rsidR="002F43C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23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Documented a compositional shift toward younger, higher-performing players within the mid-level veteran salary band (7–13% of the cap) post-apron, and assessed robustness through placebo tests and contender/non-contender subsample analyses</w:t>
      </w:r>
    </w:p>
    <w:p w14:paraId="00000012" w14:textId="77777777" w:rsidR="002F43C4" w:rsidRDefault="00000000">
      <w:pPr>
        <w:spacing w:line="223" w:lineRule="auto"/>
        <w:rPr>
          <w:sz w:val="21"/>
          <w:szCs w:val="21"/>
        </w:rPr>
      </w:pPr>
      <w:r>
        <w:rPr>
          <w:b/>
          <w:bCs/>
          <w:color w:val="1A1A1A"/>
          <w:sz w:val="21"/>
          <w:szCs w:val="21"/>
        </w:rPr>
        <w:t xml:space="preserve">NBA Luxury Tax Capital Allocation Analysis </w:t>
      </w:r>
      <w:r>
        <w:rPr>
          <w:color w:val="1A1A1A"/>
          <w:sz w:val="21"/>
          <w:szCs w:val="21"/>
        </w:rPr>
        <w:t>(Spring 2026)</w:t>
      </w:r>
    </w:p>
    <w:p w14:paraId="00000013" w14:textId="77777777" w:rsidR="002F43C4" w:rsidRDefault="00000000">
      <w:pPr>
        <w:spacing w:after="18"/>
        <w:rPr>
          <w:sz w:val="20"/>
          <w:szCs w:val="20"/>
        </w:rPr>
      </w:pPr>
      <w:r>
        <w:rPr>
          <w:i/>
          <w:iCs/>
          <w:color w:val="1A1A1A"/>
          <w:sz w:val="20"/>
          <w:szCs w:val="20"/>
        </w:rPr>
        <w:t>How Escalating Regulatory Costs Shape Firm Capital Allocation: Evidence from the NBA Luxury Tax</w:t>
      </w:r>
    </w:p>
    <w:p w14:paraId="00000014" w14:textId="77777777" w:rsidR="002F43C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5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Compiled and cleaned a panel dataset of 450 NBA team-seasons (2011–2025) in Excel before running fixed-effects regressions in R to examine how tax threshold proximity shapes team payroll positioning and capital concentration </w:t>
      </w:r>
    </w:p>
    <w:p w14:paraId="00000015" w14:textId="77777777" w:rsidR="002F43C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Found teams finishing closer to the luxury tax threshold allocated a significantly larger payroll share to their top three players the following season (p &lt; 0.001), with a one-SD increase in tax proximity linked to a 2.6-percentage-point rise in concentration</w:t>
      </w:r>
    </w:p>
    <w:p w14:paraId="00000016" w14:textId="77777777" w:rsidR="002F43C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5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Used the NBA luxury tax as a natural laboratory to study how escalating regulatory costs shape capital allocation, and assessed results' stability through ownership-transition exclusions, alternative specifications, and reverse-causality checks</w:t>
      </w:r>
    </w:p>
    <w:p w14:paraId="00000017" w14:textId="77777777" w:rsidR="002F43C4" w:rsidRDefault="00000000">
      <w:pPr>
        <w:pBdr>
          <w:bottom w:val="single" w:sz="6" w:space="2" w:color="1F3864"/>
        </w:pBdr>
        <w:spacing w:before="90" w:after="35"/>
        <w:rPr>
          <w:sz w:val="20"/>
          <w:szCs w:val="20"/>
        </w:rPr>
      </w:pPr>
      <w:r>
        <w:rPr>
          <w:b/>
          <w:bCs/>
          <w:color w:val="1F3864"/>
          <w:sz w:val="20"/>
          <w:szCs w:val="20"/>
        </w:rPr>
        <w:t>SPORTS ANALYTICS EXPERIENCE</w:t>
      </w:r>
    </w:p>
    <w:p w14:paraId="00000018" w14:textId="77777777" w:rsidR="002F43C4" w:rsidRDefault="00000000">
      <w:pPr>
        <w:tabs>
          <w:tab w:val="right" w:pos="9026"/>
        </w:tabs>
        <w:spacing w:before="48" w:after="8"/>
        <w:rPr>
          <w:sz w:val="20"/>
          <w:szCs w:val="20"/>
        </w:rPr>
      </w:pPr>
      <w:r>
        <w:rPr>
          <w:b/>
          <w:bCs/>
          <w:color w:val="1A1A1A"/>
          <w:sz w:val="21"/>
          <w:szCs w:val="21"/>
        </w:rPr>
        <w:t>TxODDS—Basketball Scout</w:t>
      </w:r>
      <w:r>
        <w:rPr>
          <w:color w:val="1A1A1A"/>
          <w:sz w:val="21"/>
          <w:szCs w:val="21"/>
        </w:rPr>
        <w:t xml:space="preserve"> (2025</w:t>
      </w:r>
      <w:r>
        <w:rPr>
          <w:color w:val="1A1A1A"/>
          <w:sz w:val="20"/>
          <w:szCs w:val="20"/>
        </w:rPr>
        <w:t>–</w:t>
      </w:r>
      <w:r>
        <w:rPr>
          <w:color w:val="1A1A1A"/>
          <w:sz w:val="21"/>
          <w:szCs w:val="21"/>
        </w:rPr>
        <w:t>2026)</w:t>
      </w:r>
      <w:r>
        <w:rPr>
          <w:b/>
          <w:bCs/>
          <w:color w:val="1A1A1A"/>
          <w:sz w:val="20"/>
          <w:szCs w:val="20"/>
        </w:rPr>
        <w:tab/>
      </w:r>
    </w:p>
    <w:p w14:paraId="00000019" w14:textId="77777777" w:rsidR="002F43C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5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Recorded and verified live in-venue game data—scores, play events, match details—for Division I college basketball games using proprietary mobile data capture tools, powering one of the industry's most accurate sports betting and analytics feeds </w:t>
      </w:r>
    </w:p>
    <w:p w14:paraId="0000001A" w14:textId="77777777" w:rsidR="002F43C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5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Operated in a high-pressure, time-sensitive environment, maintaining rigorous speed and accuracy standards on-site </w:t>
      </w:r>
    </w:p>
    <w:p w14:paraId="0000001B" w14:textId="77777777" w:rsidR="002F43C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5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Coordinated coverage schedules with operations teams to ensure seamless, reliable reporting across assigned games</w:t>
      </w:r>
    </w:p>
    <w:p w14:paraId="0000001C" w14:textId="77777777" w:rsidR="002F43C4" w:rsidRDefault="00000000">
      <w:pPr>
        <w:tabs>
          <w:tab w:val="right" w:pos="9026"/>
        </w:tabs>
        <w:spacing w:before="48" w:after="8"/>
        <w:rPr>
          <w:sz w:val="20"/>
          <w:szCs w:val="20"/>
        </w:rPr>
      </w:pPr>
      <w:r>
        <w:rPr>
          <w:b/>
          <w:bCs/>
          <w:color w:val="1A1A1A"/>
          <w:sz w:val="21"/>
          <w:szCs w:val="21"/>
        </w:rPr>
        <w:t xml:space="preserve">Chatham Anglers, Cape Cod Baseball League—Baseball Operations Intern </w:t>
      </w:r>
      <w:r>
        <w:rPr>
          <w:color w:val="1A1A1A"/>
          <w:sz w:val="21"/>
          <w:szCs w:val="21"/>
        </w:rPr>
        <w:t>(Summer 2025)</w:t>
      </w:r>
      <w:r>
        <w:rPr>
          <w:b/>
          <w:bCs/>
          <w:color w:val="1A1A1A"/>
          <w:sz w:val="20"/>
          <w:szCs w:val="20"/>
        </w:rPr>
        <w:tab/>
      </w:r>
    </w:p>
    <w:p w14:paraId="0000001D" w14:textId="77777777" w:rsidR="002F43C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5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Supported day-to-day operations for the Chatham Anglers, working closely with the team's President within the nation's premier collegiate summer baseball league </w:t>
      </w:r>
    </w:p>
    <w:p w14:paraId="0000001E" w14:textId="77777777" w:rsidR="002F43C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5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Contributed to game-day logistics, player services, and organizational events, assisting across operational needs</w:t>
      </w:r>
    </w:p>
    <w:p w14:paraId="0000001F" w14:textId="77777777" w:rsidR="002F43C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5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Assisted with fundraising and community initiatives sustaining the league's non-profit structure, gaining exposure to the administrative and community-facing sides of baseball operations</w:t>
      </w:r>
    </w:p>
    <w:p w14:paraId="00000020" w14:textId="77777777" w:rsidR="002F43C4" w:rsidRDefault="00000000">
      <w:pPr>
        <w:tabs>
          <w:tab w:val="right" w:pos="9026"/>
        </w:tabs>
        <w:spacing w:before="48" w:after="8"/>
        <w:rPr>
          <w:sz w:val="20"/>
          <w:szCs w:val="20"/>
        </w:rPr>
      </w:pPr>
      <w:r>
        <w:rPr>
          <w:b/>
          <w:bCs/>
          <w:color w:val="1A1A1A"/>
          <w:sz w:val="21"/>
          <w:szCs w:val="21"/>
        </w:rPr>
        <w:t>Cats Stats Club, Davidson College—Analyst</w:t>
      </w:r>
      <w:r>
        <w:rPr>
          <w:color w:val="1A1A1A"/>
          <w:sz w:val="21"/>
          <w:szCs w:val="21"/>
        </w:rPr>
        <w:t xml:space="preserve"> (2022</w:t>
      </w:r>
      <w:r>
        <w:rPr>
          <w:color w:val="1A1A1A"/>
          <w:sz w:val="20"/>
          <w:szCs w:val="20"/>
        </w:rPr>
        <w:t>–</w:t>
      </w:r>
      <w:r>
        <w:rPr>
          <w:color w:val="1A1A1A"/>
          <w:sz w:val="21"/>
          <w:szCs w:val="21"/>
        </w:rPr>
        <w:t>2026)</w:t>
      </w:r>
      <w:r>
        <w:rPr>
          <w:b/>
          <w:bCs/>
          <w:color w:val="1A1A1A"/>
          <w:sz w:val="20"/>
          <w:szCs w:val="20"/>
        </w:rPr>
        <w:tab/>
      </w:r>
    </w:p>
    <w:p w14:paraId="00000021" w14:textId="77777777" w:rsidR="002F43C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5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Collected, analyzed, and communicated performance data to coaching staffs through Cats Stats analytics organization </w:t>
      </w:r>
    </w:p>
    <w:p w14:paraId="00000022" w14:textId="77777777" w:rsidR="002F43C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5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Prepared statistical reports that supported player evaluation and game-planning discussions </w:t>
      </w:r>
    </w:p>
    <w:p w14:paraId="00000023" w14:textId="77777777" w:rsidR="002F43C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5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Collaborated with fellow student analysts to organize and maintain performance datasets across Davidson Athletics programs</w:t>
      </w:r>
    </w:p>
    <w:p w14:paraId="10000001" w14:textId="77777777" w:rsidR="002F43C4" w:rsidRDefault="00000000">
      <w:pPr>
        <w:spacing w:before="48" w:after="15"/>
        <w:rPr>
          <w:sz w:val="20"/>
          <w:szCs w:val="20"/>
        </w:rPr>
      </w:pPr>
      <w:r>
        <w:rPr>
          <w:b/>
          <w:bCs/>
          <w:color w:val="1A1A1A"/>
          <w:sz w:val="20"/>
          <w:szCs w:val="20"/>
        </w:rPr>
        <w:t xml:space="preserve">CSCS Certification (Est. Completion: December 2026)— </w:t>
      </w:r>
      <w:r>
        <w:rPr>
          <w:color w:val="1A1A1A"/>
          <w:sz w:val="20"/>
          <w:szCs w:val="20"/>
        </w:rPr>
        <w:t>Pursuing the Certified Strength and Conditioning Specialist credential alongside coursework and research</w:t>
      </w:r>
    </w:p>
    <w:p w14:paraId="00000024" w14:textId="77777777" w:rsidR="002F43C4" w:rsidRDefault="00000000">
      <w:pPr>
        <w:pBdr>
          <w:bottom w:val="single" w:sz="6" w:space="2" w:color="1F3864"/>
        </w:pBdr>
        <w:spacing w:before="90" w:after="35"/>
        <w:rPr>
          <w:sz w:val="20"/>
          <w:szCs w:val="20"/>
        </w:rPr>
      </w:pPr>
      <w:r>
        <w:rPr>
          <w:b/>
          <w:bCs/>
          <w:color w:val="1F3864"/>
          <w:sz w:val="20"/>
          <w:szCs w:val="20"/>
        </w:rPr>
        <w:t>TECHNICAL SKILLS</w:t>
      </w:r>
    </w:p>
    <w:p w14:paraId="00000025" w14:textId="77777777" w:rsidR="002F43C4" w:rsidRDefault="00000000">
      <w:pPr>
        <w:spacing w:after="25"/>
        <w:rPr>
          <w:sz w:val="20"/>
          <w:szCs w:val="20"/>
        </w:rPr>
      </w:pPr>
      <w:r>
        <w:rPr>
          <w:b/>
          <w:bCs/>
          <w:color w:val="1A1A1A"/>
          <w:sz w:val="20"/>
          <w:szCs w:val="20"/>
        </w:rPr>
        <w:t xml:space="preserve">Programming: </w:t>
      </w:r>
      <w:r>
        <w:rPr>
          <w:color w:val="1A1A1A"/>
          <w:sz w:val="20"/>
          <w:szCs w:val="20"/>
        </w:rPr>
        <w:t>R, Python, SPSS, SQL, Tableau</w:t>
      </w:r>
    </w:p>
    <w:p w14:paraId="00000026" w14:textId="77777777" w:rsidR="002F43C4" w:rsidRDefault="00000000">
      <w:pPr>
        <w:spacing w:after="25"/>
        <w:rPr>
          <w:sz w:val="20"/>
          <w:szCs w:val="20"/>
        </w:rPr>
      </w:pPr>
      <w:r>
        <w:rPr>
          <w:b/>
          <w:bCs/>
          <w:color w:val="1A1A1A"/>
          <w:sz w:val="20"/>
          <w:szCs w:val="20"/>
        </w:rPr>
        <w:t xml:space="preserve">Data Analysis &amp; Tools: </w:t>
      </w:r>
      <w:r>
        <w:rPr>
          <w:color w:val="1A1A1A"/>
          <w:sz w:val="20"/>
          <w:szCs w:val="20"/>
        </w:rPr>
        <w:t>Excel, ArcGIS &amp; Geostatistical Tools, Google Suite, Microsoft Office</w:t>
      </w:r>
    </w:p>
    <w:p w14:paraId="00000027" w14:textId="77777777" w:rsidR="002F43C4" w:rsidRDefault="00000000">
      <w:pPr>
        <w:spacing w:after="25"/>
        <w:rPr>
          <w:sz w:val="20"/>
          <w:szCs w:val="20"/>
        </w:rPr>
      </w:pPr>
      <w:r>
        <w:rPr>
          <w:b/>
          <w:bCs/>
          <w:color w:val="1A1A1A"/>
          <w:sz w:val="20"/>
          <w:szCs w:val="20"/>
        </w:rPr>
        <w:t xml:space="preserve">Econometric Methods: </w:t>
      </w:r>
      <w:r>
        <w:rPr>
          <w:color w:val="1A1A1A"/>
          <w:sz w:val="20"/>
          <w:szCs w:val="20"/>
        </w:rPr>
        <w:t>Panel Data Analysis, Fixed-Effects Models, OLS Regression, Robust &amp; Clustered Standard Errors, Placebo Testing, Multicollinearity Diagnostics (VIF)</w:t>
      </w:r>
    </w:p>
    <w:p w14:paraId="00000028" w14:textId="77777777" w:rsidR="002F43C4" w:rsidRDefault="00000000">
      <w:pPr>
        <w:spacing w:after="25"/>
        <w:rPr>
          <w:sz w:val="20"/>
          <w:szCs w:val="20"/>
        </w:rPr>
      </w:pPr>
      <w:r>
        <w:rPr>
          <w:b/>
          <w:bCs/>
          <w:color w:val="1A1A1A"/>
          <w:sz w:val="20"/>
          <w:szCs w:val="20"/>
        </w:rPr>
        <w:t xml:space="preserve">Additional Tools: </w:t>
      </w:r>
      <w:r>
        <w:rPr>
          <w:color w:val="1A1A1A"/>
          <w:sz w:val="20"/>
          <w:szCs w:val="20"/>
        </w:rPr>
        <w:t>HTML/CSS, Adobe Premiere Pro, Canva, Financial Forecasting &amp; Budgeting, Conversational Spanish</w:t>
      </w:r>
    </w:p>
    <w:p w14:paraId="00000029" w14:textId="77777777" w:rsidR="002F43C4" w:rsidRDefault="00000000">
      <w:pPr>
        <w:pBdr>
          <w:bottom w:val="single" w:sz="6" w:space="2" w:color="1F3864"/>
        </w:pBdr>
        <w:spacing w:before="90" w:after="35"/>
        <w:rPr>
          <w:sz w:val="20"/>
          <w:szCs w:val="20"/>
        </w:rPr>
      </w:pPr>
      <w:r>
        <w:rPr>
          <w:b/>
          <w:bCs/>
          <w:color w:val="1F3864"/>
          <w:sz w:val="20"/>
          <w:szCs w:val="20"/>
        </w:rPr>
        <w:t>ADDITIONAL QUALIFICATIONS &amp; INTERESTS</w:t>
      </w:r>
    </w:p>
    <w:p w14:paraId="0000002A" w14:textId="77777777" w:rsidR="002F43C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"/>
        <w:ind w:left="360" w:hanging="180"/>
        <w:rPr>
          <w:color w:val="1A1A1A"/>
          <w:sz w:val="20"/>
          <w:szCs w:val="20"/>
        </w:rPr>
      </w:pPr>
      <w:r>
        <w:rPr>
          <w:color w:val="1A1A1A"/>
          <w:sz w:val="20"/>
          <w:szCs w:val="20"/>
        </w:rPr>
        <w:t>Health and Wellness: Enrolled in CSCS Certification (Est. Date of Completion–December 2026)</w:t>
      </w:r>
    </w:p>
    <w:p w14:paraId="0000002B" w14:textId="77777777" w:rsidR="002F43C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"/>
        <w:ind w:left="360" w:hanging="180"/>
        <w:rPr>
          <w:color w:val="1A1A1A"/>
          <w:sz w:val="20"/>
          <w:szCs w:val="20"/>
        </w:rPr>
      </w:pPr>
      <w:r>
        <w:rPr>
          <w:color w:val="1A1A1A"/>
          <w:sz w:val="20"/>
          <w:szCs w:val="20"/>
        </w:rPr>
        <w:t>CPR/AED Certified (2026)</w:t>
      </w:r>
    </w:p>
    <w:p w14:paraId="0000002C" w14:textId="77777777" w:rsidR="002F43C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"/>
        <w:ind w:left="360" w:hanging="180"/>
        <w:rPr>
          <w:color w:val="000000"/>
          <w:sz w:val="20"/>
          <w:szCs w:val="20"/>
        </w:rPr>
      </w:pPr>
      <w:r>
        <w:rPr>
          <w:color w:val="1A1A1A"/>
          <w:sz w:val="20"/>
          <w:szCs w:val="20"/>
        </w:rPr>
        <w:t>Varsity Basketball, Baseball, and Golf, Amesbury High School (2018–2022)</w:t>
      </w:r>
    </w:p>
    <w:p w14:paraId="0000002D" w14:textId="77777777" w:rsidR="002F43C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"/>
        <w:ind w:left="360" w:hanging="180"/>
        <w:rPr>
          <w:color w:val="000000"/>
          <w:sz w:val="20"/>
          <w:szCs w:val="20"/>
        </w:rPr>
      </w:pPr>
      <w:r>
        <w:rPr>
          <w:color w:val="1A1A1A"/>
          <w:sz w:val="20"/>
          <w:szCs w:val="20"/>
        </w:rPr>
        <w:t>Intramural Football, Soccer, Skiing, Rugby, and Basketball, Davidson College &amp; UNSW (2022–2026)</w:t>
      </w:r>
    </w:p>
    <w:p w14:paraId="0000002E" w14:textId="77777777" w:rsidR="002F43C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"/>
        <w:ind w:left="360" w:hanging="180"/>
        <w:rPr>
          <w:color w:val="000000"/>
          <w:sz w:val="20"/>
          <w:szCs w:val="20"/>
        </w:rPr>
      </w:pPr>
      <w:r>
        <w:rPr>
          <w:color w:val="1A1A1A"/>
          <w:sz w:val="20"/>
          <w:szCs w:val="20"/>
        </w:rPr>
        <w:t xml:space="preserve">Volunteer Fundraiser, Dana-Farber Lungstrong Nonprofit (2017–2023)</w:t>
      </w:r>
    </w:p>
    <w:sectPr w:rsidR="002F43C4">
      <w:pgSz w:w="12240" w:h="15840"/>
      <w:pgMar w:top="576" w:right="720" w:bottom="216" w:left="72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1" w:fontKey="{1B3B2F94-3C5C-034B-956A-675BC8A4040E}"/>
  </w:font>
  <w:font w:name="Noto Sans Symbols">
    <w:charset w:val="00"/>
    <w:family w:val="auto"/>
    <w:pitch w:val="default"/>
    <w:embedRegular r:id="rId2" w:fontKey="{2781CB1B-532B-7347-9F77-578C98487A06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3" w:fontKey="{A3C5AC8C-B5E1-A049-8982-731A36289AD5}"/>
    <w:embedBold r:id="rId4" w:fontKey="{52243E09-C25D-B94B-907D-286F2346F1CC}"/>
    <w:embedItalic r:id="rId5" w:fontKey="{BD2DE0CB-75E2-A340-BE77-04AC2D72870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6" w:fontKey="{48C1D710-1F59-B940-BF62-31D9DAEA0FD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60C89B01-2051-664C-AB37-055A5131B6A9}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  <w:embedRegular r:id="rId8" w:fontKey="{A8EBE21E-8A14-F243-97D8-3160F6FA41B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C135D"/>
    <w:multiLevelType w:val="multilevel"/>
    <w:tmpl w:val="FF680246"/>
    <w:lvl w:ilvl="0">
      <w:start w:val="1"/>
      <w:numFmt w:val="bullet"/>
      <w:lvlText w:val="•"/>
      <w:lvlJc w:val="left"/>
      <w:pPr>
        <w:ind w:left="54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CD2285E"/>
    <w:multiLevelType w:val="multilevel"/>
    <w:tmpl w:val="AF68DE7C"/>
    <w:lvl w:ilvl="0">
      <w:start w:val="1"/>
      <w:numFmt w:val="bullet"/>
      <w:lvlText w:val="•"/>
      <w:lvlJc w:val="left"/>
      <w:pPr>
        <w:ind w:left="360" w:hanging="18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 w16cid:durableId="899705353">
    <w:abstractNumId w:val="1"/>
  </w:num>
  <w:num w:numId="2" w16cid:durableId="1791321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43C4"/>
    <w:rsid w:val="002F43C4"/>
    <w:rsid w:val="006D7568"/>
    <w:rsid w:val="00D60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0C4C9740-34BB-2649-930D-C4F49FE62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8"/>
        <w:szCs w:val="18"/>
        <w:lang w:val="en" w:eastAsia="en-US" w:bidi="ar-SA"/>
      </w:rPr>
    </w:rPrDefault>
    <w:pPrDefault>
      <w:pPr>
        <w:spacing w:line="22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andrewdaileanes.github.io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ANCQkN/H48zVapWctE7XFNmbxw==">CgMxLjA4AHIhMU91bXA4cElidWo3V0xkdXdvTnB2Q2ZiLUMyZXdRNzB1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705</Words>
  <Characters>4025</Characters>
  <Application>Microsoft Office Word</Application>
  <DocSecurity>0</DocSecurity>
  <Lines>33</Lines>
  <Paragraphs>9</Paragraphs>
  <ScaleCrop>false</ScaleCrop>
  <Company/>
  <LinksUpToDate>false</LinksUpToDate>
  <CharactersWithSpaces>4721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Daileanes, Andy</cp:lastModifiedBy>
  <cp:revision>2</cp:revision>
  <dcterms:created xsi:type="dcterms:W3CDTF">2026-08-04T16:42:00Z</dcterms:created>
  <dcterms:modified xsi:type="dcterms:W3CDTF">2026-08-04T16:42:00Z</dcterms:modified>
</cp:coreProperties>
</file>