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C2D35" w:rsidR="00DC2D35" w:rsidP="00DC2D35" w:rsidRDefault="009C1B58" w14:paraId="6469DDEC" w14:textId="77777777">
      <w:pPr>
        <w:pStyle w:val="Heading1"/>
      </w:pPr>
      <w:r w:rsidRPr="00734B56">
        <w:t>Purpose</w:t>
      </w:r>
      <w:r w:rsidR="00DC2D35">
        <w:t xml:space="preserve"> - </w:t>
      </w:r>
    </w:p>
    <w:p w:rsidR="003C1321" w:rsidP="00E92337" w:rsidRDefault="00E92337" w14:paraId="5B141174" w14:textId="6B6A620F">
      <w:r>
        <w:t>The purpose of this standard is to provide a Wannon Water framework and guidance for</w:t>
      </w:r>
      <w:r w:rsidR="003C1321">
        <w:t xml:space="preserve"> the management of </w:t>
      </w:r>
      <w:r w:rsidR="00B10C4F">
        <w:t>e</w:t>
      </w:r>
      <w:r>
        <w:t xml:space="preserve">mergency </w:t>
      </w:r>
      <w:r w:rsidR="003C1321">
        <w:t xml:space="preserve">events associated with our activities and ensure compliance with our </w:t>
      </w:r>
      <w:r w:rsidR="00F33CA5">
        <w:t>relevan</w:t>
      </w:r>
      <w:r w:rsidR="005761B9">
        <w:t>t</w:t>
      </w:r>
      <w:r w:rsidR="00F67B71">
        <w:t xml:space="preserve"> </w:t>
      </w:r>
      <w:r w:rsidR="003C1321">
        <w:t>obligations.</w:t>
      </w:r>
    </w:p>
    <w:p w:rsidR="003C1321" w:rsidP="00E92337" w:rsidRDefault="003C1321" w14:paraId="3DA80838" w14:textId="77777777"/>
    <w:p w:rsidR="00BF3464" w:rsidP="00E92337" w:rsidRDefault="00BF3464" w14:paraId="05F534EE" w14:textId="660379FF">
      <w:r>
        <w:t xml:space="preserve">We are exposed to a variety of hazards and risks associated with </w:t>
      </w:r>
      <w:r w:rsidR="00195384">
        <w:t xml:space="preserve">our </w:t>
      </w:r>
      <w:r w:rsidRPr="00912E69">
        <w:t>activities, products, and services</w:t>
      </w:r>
      <w:r>
        <w:t xml:space="preserve">. </w:t>
      </w:r>
      <w:r w:rsidRPr="00912E69">
        <w:t>Failure to identify</w:t>
      </w:r>
      <w:r>
        <w:t xml:space="preserve"> and </w:t>
      </w:r>
      <w:r w:rsidRPr="00912E69">
        <w:t xml:space="preserve">effectively manage </w:t>
      </w:r>
      <w:r>
        <w:t xml:space="preserve">potential emergency events </w:t>
      </w:r>
      <w:r w:rsidRPr="00912E69">
        <w:t>can cause harm to our people</w:t>
      </w:r>
      <w:r w:rsidR="001040C4">
        <w:t xml:space="preserve">, the </w:t>
      </w:r>
      <w:r w:rsidR="002A5F78">
        <w:t>community</w:t>
      </w:r>
      <w:r w:rsidRPr="00912E69">
        <w:t xml:space="preserve">, the environment and </w:t>
      </w:r>
      <w:r>
        <w:t xml:space="preserve">may </w:t>
      </w:r>
      <w:r w:rsidRPr="00912E69">
        <w:t xml:space="preserve">adversely impact </w:t>
      </w:r>
      <w:r>
        <w:t xml:space="preserve">our Strategic Direction and our </w:t>
      </w:r>
      <w:r w:rsidRPr="00487B78">
        <w:rPr>
          <w:b/>
        </w:rPr>
        <w:t>Zero Harm</w:t>
      </w:r>
      <w:r>
        <w:t xml:space="preserve"> </w:t>
      </w:r>
      <w:r w:rsidR="00ED46E7">
        <w:t>aspirations</w:t>
      </w:r>
      <w:r w:rsidRPr="00912E69">
        <w:t xml:space="preserve">.    </w:t>
      </w:r>
    </w:p>
    <w:p w:rsidR="00BF3464" w:rsidP="00E92337" w:rsidRDefault="00BF3464" w14:paraId="633ABC35" w14:textId="77777777"/>
    <w:p w:rsidRPr="002D61A7" w:rsidR="002D61A7" w:rsidP="002D61A7" w:rsidRDefault="002D61A7" w14:paraId="76C5F141" w14:textId="77777777">
      <w:pPr>
        <w:rPr>
          <w:noProof/>
          <w:shd w:val="clear" w:color="auto" w:fill="FFFFFF"/>
        </w:rPr>
      </w:pPr>
    </w:p>
    <w:p w:rsidRPr="005D2EB7" w:rsidR="00C560DF" w:rsidP="00C560DF" w:rsidRDefault="00C560DF" w14:paraId="1E5D636D" w14:textId="35C92B65">
      <w:pPr>
        <w:pStyle w:val="Heading1"/>
      </w:pPr>
      <w:r w:rsidRPr="005D2EB7">
        <w:t>Scope</w:t>
      </w:r>
    </w:p>
    <w:p w:rsidRPr="00080522" w:rsidR="002723A6" w:rsidP="002723A6" w:rsidRDefault="002723A6" w14:paraId="755CF911" w14:textId="77777777">
      <w:pPr>
        <w:rPr>
          <w:noProof/>
          <w:shd w:val="clear" w:color="auto" w:fill="FFFFFF"/>
        </w:rPr>
      </w:pPr>
      <w:r w:rsidRPr="00080522">
        <w:rPr>
          <w:noProof/>
          <w:shd w:val="clear" w:color="auto" w:fill="FFFFFF"/>
        </w:rPr>
        <w:t xml:space="preserve">This </w:t>
      </w:r>
      <w:r>
        <w:rPr>
          <w:noProof/>
          <w:shd w:val="clear" w:color="auto" w:fill="FFFFFF"/>
        </w:rPr>
        <w:t>framework</w:t>
      </w:r>
      <w:r w:rsidRPr="00080522">
        <w:rPr>
          <w:noProof/>
          <w:shd w:val="clear" w:color="auto" w:fill="FFFFFF"/>
        </w:rPr>
        <w:t xml:space="preserve"> applies to:</w:t>
      </w:r>
    </w:p>
    <w:p w:rsidRPr="00080522" w:rsidR="002723A6" w:rsidP="002723A6" w:rsidRDefault="002723A6" w14:paraId="0ACC01C2" w14:textId="77777777">
      <w:pPr>
        <w:rPr>
          <w:noProof/>
          <w:shd w:val="clear" w:color="auto" w:fill="FFFFFF"/>
        </w:rPr>
      </w:pPr>
    </w:p>
    <w:p w:rsidR="006F6FEF" w:rsidP="006F6FEF" w:rsidRDefault="006F6FEF" w14:paraId="4F6C1743" w14:textId="4CB15EAF">
      <w:pPr>
        <w:pStyle w:val="ListParagraph"/>
        <w:numPr>
          <w:ilvl w:val="0"/>
          <w:numId w:val="28"/>
        </w:numPr>
        <w:rPr>
          <w:noProof/>
          <w:shd w:val="clear" w:color="auto" w:fill="FFFFFF"/>
        </w:rPr>
      </w:pPr>
      <w:bookmarkStart w:name="_Hlk156377350" w:id="0"/>
      <w:r w:rsidRPr="006F6FEF">
        <w:rPr>
          <w:noProof/>
          <w:shd w:val="clear" w:color="auto" w:fill="FFFFFF"/>
        </w:rPr>
        <w:t>All employees, contractors or other persons (e.g., volunteers) engaged in our activies who are under our direct supervision</w:t>
      </w:r>
      <w:r w:rsidR="00026085">
        <w:rPr>
          <w:rStyle w:val="FootnoteReference"/>
          <w:noProof/>
          <w:shd w:val="clear" w:color="auto" w:fill="FFFFFF"/>
        </w:rPr>
        <w:footnoteReference w:id="2"/>
      </w:r>
    </w:p>
    <w:bookmarkEnd w:id="0"/>
    <w:p w:rsidR="00F26E45" w:rsidP="006F6FEF" w:rsidRDefault="006F6FEF" w14:paraId="420D2F7A" w14:textId="77777777">
      <w:pPr>
        <w:pStyle w:val="ListParagraph"/>
        <w:numPr>
          <w:ilvl w:val="0"/>
          <w:numId w:val="28"/>
        </w:numPr>
      </w:pPr>
      <w:r w:rsidRPr="006F6FEF">
        <w:rPr>
          <w:noProof/>
          <w:shd w:val="clear" w:color="auto" w:fill="FFFFFF"/>
        </w:rPr>
        <w:t xml:space="preserve">The lifecycle of Emergency Management </w:t>
      </w:r>
      <w:r>
        <w:t>through all stages including mitigation, planning, preparedness, response and recovery</w:t>
      </w:r>
    </w:p>
    <w:p w:rsidR="00E2041E" w:rsidP="006F6FEF" w:rsidRDefault="00F26E45" w14:paraId="04AC7787" w14:textId="2EC80060">
      <w:pPr>
        <w:pStyle w:val="ListParagraph"/>
        <w:numPr>
          <w:ilvl w:val="0"/>
          <w:numId w:val="28"/>
        </w:numPr>
      </w:pPr>
      <w:r>
        <w:t>Emergency management arrangements</w:t>
      </w:r>
      <w:r w:rsidR="006C5BE3">
        <w:t xml:space="preserve"> where we are working with other agencies at a municipal, regional, state or national level</w:t>
      </w:r>
      <w:r w:rsidR="00E0596F">
        <w:t>.</w:t>
      </w:r>
      <w:r>
        <w:t xml:space="preserve"> </w:t>
      </w:r>
      <w:r w:rsidR="006F6FEF">
        <w:t xml:space="preserve"> </w:t>
      </w:r>
    </w:p>
    <w:p w:rsidR="006F6FEF" w:rsidP="003D3F10" w:rsidRDefault="006F6FEF" w14:paraId="5A4B60B2" w14:textId="77777777">
      <w:pPr>
        <w:pStyle w:val="ListParagraph"/>
        <w:numPr>
          <w:ilvl w:val="0"/>
          <w:numId w:val="0"/>
        </w:numPr>
        <w:ind w:left="720"/>
      </w:pPr>
    </w:p>
    <w:p w:rsidR="006F6FEF" w:rsidP="006F6FEF" w:rsidRDefault="006F6FEF" w14:paraId="5B43FCF0" w14:textId="17202861">
      <w:r w:rsidRPr="006F6FEF">
        <w:rPr>
          <w:b/>
          <w:shd w:val="clear" w:color="auto" w:fill="FFFFFF"/>
        </w:rPr>
        <w:t>Out of scope</w:t>
      </w:r>
      <w:r w:rsidRPr="006F6FEF">
        <w:t>:</w:t>
      </w:r>
    </w:p>
    <w:p w:rsidRPr="00041488" w:rsidR="00041488" w:rsidP="00041488" w:rsidRDefault="00041488" w14:paraId="7B2203D4" w14:textId="28318AD4">
      <w:pPr>
        <w:numPr>
          <w:ilvl w:val="0"/>
          <w:numId w:val="39"/>
        </w:numPr>
        <w:spacing w:after="160" w:line="259" w:lineRule="auto"/>
        <w:contextualSpacing/>
        <w:rPr>
          <w:rFonts w:cs="Arial" w:eastAsiaTheme="minorHAnsi"/>
          <w:noProof/>
          <w:szCs w:val="22"/>
          <w:shd w:val="clear" w:color="auto" w:fill="FFFFFF"/>
          <w:lang w:val="en-US"/>
        </w:rPr>
      </w:pPr>
      <w:r w:rsidRPr="00041488">
        <w:rPr>
          <w:rFonts w:cs="Arial" w:eastAsiaTheme="minorHAnsi"/>
          <w:noProof/>
          <w:szCs w:val="22"/>
          <w:shd w:val="clear" w:color="auto" w:fill="FFFFFF"/>
          <w:lang w:val="en-US"/>
        </w:rPr>
        <w:t xml:space="preserve">When a principal contractor has </w:t>
      </w:r>
      <w:r w:rsidR="001A3F20">
        <w:rPr>
          <w:rFonts w:cs="Arial" w:eastAsiaTheme="minorHAnsi"/>
          <w:noProof/>
          <w:szCs w:val="22"/>
          <w:shd w:val="clear" w:color="auto" w:fill="FFFFFF"/>
          <w:lang w:val="en-US"/>
        </w:rPr>
        <w:t>been granted</w:t>
      </w:r>
      <w:r w:rsidR="001A06E4">
        <w:rPr>
          <w:rFonts w:cs="Arial" w:eastAsiaTheme="minorHAnsi"/>
          <w:noProof/>
          <w:szCs w:val="22"/>
          <w:shd w:val="clear" w:color="auto" w:fill="FFFFFF"/>
          <w:lang w:val="en-US"/>
        </w:rPr>
        <w:t xml:space="preserve"> formal possession of a</w:t>
      </w:r>
      <w:r w:rsidRPr="00041488">
        <w:rPr>
          <w:rFonts w:cs="Arial" w:eastAsiaTheme="minorHAnsi"/>
          <w:noProof/>
          <w:szCs w:val="22"/>
          <w:shd w:val="clear" w:color="auto" w:fill="FFFFFF"/>
          <w:lang w:val="en-US"/>
        </w:rPr>
        <w:t xml:space="preserve"> site whilst carrying out contracted work</w:t>
      </w:r>
      <w:r w:rsidR="00A04BAE">
        <w:rPr>
          <w:rFonts w:cs="Arial" w:eastAsiaTheme="minorHAnsi"/>
          <w:noProof/>
          <w:szCs w:val="22"/>
          <w:shd w:val="clear" w:color="auto" w:fill="FFFFFF"/>
          <w:lang w:val="en-US"/>
        </w:rPr>
        <w:t>, i</w:t>
      </w:r>
      <w:r w:rsidRPr="00041488">
        <w:rPr>
          <w:rFonts w:cs="Arial" w:eastAsiaTheme="minorHAnsi"/>
          <w:noProof/>
          <w:szCs w:val="22"/>
          <w:shd w:val="clear" w:color="auto" w:fill="FFFFFF"/>
          <w:lang w:val="en-US"/>
        </w:rPr>
        <w:t xml:space="preserve">t is the responsibility of the principal contractor to comply with the relevant </w:t>
      </w:r>
      <w:r>
        <w:rPr>
          <w:rFonts w:cs="Arial" w:eastAsiaTheme="minorHAnsi"/>
          <w:noProof/>
          <w:szCs w:val="22"/>
          <w:shd w:val="clear" w:color="auto" w:fill="FFFFFF"/>
          <w:lang w:val="en-US"/>
        </w:rPr>
        <w:t xml:space="preserve">emergency </w:t>
      </w:r>
      <w:r w:rsidRPr="00041488">
        <w:rPr>
          <w:rFonts w:cs="Arial" w:eastAsiaTheme="minorHAnsi"/>
          <w:noProof/>
          <w:szCs w:val="22"/>
          <w:shd w:val="clear" w:color="auto" w:fill="FFFFFF"/>
          <w:lang w:val="en-US"/>
        </w:rPr>
        <w:t xml:space="preserve">management requirements and consult with </w:t>
      </w:r>
      <w:r w:rsidR="00BC7B5B">
        <w:rPr>
          <w:noProof/>
          <w:shd w:val="clear" w:color="auto" w:fill="FFFFFF"/>
        </w:rPr>
        <w:t>our</w:t>
      </w:r>
      <w:r w:rsidRPr="00672A2C" w:rsidR="00BC7B5B">
        <w:rPr>
          <w:noProof/>
          <w:shd w:val="clear" w:color="auto" w:fill="FFFFFF"/>
        </w:rPr>
        <w:t xml:space="preserve"> Engaging Officer to determine if </w:t>
      </w:r>
      <w:r w:rsidR="00BC7B5B">
        <w:rPr>
          <w:noProof/>
          <w:shd w:val="clear" w:color="auto" w:fill="FFFFFF"/>
        </w:rPr>
        <w:t>there are any</w:t>
      </w:r>
      <w:r w:rsidRPr="00672A2C" w:rsidR="00BC7B5B">
        <w:rPr>
          <w:noProof/>
          <w:shd w:val="clear" w:color="auto" w:fill="FFFFFF"/>
        </w:rPr>
        <w:t xml:space="preserve"> relevant Wannon Water policy/procedures they must comply with (e.g., </w:t>
      </w:r>
      <w:r w:rsidR="00BC7B5B">
        <w:rPr>
          <w:noProof/>
          <w:shd w:val="clear" w:color="auto" w:fill="FFFFFF"/>
        </w:rPr>
        <w:t>non-</w:t>
      </w:r>
      <w:r w:rsidRPr="00810B6B" w:rsidR="00BC7B5B">
        <w:rPr>
          <w:noProof/>
          <w:shd w:val="clear" w:color="auto" w:fill="FFFFFF"/>
        </w:rPr>
        <w:t>smoking</w:t>
      </w:r>
      <w:r w:rsidRPr="00672A2C" w:rsidR="00BC7B5B">
        <w:rPr>
          <w:noProof/>
          <w:shd w:val="clear" w:color="auto" w:fill="FFFFFF"/>
        </w:rPr>
        <w:t xml:space="preserve"> policy, clothing requirements on operational sites</w:t>
      </w:r>
      <w:r w:rsidR="00BC7B5B">
        <w:rPr>
          <w:noProof/>
          <w:shd w:val="clear" w:color="auto" w:fill="FFFFFF"/>
        </w:rPr>
        <w:t xml:space="preserve"> etc.</w:t>
      </w:r>
      <w:r w:rsidRPr="00672A2C" w:rsidR="00BC7B5B">
        <w:rPr>
          <w:noProof/>
          <w:shd w:val="clear" w:color="auto" w:fill="FFFFFF"/>
        </w:rPr>
        <w:t>).</w:t>
      </w:r>
      <w:r w:rsidRPr="00041488">
        <w:rPr>
          <w:rFonts w:cs="Arial" w:eastAsiaTheme="minorHAnsi"/>
          <w:noProof/>
          <w:szCs w:val="22"/>
          <w:shd w:val="clear" w:color="auto" w:fill="FFFFFF"/>
          <w:lang w:val="en-US"/>
        </w:rPr>
        <w:t xml:space="preserve">We still have a duty to communicate and collaborate to manage any </w:t>
      </w:r>
      <w:r>
        <w:rPr>
          <w:rFonts w:cs="Arial" w:eastAsiaTheme="minorHAnsi"/>
          <w:noProof/>
          <w:szCs w:val="22"/>
          <w:shd w:val="clear" w:color="auto" w:fill="FFFFFF"/>
          <w:lang w:val="en-US"/>
        </w:rPr>
        <w:t>emergency</w:t>
      </w:r>
      <w:r w:rsidRPr="00041488">
        <w:rPr>
          <w:rFonts w:cs="Arial" w:eastAsiaTheme="minorHAnsi"/>
          <w:noProof/>
          <w:szCs w:val="22"/>
          <w:shd w:val="clear" w:color="auto" w:fill="FFFFFF"/>
          <w:lang w:val="en-US"/>
        </w:rPr>
        <w:t xml:space="preserve"> risks relevant to each party.</w:t>
      </w:r>
    </w:p>
    <w:p w:rsidR="00E71F68" w:rsidRDefault="00E71F68" w14:paraId="0C7B6763" w14:textId="77777777">
      <w:pPr>
        <w:rPr>
          <w:noProof/>
          <w:shd w:val="clear" w:color="auto" w:fill="FFFFFF"/>
        </w:rPr>
      </w:pPr>
      <w:r>
        <w:rPr>
          <w:noProof/>
          <w:shd w:val="clear" w:color="auto" w:fill="FFFFFF"/>
        </w:rPr>
        <w:br w:type="page"/>
      </w:r>
    </w:p>
    <w:p w:rsidRPr="00817862" w:rsidR="00C560DF" w:rsidP="00C560DF" w:rsidRDefault="00C560DF" w14:paraId="565EB3FB" w14:textId="52600DDB">
      <w:pPr>
        <w:pStyle w:val="Heading1"/>
      </w:pPr>
      <w:r>
        <w:lastRenderedPageBreak/>
        <w:t xml:space="preserve">Standard requirements </w:t>
      </w:r>
    </w:p>
    <w:tbl>
      <w:tblPr>
        <w:tblStyle w:val="TableGrid"/>
        <w:tblW w:w="10429" w:type="dxa"/>
        <w:tblLook w:val="04A0" w:firstRow="1" w:lastRow="0" w:firstColumn="1" w:lastColumn="0" w:noHBand="0" w:noVBand="1"/>
      </w:tblPr>
      <w:tblGrid>
        <w:gridCol w:w="5578"/>
        <w:gridCol w:w="2747"/>
        <w:gridCol w:w="2090"/>
        <w:gridCol w:w="14"/>
      </w:tblGrid>
      <w:tr w:rsidRPr="00CE7833" w:rsidR="004B06E4" w:rsidTr="003F2F0A" w14:paraId="0D9CB176" w14:textId="77777777">
        <w:trPr>
          <w:trHeight w:val="552"/>
        </w:trPr>
        <w:tc>
          <w:tcPr>
            <w:tcW w:w="10429" w:type="dxa"/>
            <w:gridSpan w:val="4"/>
            <w:tcBorders>
              <w:bottom w:val="single" w:color="auto" w:sz="4" w:space="0"/>
            </w:tcBorders>
            <w:shd w:val="clear" w:color="auto" w:fill="00395D" w:themeFill="text2"/>
            <w:vAlign w:val="center"/>
          </w:tcPr>
          <w:p w:rsidRPr="00FD1762" w:rsidR="003577EF" w:rsidP="003F2F0A" w:rsidRDefault="00053D82" w14:paraId="624509FA" w14:textId="1E95C6BA">
            <w:pPr>
              <w:spacing w:before="240" w:after="240"/>
              <w:rPr>
                <w:b/>
                <w:bCs/>
                <w:color w:val="FFFFFF" w:themeColor="background1"/>
              </w:rPr>
            </w:pPr>
            <w:r>
              <w:rPr>
                <w:b/>
                <w:bCs/>
                <w:color w:val="FFFFFF" w:themeColor="background1"/>
              </w:rPr>
              <w:t>General</w:t>
            </w:r>
          </w:p>
        </w:tc>
      </w:tr>
      <w:tr w:rsidR="004B06E4" w:rsidTr="003F2F0A" w14:paraId="2B356F2C" w14:textId="77777777">
        <w:trPr>
          <w:gridAfter w:val="1"/>
          <w:wAfter w:w="14" w:type="dxa"/>
          <w:trHeight w:val="525"/>
        </w:trPr>
        <w:tc>
          <w:tcPr>
            <w:tcW w:w="5578" w:type="dxa"/>
            <w:tcBorders>
              <w:bottom w:val="single" w:color="auto" w:sz="4" w:space="0"/>
            </w:tcBorders>
            <w:shd w:val="clear" w:color="auto" w:fill="00B4D0" w:themeFill="accent1"/>
            <w:vAlign w:val="center"/>
          </w:tcPr>
          <w:p w:rsidRPr="003F2F0A" w:rsidR="00053D82" w:rsidP="003F2F0A" w:rsidRDefault="00053D82" w14:paraId="231B9B52" w14:textId="4D4BB553">
            <w:pPr>
              <w:ind w:right="-645"/>
              <w:rPr>
                <w:b/>
                <w:bCs/>
                <w:color w:val="FFFFFF" w:themeColor="background1"/>
              </w:rPr>
            </w:pPr>
            <w:r>
              <w:rPr>
                <w:b/>
                <w:bCs/>
                <w:color w:val="FFFFFF" w:themeColor="background1"/>
              </w:rPr>
              <w:t>Requirements</w:t>
            </w:r>
          </w:p>
        </w:tc>
        <w:tc>
          <w:tcPr>
            <w:tcW w:w="2747" w:type="dxa"/>
            <w:tcBorders>
              <w:bottom w:val="single" w:color="auto" w:sz="4" w:space="0"/>
            </w:tcBorders>
            <w:shd w:val="clear" w:color="auto" w:fill="00B4D0" w:themeFill="accent1"/>
            <w:vAlign w:val="center"/>
          </w:tcPr>
          <w:p w:rsidRPr="003F2F0A" w:rsidR="00053D82" w:rsidP="003F2F0A" w:rsidRDefault="00053D82" w14:paraId="75225973" w14:textId="6C7803DF">
            <w:pPr>
              <w:ind w:right="-645"/>
              <w:rPr>
                <w:b/>
                <w:bCs/>
                <w:color w:val="FFFFFF" w:themeColor="background1"/>
              </w:rPr>
            </w:pPr>
            <w:r w:rsidRPr="00CE7833">
              <w:rPr>
                <w:b/>
                <w:bCs/>
                <w:color w:val="FFFFFF" w:themeColor="background1"/>
              </w:rPr>
              <w:t>Responsibility</w:t>
            </w:r>
            <w:r w:rsidRPr="003F2F0A">
              <w:footnoteReference w:id="3"/>
            </w:r>
          </w:p>
        </w:tc>
        <w:tc>
          <w:tcPr>
            <w:tcW w:w="2090" w:type="dxa"/>
            <w:tcBorders>
              <w:bottom w:val="single" w:color="auto" w:sz="4" w:space="0"/>
            </w:tcBorders>
            <w:shd w:val="clear" w:color="auto" w:fill="00B4D0" w:themeFill="accent1"/>
            <w:vAlign w:val="center"/>
          </w:tcPr>
          <w:p w:rsidRPr="003F2F0A" w:rsidR="00053D82" w:rsidP="003F2F0A" w:rsidRDefault="00053D82" w14:paraId="41CE879D" w14:textId="5D9368C4">
            <w:pPr>
              <w:ind w:right="-645"/>
              <w:rPr>
                <w:b/>
                <w:bCs/>
                <w:color w:val="FFFFFF" w:themeColor="background1"/>
              </w:rPr>
            </w:pPr>
            <w:r>
              <w:rPr>
                <w:b/>
                <w:bCs/>
                <w:color w:val="FFFFFF" w:themeColor="background1"/>
              </w:rPr>
              <w:t>Accountability</w:t>
            </w:r>
            <w:r w:rsidRPr="003F2F0A">
              <w:footnoteReference w:id="4"/>
            </w:r>
          </w:p>
        </w:tc>
      </w:tr>
      <w:tr w:rsidR="00CA572B" w:rsidTr="00CA572B" w14:paraId="0047BD67" w14:textId="77777777">
        <w:trPr>
          <w:gridAfter w:val="1"/>
          <w:wAfter w:w="14" w:type="dxa"/>
        </w:trPr>
        <w:tc>
          <w:tcPr>
            <w:tcW w:w="5578" w:type="dxa"/>
            <w:shd w:val="clear" w:color="auto" w:fill="auto"/>
            <w:vAlign w:val="center"/>
          </w:tcPr>
          <w:p w:rsidRPr="001F67FE" w:rsidR="00CA572B" w:rsidP="00CA572B" w:rsidRDefault="00CA572B" w14:paraId="54C5F9C0" w14:textId="77777777">
            <w:r w:rsidRPr="001F67FE">
              <w:t xml:space="preserve">An </w:t>
            </w:r>
            <w:r w:rsidRPr="001F67FE">
              <w:rPr>
                <w:b/>
              </w:rPr>
              <w:t xml:space="preserve">Emergency Management Framework </w:t>
            </w:r>
            <w:r w:rsidRPr="001F67FE">
              <w:t>and</w:t>
            </w:r>
            <w:r w:rsidRPr="001F67FE">
              <w:rPr>
                <w:b/>
              </w:rPr>
              <w:t xml:space="preserve"> Emergency Management Plan</w:t>
            </w:r>
            <w:r w:rsidRPr="001F67FE">
              <w:t xml:space="preserve"> </w:t>
            </w:r>
            <w:r w:rsidRPr="001F67FE">
              <w:rPr>
                <w:b/>
              </w:rPr>
              <w:t>(EMP)</w:t>
            </w:r>
            <w:r w:rsidRPr="001F67FE">
              <w:t xml:space="preserve"> must be developed and meet the requirements of the </w:t>
            </w:r>
            <w:r w:rsidRPr="001F67FE">
              <w:rPr>
                <w:b/>
              </w:rPr>
              <w:t>Statement of Obligations (SoO)</w:t>
            </w:r>
            <w:r w:rsidRPr="001F67FE">
              <w:t xml:space="preserve"> and other applicable legislative obligations.</w:t>
            </w:r>
          </w:p>
          <w:p w:rsidRPr="001F67FE" w:rsidR="00CA572B" w:rsidP="00CA572B" w:rsidRDefault="00CA572B" w14:paraId="4A0B2BE4" w14:textId="77777777"/>
          <w:p w:rsidRPr="00614116" w:rsidR="00CA572B" w:rsidP="00CA572B" w:rsidRDefault="00CA572B" w14:paraId="299FAE4F" w14:textId="35B932B6">
            <w:r w:rsidRPr="001F67FE">
              <w:t xml:space="preserve">It must align with the </w:t>
            </w:r>
            <w:r w:rsidRPr="001F67FE">
              <w:rPr>
                <w:b/>
              </w:rPr>
              <w:t>Australasian Inter-service Incident Management System (AIIMS)</w:t>
            </w:r>
            <w:r w:rsidRPr="001F67FE">
              <w:t xml:space="preserve"> principles </w:t>
            </w:r>
            <w:r w:rsidR="4E849AE8">
              <w:t>and municipal</w:t>
            </w:r>
            <w:r w:rsidRPr="001F67FE">
              <w:t>, regional and state level arrangements.</w:t>
            </w:r>
            <w:r w:rsidRPr="00614116">
              <w:t xml:space="preserve"> </w:t>
            </w:r>
          </w:p>
          <w:p w:rsidRPr="00CA572B" w:rsidR="00CA572B" w:rsidP="00CA572B" w:rsidRDefault="00CA572B" w14:paraId="6945CCA6" w14:textId="77777777">
            <w:pPr>
              <w:widowControl w:val="0"/>
            </w:pPr>
          </w:p>
        </w:tc>
        <w:tc>
          <w:tcPr>
            <w:tcW w:w="2747" w:type="dxa"/>
            <w:shd w:val="clear" w:color="auto" w:fill="auto"/>
            <w:vAlign w:val="center"/>
          </w:tcPr>
          <w:p w:rsidRPr="00614116" w:rsidR="00CA572B" w:rsidP="00CA572B" w:rsidRDefault="00CA572B" w14:paraId="35C8E0C9" w14:textId="6DEED66D">
            <w:pPr>
              <w:rPr>
                <w:b/>
                <w:bCs/>
              </w:rPr>
            </w:pPr>
            <w:r w:rsidRPr="00614116">
              <w:rPr>
                <w:b/>
                <w:bCs/>
              </w:rPr>
              <w:t xml:space="preserve">Executive People &amp; Resilience </w:t>
            </w:r>
          </w:p>
        </w:tc>
        <w:tc>
          <w:tcPr>
            <w:tcW w:w="2090" w:type="dxa"/>
            <w:vAlign w:val="center"/>
          </w:tcPr>
          <w:p w:rsidR="00CA572B" w:rsidP="00CA572B" w:rsidRDefault="00CA572B" w14:paraId="766448BF" w14:textId="7EA5099B">
            <w:r>
              <w:t xml:space="preserve">GM People &amp; Business Services </w:t>
            </w:r>
          </w:p>
        </w:tc>
      </w:tr>
      <w:tr w:rsidR="00DF2648" w:rsidTr="00CA572B" w14:paraId="7F0DCBF1" w14:textId="77777777">
        <w:trPr>
          <w:gridAfter w:val="1"/>
          <w:wAfter w:w="14" w:type="dxa"/>
        </w:trPr>
        <w:tc>
          <w:tcPr>
            <w:tcW w:w="5578" w:type="dxa"/>
            <w:shd w:val="clear" w:color="auto" w:fill="auto"/>
            <w:vAlign w:val="center"/>
          </w:tcPr>
          <w:p w:rsidRPr="001F67FE" w:rsidR="00DF2648" w:rsidP="00DF2648" w:rsidRDefault="00DF2648" w14:paraId="350A8DDD" w14:textId="14F185D7">
            <w:pPr>
              <w:rPr>
                <w:b/>
              </w:rPr>
            </w:pPr>
            <w:r w:rsidRPr="001F67FE">
              <w:t xml:space="preserve">Water corporation agency roles and responsibilities must be performed where required - as defined in the </w:t>
            </w:r>
            <w:r w:rsidRPr="00BA5D5C" w:rsidR="00F44CC0">
              <w:rPr>
                <w:b/>
                <w:bCs/>
              </w:rPr>
              <w:t xml:space="preserve">State Emergency Management  Plan </w:t>
            </w:r>
            <w:r w:rsidR="00387185">
              <w:t>(</w:t>
            </w:r>
            <w:r w:rsidRPr="001F67FE">
              <w:rPr>
                <w:b/>
              </w:rPr>
              <w:t>SEMP</w:t>
            </w:r>
            <w:r w:rsidR="00387185">
              <w:rPr>
                <w:b/>
              </w:rPr>
              <w:t>)</w:t>
            </w:r>
            <w:r w:rsidRPr="001F67FE">
              <w:rPr>
                <w:b/>
              </w:rPr>
              <w:t>/SEMP Sub-plans</w:t>
            </w:r>
            <w:r w:rsidRPr="001F67FE">
              <w:t>, other agency plans and</w:t>
            </w:r>
            <w:r w:rsidRPr="001F67FE">
              <w:rPr>
                <w:b/>
              </w:rPr>
              <w:t xml:space="preserve"> SoO. </w:t>
            </w:r>
          </w:p>
          <w:p w:rsidRPr="001F67FE" w:rsidR="00DF2648" w:rsidP="00DF2648" w:rsidRDefault="00DF2648" w14:paraId="70F12D73" w14:textId="77777777">
            <w:pPr>
              <w:rPr>
                <w:b/>
              </w:rPr>
            </w:pPr>
          </w:p>
          <w:p w:rsidR="00DF2648" w:rsidP="00DF2648" w:rsidRDefault="00DF2648" w14:paraId="6F6990A2" w14:textId="77777777">
            <w:r w:rsidRPr="001F67FE">
              <w:t xml:space="preserve">Handover of control of emergency events must meet the requirements of the </w:t>
            </w:r>
            <w:r w:rsidRPr="001F67FE">
              <w:rPr>
                <w:b/>
              </w:rPr>
              <w:t>EMP</w:t>
            </w:r>
            <w:r w:rsidRPr="001F67FE">
              <w:t xml:space="preserve"> and the </w:t>
            </w:r>
            <w:r w:rsidRPr="001F67FE">
              <w:rPr>
                <w:b/>
              </w:rPr>
              <w:t>SEMP</w:t>
            </w:r>
            <w:r w:rsidRPr="001F67FE">
              <w:t>.</w:t>
            </w:r>
          </w:p>
          <w:p w:rsidRPr="001F67FE" w:rsidR="00DF2648" w:rsidP="00DF2648" w:rsidRDefault="00DF2648" w14:paraId="3D4435BF" w14:textId="77777777"/>
        </w:tc>
        <w:tc>
          <w:tcPr>
            <w:tcW w:w="2747" w:type="dxa"/>
            <w:shd w:val="clear" w:color="auto" w:fill="auto"/>
            <w:vAlign w:val="center"/>
          </w:tcPr>
          <w:p w:rsidRPr="00614116" w:rsidR="00DF2648" w:rsidP="00DF2648" w:rsidRDefault="00DF2648" w14:paraId="3FDE7A6E" w14:textId="77777777">
            <w:r w:rsidRPr="00614116">
              <w:rPr>
                <w:b/>
                <w:bCs/>
              </w:rPr>
              <w:t>Executive People &amp; Resilience</w:t>
            </w:r>
          </w:p>
          <w:p w:rsidRPr="00614116" w:rsidR="00DF2648" w:rsidP="00DF2648" w:rsidRDefault="00DF2648" w14:paraId="7CCEB92C" w14:textId="550BB73C">
            <w:pPr>
              <w:rPr>
                <w:b/>
                <w:bCs/>
              </w:rPr>
            </w:pPr>
            <w:r w:rsidRPr="00614116">
              <w:t>All BM</w:t>
            </w:r>
          </w:p>
        </w:tc>
        <w:tc>
          <w:tcPr>
            <w:tcW w:w="2090" w:type="dxa"/>
            <w:vAlign w:val="center"/>
          </w:tcPr>
          <w:p w:rsidR="00DF2648" w:rsidP="00DF2648" w:rsidRDefault="00DF2648" w14:paraId="21A2D68E" w14:textId="3D815A81">
            <w:r>
              <w:t>GM People &amp; Business Services</w:t>
            </w:r>
          </w:p>
        </w:tc>
      </w:tr>
      <w:tr w:rsidR="00F44CC0" w:rsidTr="00CA572B" w14:paraId="43E8A837" w14:textId="77777777">
        <w:trPr>
          <w:gridAfter w:val="1"/>
          <w:wAfter w:w="14" w:type="dxa"/>
        </w:trPr>
        <w:tc>
          <w:tcPr>
            <w:tcW w:w="5578" w:type="dxa"/>
            <w:shd w:val="clear" w:color="auto" w:fill="auto"/>
            <w:vAlign w:val="center"/>
          </w:tcPr>
          <w:p w:rsidRPr="001F67FE" w:rsidR="00F44CC0" w:rsidP="00F44CC0" w:rsidRDefault="00F44CC0" w14:paraId="19352468" w14:textId="77777777">
            <w:pPr>
              <w:widowControl w:val="0"/>
            </w:pPr>
            <w:r w:rsidRPr="001F67FE">
              <w:t xml:space="preserve">The </w:t>
            </w:r>
            <w:r w:rsidRPr="001F67FE">
              <w:rPr>
                <w:b/>
              </w:rPr>
              <w:t>State Emergency Management Priorities</w:t>
            </w:r>
            <w:r w:rsidRPr="001F67FE">
              <w:t xml:space="preserve"> must underpin and guide all decisions during a response to any incident emergency. </w:t>
            </w:r>
          </w:p>
          <w:p w:rsidRPr="001F67FE" w:rsidR="00F44CC0" w:rsidP="00F44CC0" w:rsidRDefault="00F44CC0" w14:paraId="4E4DEF3D" w14:textId="77777777"/>
        </w:tc>
        <w:tc>
          <w:tcPr>
            <w:tcW w:w="2747" w:type="dxa"/>
            <w:shd w:val="clear" w:color="auto" w:fill="auto"/>
            <w:vAlign w:val="center"/>
          </w:tcPr>
          <w:p w:rsidRPr="00614116" w:rsidR="00F44CC0" w:rsidP="00F44CC0" w:rsidRDefault="00F44CC0" w14:paraId="26C25FBB" w14:textId="77777777">
            <w:pPr>
              <w:rPr>
                <w:b/>
                <w:bCs/>
              </w:rPr>
            </w:pPr>
            <w:r w:rsidRPr="00614116">
              <w:rPr>
                <w:b/>
                <w:bCs/>
              </w:rPr>
              <w:t xml:space="preserve">Executive People &amp; Resilience </w:t>
            </w:r>
          </w:p>
          <w:p w:rsidRPr="00614116" w:rsidR="00F44CC0" w:rsidP="00F44CC0" w:rsidRDefault="00F44CC0" w14:paraId="1EDFCCA8" w14:textId="09DF5A62">
            <w:pPr>
              <w:rPr>
                <w:b/>
                <w:bCs/>
              </w:rPr>
            </w:pPr>
            <w:r w:rsidRPr="00614116">
              <w:t>Incident Controllers</w:t>
            </w:r>
          </w:p>
        </w:tc>
        <w:tc>
          <w:tcPr>
            <w:tcW w:w="2090" w:type="dxa"/>
            <w:vAlign w:val="center"/>
          </w:tcPr>
          <w:p w:rsidR="00F44CC0" w:rsidP="00F44CC0" w:rsidRDefault="00F44CC0" w14:paraId="0ABB062D" w14:textId="589B2616">
            <w:r>
              <w:t>GM People &amp; Business Services</w:t>
            </w:r>
          </w:p>
        </w:tc>
      </w:tr>
      <w:tr w:rsidR="00F44CC0" w:rsidTr="00CA572B" w14:paraId="29256406" w14:textId="77777777">
        <w:trPr>
          <w:gridAfter w:val="1"/>
          <w:wAfter w:w="14" w:type="dxa"/>
        </w:trPr>
        <w:tc>
          <w:tcPr>
            <w:tcW w:w="5578" w:type="dxa"/>
            <w:shd w:val="clear" w:color="auto" w:fill="auto"/>
            <w:vAlign w:val="center"/>
          </w:tcPr>
          <w:p w:rsidR="00F44CC0" w:rsidP="00F44CC0" w:rsidRDefault="00F44CC0" w14:paraId="161D0F64" w14:textId="6C648DF2">
            <w:r w:rsidRPr="001F67FE">
              <w:t xml:space="preserve">Mitigation, preparedness, response, and recovery activities must be completed in accordance with the </w:t>
            </w:r>
            <w:r w:rsidRPr="001F67FE">
              <w:rPr>
                <w:b/>
              </w:rPr>
              <w:t>EMP</w:t>
            </w:r>
            <w:r w:rsidRPr="001F67FE">
              <w:t xml:space="preserve"> and its supporting plans.</w:t>
            </w:r>
            <w:r>
              <w:t xml:space="preserve"> </w:t>
            </w:r>
            <w:r w:rsidRPr="001F67FE">
              <w:t xml:space="preserve">Access to incident and emergency information systems must be maintained for employees as defined within the </w:t>
            </w:r>
            <w:r w:rsidRPr="001F67FE">
              <w:rPr>
                <w:b/>
              </w:rPr>
              <w:t>EMP</w:t>
            </w:r>
            <w:r w:rsidRPr="001F67FE">
              <w:t xml:space="preserve"> and its supporting plans.</w:t>
            </w:r>
          </w:p>
          <w:p w:rsidRPr="00DF2648" w:rsidR="00F44CC0" w:rsidP="00F44CC0" w:rsidRDefault="00F44CC0" w14:paraId="01CC8F2A" w14:textId="77777777">
            <w:pPr>
              <w:widowControl w:val="0"/>
            </w:pPr>
          </w:p>
        </w:tc>
        <w:tc>
          <w:tcPr>
            <w:tcW w:w="2747" w:type="dxa"/>
            <w:shd w:val="clear" w:color="auto" w:fill="auto"/>
            <w:vAlign w:val="center"/>
          </w:tcPr>
          <w:p w:rsidRPr="00614116" w:rsidR="00F44CC0" w:rsidP="00F44CC0" w:rsidRDefault="00F44CC0" w14:paraId="73E4317D" w14:textId="77777777">
            <w:r w:rsidRPr="00614116">
              <w:rPr>
                <w:b/>
                <w:bCs/>
              </w:rPr>
              <w:t>Executive People &amp; Resilience</w:t>
            </w:r>
          </w:p>
          <w:p w:rsidRPr="00614116" w:rsidR="00F44CC0" w:rsidP="00F44CC0" w:rsidRDefault="00F44CC0" w14:paraId="1F9CFA47" w14:textId="144B712A">
            <w:pPr>
              <w:rPr>
                <w:b/>
                <w:bCs/>
              </w:rPr>
            </w:pPr>
            <w:r w:rsidRPr="00614116">
              <w:t>All BM</w:t>
            </w:r>
          </w:p>
        </w:tc>
        <w:tc>
          <w:tcPr>
            <w:tcW w:w="2090" w:type="dxa"/>
            <w:vAlign w:val="center"/>
          </w:tcPr>
          <w:p w:rsidR="00F44CC0" w:rsidP="00F44CC0" w:rsidRDefault="00F44CC0" w14:paraId="643A3C3A" w14:textId="2D410956">
            <w:r>
              <w:t>GM People &amp; Business Services</w:t>
            </w:r>
          </w:p>
        </w:tc>
      </w:tr>
      <w:tr w:rsidR="00F44CC0" w:rsidTr="003F2F0A" w14:paraId="5A47A278" w14:textId="77777777">
        <w:trPr>
          <w:gridAfter w:val="1"/>
          <w:wAfter w:w="14" w:type="dxa"/>
        </w:trPr>
        <w:tc>
          <w:tcPr>
            <w:tcW w:w="5578" w:type="dxa"/>
            <w:shd w:val="clear" w:color="auto" w:fill="auto"/>
            <w:vAlign w:val="center"/>
          </w:tcPr>
          <w:p w:rsidRPr="00614116" w:rsidR="00F44CC0" w:rsidP="00F44CC0" w:rsidRDefault="00F44CC0" w14:paraId="11653EF9" w14:textId="48F38CAB">
            <w:pPr>
              <w:widowControl w:val="0"/>
            </w:pPr>
            <w:r w:rsidRPr="003F2F0A">
              <w:t>Personnel impacted by emergency risks must be informed and consulted on the most suitable methods to control them (e.g., inclusion in risk workshops, information in procedures, contractor inductions).</w:t>
            </w:r>
          </w:p>
          <w:p w:rsidRPr="00614116" w:rsidR="00F44CC0" w:rsidP="00F44CC0" w:rsidRDefault="00F44CC0" w14:paraId="38B3E440" w14:textId="77777777">
            <w:pPr>
              <w:widowControl w:val="0"/>
            </w:pPr>
          </w:p>
        </w:tc>
        <w:tc>
          <w:tcPr>
            <w:tcW w:w="2747" w:type="dxa"/>
            <w:shd w:val="clear" w:color="auto" w:fill="auto"/>
            <w:vAlign w:val="center"/>
          </w:tcPr>
          <w:p w:rsidRPr="00614116" w:rsidR="00F44CC0" w:rsidP="00F44CC0" w:rsidRDefault="00F44CC0" w14:paraId="68484B62" w14:textId="77777777">
            <w:pPr>
              <w:rPr>
                <w:b/>
                <w:bCs/>
              </w:rPr>
            </w:pPr>
            <w:r w:rsidRPr="00614116">
              <w:rPr>
                <w:b/>
                <w:bCs/>
              </w:rPr>
              <w:t xml:space="preserve">Executive People &amp; Resilience </w:t>
            </w:r>
          </w:p>
          <w:p w:rsidRPr="00614116" w:rsidR="00F44CC0" w:rsidP="00F44CC0" w:rsidRDefault="00F44CC0" w14:paraId="3880CA2A" w14:textId="77777777">
            <w:r w:rsidRPr="00614116">
              <w:t>Hazard and Risk Owners</w:t>
            </w:r>
          </w:p>
          <w:p w:rsidRPr="00614116" w:rsidR="00F44CC0" w:rsidP="00F44CC0" w:rsidRDefault="00F44CC0" w14:paraId="3FD885C0" w14:textId="77777777">
            <w:pPr>
              <w:rPr>
                <w:b/>
                <w:bCs/>
              </w:rPr>
            </w:pPr>
            <w:r w:rsidRPr="00614116">
              <w:t>Engaging Officers</w:t>
            </w:r>
          </w:p>
        </w:tc>
        <w:tc>
          <w:tcPr>
            <w:tcW w:w="2090" w:type="dxa"/>
            <w:vAlign w:val="center"/>
          </w:tcPr>
          <w:p w:rsidR="00F44CC0" w:rsidP="00F44CC0" w:rsidRDefault="00F44CC0" w14:paraId="708FDE14" w14:textId="77777777">
            <w:r>
              <w:t xml:space="preserve">GM People &amp; Business Services </w:t>
            </w:r>
          </w:p>
        </w:tc>
      </w:tr>
      <w:tr w:rsidR="00F44CC0" w:rsidTr="00CA572B" w14:paraId="32CA5A2E" w14:textId="77777777">
        <w:trPr>
          <w:gridAfter w:val="1"/>
          <w:wAfter w:w="14" w:type="dxa"/>
        </w:trPr>
        <w:tc>
          <w:tcPr>
            <w:tcW w:w="5578" w:type="dxa"/>
            <w:shd w:val="clear" w:color="auto" w:fill="auto"/>
            <w:vAlign w:val="center"/>
          </w:tcPr>
          <w:p w:rsidR="00F44CC0" w:rsidP="00F44CC0" w:rsidRDefault="00F44CC0" w14:paraId="1FBC278B" w14:textId="44F83001">
            <w:r w:rsidRPr="003F2F0A">
              <w:t xml:space="preserve">Emergency training and exercising must be provided in accordance with legislative requirements and other obligations described within the </w:t>
            </w:r>
            <w:r w:rsidRPr="003F2F0A">
              <w:rPr>
                <w:b/>
              </w:rPr>
              <w:t>EMP</w:t>
            </w:r>
            <w:r w:rsidRPr="003F2F0A">
              <w:t xml:space="preserve"> and supporting documentation/plans.</w:t>
            </w:r>
          </w:p>
          <w:p w:rsidRPr="003F2F0A" w:rsidR="00F44CC0" w:rsidP="00F44CC0" w:rsidRDefault="00F44CC0" w14:paraId="3467F04A" w14:textId="46912C6B"/>
        </w:tc>
        <w:tc>
          <w:tcPr>
            <w:tcW w:w="2747" w:type="dxa"/>
            <w:shd w:val="clear" w:color="auto" w:fill="auto"/>
            <w:vAlign w:val="center"/>
          </w:tcPr>
          <w:p w:rsidRPr="00614116" w:rsidR="00F44CC0" w:rsidP="00F44CC0" w:rsidRDefault="00F44CC0" w14:paraId="4A61D6C4" w14:textId="77777777">
            <w:r w:rsidRPr="00614116">
              <w:rPr>
                <w:b/>
                <w:bCs/>
              </w:rPr>
              <w:t>Executive People &amp; Resilience</w:t>
            </w:r>
          </w:p>
          <w:p w:rsidRPr="00614116" w:rsidR="00F44CC0" w:rsidP="00F44CC0" w:rsidRDefault="00F44CC0" w14:paraId="127A0B72" w14:textId="26790B80">
            <w:pPr>
              <w:rPr>
                <w:b/>
                <w:bCs/>
              </w:rPr>
            </w:pPr>
            <w:r w:rsidRPr="00614116">
              <w:t>All BM</w:t>
            </w:r>
          </w:p>
        </w:tc>
        <w:tc>
          <w:tcPr>
            <w:tcW w:w="2090" w:type="dxa"/>
            <w:vAlign w:val="center"/>
          </w:tcPr>
          <w:p w:rsidR="00F44CC0" w:rsidP="00F44CC0" w:rsidRDefault="00F44CC0" w14:paraId="6F15CF9B" w14:textId="0CBAEF5E">
            <w:r>
              <w:t>GM People &amp; Business Services</w:t>
            </w:r>
          </w:p>
        </w:tc>
      </w:tr>
      <w:tr w:rsidR="00F44CC0" w:rsidTr="00CA572B" w14:paraId="12800F73" w14:textId="77777777">
        <w:trPr>
          <w:gridAfter w:val="1"/>
          <w:wAfter w:w="14" w:type="dxa"/>
        </w:trPr>
        <w:tc>
          <w:tcPr>
            <w:tcW w:w="5578" w:type="dxa"/>
            <w:shd w:val="clear" w:color="auto" w:fill="auto"/>
            <w:vAlign w:val="center"/>
          </w:tcPr>
          <w:p w:rsidR="00F44CC0" w:rsidP="00F44CC0" w:rsidRDefault="00F44CC0" w14:paraId="5B1C869B" w14:textId="7BCFC8AE">
            <w:r w:rsidRPr="003F2F0A">
              <w:lastRenderedPageBreak/>
              <w:t>Emergency arrangements relevant to employee roles must be provided as part of induction/onboarding.</w:t>
            </w:r>
          </w:p>
          <w:p w:rsidRPr="003F2F0A" w:rsidR="00F44CC0" w:rsidP="00F44CC0" w:rsidRDefault="00F44CC0" w14:paraId="346F71C7" w14:textId="7A7D8FA9"/>
        </w:tc>
        <w:tc>
          <w:tcPr>
            <w:tcW w:w="2747" w:type="dxa"/>
            <w:shd w:val="clear" w:color="auto" w:fill="auto"/>
            <w:vAlign w:val="center"/>
          </w:tcPr>
          <w:p w:rsidRPr="00614116" w:rsidR="00F44CC0" w:rsidP="00F44CC0" w:rsidRDefault="00F44CC0" w14:paraId="3DFD2E2C" w14:textId="77777777">
            <w:r w:rsidRPr="00614116">
              <w:rPr>
                <w:b/>
                <w:bCs/>
              </w:rPr>
              <w:t>Executive People &amp; Resilience</w:t>
            </w:r>
          </w:p>
          <w:p w:rsidRPr="00614116" w:rsidR="00F44CC0" w:rsidP="00F44CC0" w:rsidRDefault="00F44CC0" w14:paraId="326CA13B" w14:textId="34E1177D">
            <w:pPr>
              <w:rPr>
                <w:b/>
                <w:bCs/>
              </w:rPr>
            </w:pPr>
            <w:r w:rsidRPr="00614116">
              <w:t>All BM</w:t>
            </w:r>
          </w:p>
        </w:tc>
        <w:tc>
          <w:tcPr>
            <w:tcW w:w="2090" w:type="dxa"/>
            <w:vAlign w:val="center"/>
          </w:tcPr>
          <w:p w:rsidR="00F44CC0" w:rsidP="00F44CC0" w:rsidRDefault="00F44CC0" w14:paraId="0C722848" w14:textId="3A4EF785">
            <w:r>
              <w:t>GM People &amp; Business Services</w:t>
            </w:r>
          </w:p>
        </w:tc>
      </w:tr>
      <w:tr w:rsidR="00F44CC0" w:rsidTr="00CA572B" w14:paraId="1D5322B5" w14:textId="77777777">
        <w:trPr>
          <w:gridAfter w:val="1"/>
          <w:wAfter w:w="14" w:type="dxa"/>
        </w:trPr>
        <w:tc>
          <w:tcPr>
            <w:tcW w:w="5578" w:type="dxa"/>
            <w:shd w:val="clear" w:color="auto" w:fill="auto"/>
            <w:vAlign w:val="center"/>
          </w:tcPr>
          <w:p w:rsidR="00F44CC0" w:rsidP="00F44CC0" w:rsidRDefault="00F44CC0" w14:paraId="7DC03DD8" w14:textId="77777777">
            <w:pPr>
              <w:widowControl w:val="0"/>
            </w:pPr>
            <w:r w:rsidRPr="001F67FE">
              <w:t xml:space="preserve">A </w:t>
            </w:r>
            <w:r w:rsidRPr="001F67FE">
              <w:rPr>
                <w:b/>
              </w:rPr>
              <w:t>Hazard Report</w:t>
            </w:r>
            <w:r w:rsidRPr="001F67FE">
              <w:t xml:space="preserve"> must be raised where there is a concern that we are not effectively controlling emergency risks.  </w:t>
            </w:r>
          </w:p>
          <w:p w:rsidRPr="003F2F0A" w:rsidR="00F44CC0" w:rsidP="00F44CC0" w:rsidRDefault="00F44CC0" w14:paraId="272D70E4" w14:textId="05AE5B39"/>
        </w:tc>
        <w:tc>
          <w:tcPr>
            <w:tcW w:w="2747" w:type="dxa"/>
            <w:shd w:val="clear" w:color="auto" w:fill="auto"/>
            <w:vAlign w:val="center"/>
          </w:tcPr>
          <w:p w:rsidRPr="00614116" w:rsidR="00F44CC0" w:rsidP="00F44CC0" w:rsidRDefault="00F44CC0" w14:paraId="5311802D" w14:textId="77777777">
            <w:pPr>
              <w:rPr>
                <w:b/>
                <w:bCs/>
              </w:rPr>
            </w:pPr>
            <w:r w:rsidRPr="00614116">
              <w:rPr>
                <w:b/>
                <w:bCs/>
              </w:rPr>
              <w:t xml:space="preserve">Executive People &amp; Resilience </w:t>
            </w:r>
          </w:p>
          <w:p w:rsidRPr="00614116" w:rsidR="00F44CC0" w:rsidP="00F44CC0" w:rsidRDefault="00F44CC0" w14:paraId="1550A276" w14:textId="4372809C">
            <w:pPr>
              <w:rPr>
                <w:b/>
                <w:bCs/>
              </w:rPr>
            </w:pPr>
            <w:r w:rsidRPr="00614116">
              <w:t>All BM</w:t>
            </w:r>
          </w:p>
        </w:tc>
        <w:tc>
          <w:tcPr>
            <w:tcW w:w="2090" w:type="dxa"/>
            <w:vAlign w:val="center"/>
          </w:tcPr>
          <w:p w:rsidR="00F44CC0" w:rsidP="00F44CC0" w:rsidRDefault="00F44CC0" w14:paraId="51755538" w14:textId="1ABCC47B">
            <w:r>
              <w:t xml:space="preserve">GM People &amp; Business Services </w:t>
            </w:r>
          </w:p>
        </w:tc>
      </w:tr>
      <w:tr w:rsidR="00F44CC0" w:rsidTr="00CA572B" w14:paraId="671866F2" w14:textId="77777777">
        <w:trPr>
          <w:gridAfter w:val="1"/>
          <w:wAfter w:w="14" w:type="dxa"/>
        </w:trPr>
        <w:tc>
          <w:tcPr>
            <w:tcW w:w="5578" w:type="dxa"/>
            <w:shd w:val="clear" w:color="auto" w:fill="auto"/>
            <w:vAlign w:val="center"/>
          </w:tcPr>
          <w:p w:rsidR="00F44CC0" w:rsidP="00F44CC0" w:rsidRDefault="00F44CC0" w14:paraId="29700191" w14:textId="03C1FB9B">
            <w:r w:rsidRPr="003F2F0A">
              <w:t>Records associated with the management of incidents and emergency events must be maintained in accordance with legislative requirements</w:t>
            </w:r>
            <w:r w:rsidR="004D7E13">
              <w:t>, our Record keeping policies and procedures,</w:t>
            </w:r>
            <w:r w:rsidRPr="003F2F0A">
              <w:t xml:space="preserve"> and the </w:t>
            </w:r>
            <w:r w:rsidRPr="003F2F0A">
              <w:rPr>
                <w:b/>
              </w:rPr>
              <w:t>EMP</w:t>
            </w:r>
            <w:r w:rsidRPr="003F2F0A">
              <w:t>.</w:t>
            </w:r>
          </w:p>
          <w:p w:rsidRPr="003F2F0A" w:rsidR="00F44CC0" w:rsidP="00F44CC0" w:rsidRDefault="00F44CC0" w14:paraId="37E4C2F3" w14:textId="4B3C6DFC"/>
        </w:tc>
        <w:tc>
          <w:tcPr>
            <w:tcW w:w="2747" w:type="dxa"/>
            <w:shd w:val="clear" w:color="auto" w:fill="auto"/>
            <w:vAlign w:val="center"/>
          </w:tcPr>
          <w:p w:rsidRPr="00614116" w:rsidR="00F44CC0" w:rsidP="00F44CC0" w:rsidRDefault="00F44CC0" w14:paraId="68544286" w14:textId="77777777">
            <w:pPr>
              <w:rPr>
                <w:b/>
              </w:rPr>
            </w:pPr>
            <w:r w:rsidRPr="00614116">
              <w:rPr>
                <w:b/>
              </w:rPr>
              <w:t>Information Services Manager</w:t>
            </w:r>
          </w:p>
          <w:p w:rsidRPr="00614116" w:rsidR="00F44CC0" w:rsidP="00F44CC0" w:rsidRDefault="00F44CC0" w14:paraId="5E17C5FB" w14:textId="0388F0B1">
            <w:pPr>
              <w:rPr>
                <w:b/>
                <w:bCs/>
              </w:rPr>
            </w:pPr>
            <w:r w:rsidRPr="00614116">
              <w:t xml:space="preserve">All BM </w:t>
            </w:r>
          </w:p>
        </w:tc>
        <w:tc>
          <w:tcPr>
            <w:tcW w:w="2090" w:type="dxa"/>
            <w:vAlign w:val="center"/>
          </w:tcPr>
          <w:p w:rsidR="00F44CC0" w:rsidP="00F44CC0" w:rsidRDefault="00F44CC0" w14:paraId="511328FE" w14:textId="378659E4">
            <w:r>
              <w:t>Chief Information Officer</w:t>
            </w:r>
          </w:p>
        </w:tc>
      </w:tr>
      <w:tr w:rsidRPr="00CE7833" w:rsidR="00F44CC0" w:rsidTr="003F2F0A" w14:paraId="242FA601" w14:textId="77777777">
        <w:tc>
          <w:tcPr>
            <w:tcW w:w="10429" w:type="dxa"/>
            <w:gridSpan w:val="4"/>
            <w:tcBorders>
              <w:bottom w:val="single" w:color="auto" w:sz="4" w:space="0"/>
            </w:tcBorders>
            <w:shd w:val="clear" w:color="auto" w:fill="00395D" w:themeFill="text2"/>
            <w:vAlign w:val="center"/>
          </w:tcPr>
          <w:p w:rsidRPr="00053D82" w:rsidR="00F44CC0" w:rsidP="00F44CC0" w:rsidRDefault="00F44CC0" w14:paraId="7AA19720" w14:textId="21B6EDF8">
            <w:pPr>
              <w:spacing w:before="240" w:after="240"/>
              <w:rPr>
                <w:b/>
                <w:bCs/>
                <w:color w:val="FFFFFF" w:themeColor="background1"/>
              </w:rPr>
            </w:pPr>
            <w:r w:rsidRPr="003F2F0A">
              <w:rPr>
                <w:b/>
                <w:bCs/>
                <w:color w:val="FFFFFF" w:themeColor="background1"/>
              </w:rPr>
              <w:t>Mitigation</w:t>
            </w:r>
          </w:p>
        </w:tc>
      </w:tr>
      <w:tr w:rsidRPr="00CE7833" w:rsidR="00F44CC0" w:rsidTr="003F2F0A" w14:paraId="13F76835" w14:textId="77777777">
        <w:trPr>
          <w:gridAfter w:val="1"/>
          <w:wAfter w:w="14" w:type="dxa"/>
          <w:trHeight w:val="570"/>
        </w:trPr>
        <w:tc>
          <w:tcPr>
            <w:tcW w:w="5578" w:type="dxa"/>
            <w:tcBorders>
              <w:bottom w:val="single" w:color="auto" w:sz="4" w:space="0"/>
            </w:tcBorders>
            <w:shd w:val="clear" w:color="auto" w:fill="00B4D0" w:themeFill="accent1"/>
            <w:vAlign w:val="center"/>
          </w:tcPr>
          <w:p w:rsidRPr="00CE7833" w:rsidR="00F44CC0" w:rsidP="00F44CC0" w:rsidRDefault="00F44CC0" w14:paraId="0A2B806D" w14:textId="0FA7A56F">
            <w:pPr>
              <w:rPr>
                <w:b/>
                <w:bCs/>
                <w:color w:val="FFFFFF" w:themeColor="background1"/>
              </w:rPr>
            </w:pPr>
            <w:r>
              <w:rPr>
                <w:b/>
                <w:bCs/>
                <w:color w:val="FFFFFF" w:themeColor="background1"/>
              </w:rPr>
              <w:t>Requirements</w:t>
            </w:r>
          </w:p>
        </w:tc>
        <w:tc>
          <w:tcPr>
            <w:tcW w:w="2747" w:type="dxa"/>
            <w:tcBorders>
              <w:bottom w:val="single" w:color="auto" w:sz="4" w:space="0"/>
            </w:tcBorders>
            <w:shd w:val="clear" w:color="auto" w:fill="00B4D0" w:themeFill="accent1"/>
            <w:vAlign w:val="center"/>
          </w:tcPr>
          <w:p w:rsidRPr="00CE7833" w:rsidR="00F44CC0" w:rsidP="00F44CC0" w:rsidRDefault="00F44CC0" w14:paraId="41EA79B7" w14:textId="75A191C6">
            <w:pPr>
              <w:rPr>
                <w:b/>
                <w:bCs/>
                <w:color w:val="FFFFFF" w:themeColor="background1"/>
              </w:rPr>
            </w:pPr>
            <w:r w:rsidRPr="00CE7833">
              <w:rPr>
                <w:b/>
                <w:bCs/>
                <w:color w:val="FFFFFF" w:themeColor="background1"/>
              </w:rPr>
              <w:t>Responsibility</w:t>
            </w:r>
            <w:r>
              <w:rPr>
                <w:rStyle w:val="FootnoteReference"/>
                <w:b/>
                <w:bCs/>
                <w:color w:val="FFFFFF" w:themeColor="background1"/>
              </w:rPr>
              <w:footnoteReference w:id="5"/>
            </w:r>
          </w:p>
        </w:tc>
        <w:tc>
          <w:tcPr>
            <w:tcW w:w="2090" w:type="dxa"/>
            <w:tcBorders>
              <w:bottom w:val="single" w:color="auto" w:sz="4" w:space="0"/>
            </w:tcBorders>
            <w:shd w:val="clear" w:color="auto" w:fill="00B4D0" w:themeFill="accent1"/>
            <w:vAlign w:val="center"/>
          </w:tcPr>
          <w:p w:rsidRPr="00CE7833" w:rsidR="00F44CC0" w:rsidP="00F44CC0" w:rsidRDefault="00F44CC0" w14:paraId="5B4C2A16" w14:textId="7849453C">
            <w:pPr>
              <w:rPr>
                <w:b/>
                <w:bCs/>
                <w:color w:val="FFFFFF" w:themeColor="background1"/>
              </w:rPr>
            </w:pPr>
            <w:r>
              <w:rPr>
                <w:b/>
                <w:bCs/>
                <w:color w:val="FFFFFF" w:themeColor="background1"/>
              </w:rPr>
              <w:t>Accountability</w:t>
            </w:r>
            <w:r>
              <w:rPr>
                <w:rStyle w:val="FootnoteReference"/>
                <w:b/>
                <w:bCs/>
                <w:color w:val="FFFFFF" w:themeColor="background1"/>
              </w:rPr>
              <w:footnoteReference w:id="6"/>
            </w:r>
          </w:p>
        </w:tc>
      </w:tr>
      <w:tr w:rsidRPr="00594CE0" w:rsidR="00F44CC0" w:rsidTr="00CA572B" w14:paraId="43A63FCA" w14:textId="77777777">
        <w:trPr>
          <w:gridAfter w:val="1"/>
          <w:wAfter w:w="14" w:type="dxa"/>
        </w:trPr>
        <w:tc>
          <w:tcPr>
            <w:tcW w:w="5578" w:type="dxa"/>
            <w:vAlign w:val="center"/>
          </w:tcPr>
          <w:p w:rsidR="00F44CC0" w:rsidP="00F44CC0" w:rsidRDefault="00F44CC0" w14:paraId="0E6B351E" w14:textId="240C88B6">
            <w:r>
              <w:t>Emergency risks associated with activities performed and services provided must be identified, assessed, prioritised and managed – considering mitigation activities.</w:t>
            </w:r>
          </w:p>
          <w:p w:rsidRPr="00043E07" w:rsidR="00F44CC0" w:rsidP="00F44CC0" w:rsidRDefault="00F44CC0" w14:paraId="2FECE100" w14:textId="77777777"/>
          <w:p w:rsidR="00F44CC0" w:rsidP="00F44CC0" w:rsidRDefault="00F44CC0" w14:paraId="2B66C739" w14:textId="77777777">
            <w:r>
              <w:t>Risks resulting from an incident or emergency must be assessed when developing objectives and plans developed to respond to them</w:t>
            </w:r>
            <w:r w:rsidRPr="00043E07">
              <w:t xml:space="preserve">. </w:t>
            </w:r>
          </w:p>
          <w:p w:rsidR="00F44CC0" w:rsidP="00F44CC0" w:rsidRDefault="00F44CC0" w14:paraId="426B0C49" w14:textId="338CE93B"/>
        </w:tc>
        <w:tc>
          <w:tcPr>
            <w:tcW w:w="2747" w:type="dxa"/>
            <w:vAlign w:val="center"/>
          </w:tcPr>
          <w:p w:rsidR="00F44CC0" w:rsidP="00F44CC0" w:rsidRDefault="00F44CC0" w14:paraId="646D3C90" w14:textId="77777777">
            <w:pPr>
              <w:rPr>
                <w:b/>
                <w:bCs/>
              </w:rPr>
            </w:pPr>
            <w:r w:rsidRPr="00280DA7">
              <w:rPr>
                <w:b/>
                <w:bCs/>
              </w:rPr>
              <w:t xml:space="preserve">Executive People &amp; Resilience </w:t>
            </w:r>
          </w:p>
          <w:p w:rsidRPr="00280DA7" w:rsidR="00F44CC0" w:rsidP="00F44CC0" w:rsidRDefault="00F44CC0" w14:paraId="1FC334F9" w14:textId="4DB94218">
            <w:pPr>
              <w:rPr>
                <w:b/>
                <w:bCs/>
              </w:rPr>
            </w:pPr>
            <w:r>
              <w:t>All BM</w:t>
            </w:r>
          </w:p>
        </w:tc>
        <w:tc>
          <w:tcPr>
            <w:tcW w:w="2090" w:type="dxa"/>
            <w:vAlign w:val="center"/>
          </w:tcPr>
          <w:p w:rsidR="00F44CC0" w:rsidP="00F44CC0" w:rsidRDefault="00F44CC0" w14:paraId="1ED3EFE1" w14:textId="57296E21">
            <w:r>
              <w:t xml:space="preserve">GM People &amp; Business Services </w:t>
            </w:r>
          </w:p>
        </w:tc>
      </w:tr>
      <w:tr w:rsidRPr="00594CE0" w:rsidR="00F44CC0" w:rsidTr="003F2F0A" w14:paraId="7A136615" w14:textId="77777777">
        <w:tc>
          <w:tcPr>
            <w:tcW w:w="10429" w:type="dxa"/>
            <w:gridSpan w:val="4"/>
            <w:shd w:val="clear" w:color="auto" w:fill="00395D" w:themeFill="text2"/>
            <w:vAlign w:val="center"/>
          </w:tcPr>
          <w:p w:rsidRPr="003F2F0A" w:rsidR="00F44CC0" w:rsidP="00F44CC0" w:rsidRDefault="00F44CC0" w14:paraId="37ABAEB9" w14:textId="17AFD424">
            <w:pPr>
              <w:spacing w:before="240" w:after="240"/>
              <w:rPr>
                <w:color w:val="FFFFFF" w:themeColor="background1"/>
              </w:rPr>
            </w:pPr>
            <w:r>
              <w:rPr>
                <w:b/>
                <w:bCs/>
                <w:color w:val="FFFFFF" w:themeColor="background1"/>
              </w:rPr>
              <w:t>Planning &amp; Preparedness</w:t>
            </w:r>
          </w:p>
        </w:tc>
      </w:tr>
      <w:tr w:rsidRPr="00594CE0" w:rsidR="00F44CC0" w:rsidTr="003F2F0A" w14:paraId="1F79E44A" w14:textId="77777777">
        <w:trPr>
          <w:gridAfter w:val="1"/>
          <w:wAfter w:w="14" w:type="dxa"/>
          <w:trHeight w:val="570"/>
        </w:trPr>
        <w:tc>
          <w:tcPr>
            <w:tcW w:w="5578" w:type="dxa"/>
            <w:tcBorders>
              <w:bottom w:val="single" w:color="auto" w:sz="4" w:space="0"/>
            </w:tcBorders>
            <w:shd w:val="clear" w:color="auto" w:fill="00B4D0" w:themeFill="accent1"/>
            <w:vAlign w:val="center"/>
          </w:tcPr>
          <w:p w:rsidRPr="00043E07" w:rsidR="00F44CC0" w:rsidP="00F44CC0" w:rsidRDefault="00F44CC0" w14:paraId="52F824DB" w14:textId="35EF4AB2">
            <w:r>
              <w:rPr>
                <w:b/>
                <w:bCs/>
                <w:color w:val="FFFFFF" w:themeColor="background1"/>
              </w:rPr>
              <w:t>Requirements</w:t>
            </w:r>
          </w:p>
        </w:tc>
        <w:tc>
          <w:tcPr>
            <w:tcW w:w="2747" w:type="dxa"/>
            <w:tcBorders>
              <w:bottom w:val="single" w:color="auto" w:sz="4" w:space="0"/>
            </w:tcBorders>
            <w:shd w:val="clear" w:color="auto" w:fill="00B4D0" w:themeFill="accent1"/>
            <w:vAlign w:val="center"/>
          </w:tcPr>
          <w:p w:rsidRPr="007956D3" w:rsidR="00F44CC0" w:rsidP="00F44CC0" w:rsidRDefault="00F44CC0" w14:paraId="14AABF2D" w14:textId="7032C598">
            <w:pPr>
              <w:rPr>
                <w:b/>
                <w:bCs/>
              </w:rPr>
            </w:pPr>
            <w:r w:rsidRPr="00CE7833">
              <w:rPr>
                <w:b/>
                <w:bCs/>
                <w:color w:val="FFFFFF" w:themeColor="background1"/>
              </w:rPr>
              <w:t>Responsibility</w:t>
            </w:r>
          </w:p>
        </w:tc>
        <w:tc>
          <w:tcPr>
            <w:tcW w:w="2090" w:type="dxa"/>
            <w:tcBorders>
              <w:bottom w:val="single" w:color="auto" w:sz="4" w:space="0"/>
            </w:tcBorders>
            <w:shd w:val="clear" w:color="auto" w:fill="00B4D0" w:themeFill="accent1"/>
            <w:vAlign w:val="center"/>
          </w:tcPr>
          <w:p w:rsidR="00F44CC0" w:rsidP="00F44CC0" w:rsidRDefault="00F44CC0" w14:paraId="7574DE1D" w14:textId="46F4D525">
            <w:r>
              <w:rPr>
                <w:b/>
                <w:bCs/>
                <w:color w:val="FFFFFF" w:themeColor="background1"/>
              </w:rPr>
              <w:t>Accountability</w:t>
            </w:r>
          </w:p>
        </w:tc>
      </w:tr>
      <w:tr w:rsidRPr="00594CE0" w:rsidR="00F44CC0" w:rsidTr="003F2F0A" w14:paraId="653BBEB2" w14:textId="77777777">
        <w:trPr>
          <w:gridAfter w:val="1"/>
          <w:wAfter w:w="14" w:type="dxa"/>
        </w:trPr>
        <w:tc>
          <w:tcPr>
            <w:tcW w:w="5578" w:type="dxa"/>
            <w:vAlign w:val="center"/>
          </w:tcPr>
          <w:p w:rsidRPr="00043E07" w:rsidR="00F44CC0" w:rsidP="00F44CC0" w:rsidRDefault="00F44CC0" w14:paraId="5E292EE7" w14:textId="1CA6D180">
            <w:r>
              <w:t>Supporting documentation/plans and e</w:t>
            </w:r>
            <w:r w:rsidRPr="00B72120">
              <w:t xml:space="preserve">mergency </w:t>
            </w:r>
            <w:r>
              <w:t xml:space="preserve">arrangements for high-risk activities must be developed and communicated where required by legislation and our </w:t>
            </w:r>
            <w:r w:rsidRPr="003D3F10">
              <w:rPr>
                <w:b/>
                <w:bCs/>
              </w:rPr>
              <w:t>IMS Standards</w:t>
            </w:r>
            <w:r>
              <w:t>.</w:t>
            </w:r>
          </w:p>
        </w:tc>
        <w:tc>
          <w:tcPr>
            <w:tcW w:w="2747" w:type="dxa"/>
            <w:vAlign w:val="center"/>
          </w:tcPr>
          <w:p w:rsidR="00F44CC0" w:rsidP="00F44CC0" w:rsidRDefault="00F44CC0" w14:paraId="3803F29C" w14:textId="77777777">
            <w:pPr>
              <w:rPr>
                <w:b/>
                <w:bCs/>
              </w:rPr>
            </w:pPr>
            <w:r w:rsidRPr="007956D3">
              <w:rPr>
                <w:b/>
                <w:bCs/>
              </w:rPr>
              <w:t xml:space="preserve">Executive People &amp; Resilience </w:t>
            </w:r>
          </w:p>
          <w:p w:rsidR="00F44CC0" w:rsidP="00F44CC0" w:rsidRDefault="00F44CC0" w14:paraId="0E2BF7A5" w14:textId="77777777">
            <w:r w:rsidRPr="003D3F10">
              <w:t xml:space="preserve">BM </w:t>
            </w:r>
            <w:r>
              <w:t>Operations</w:t>
            </w:r>
          </w:p>
          <w:p w:rsidR="00F44CC0" w:rsidP="00F44CC0" w:rsidRDefault="00F44CC0" w14:paraId="60E18EC0" w14:textId="77777777">
            <w:r>
              <w:t>BM Corporate Services</w:t>
            </w:r>
          </w:p>
          <w:p w:rsidRPr="003D3F10" w:rsidR="00F44CC0" w:rsidP="00F44CC0" w:rsidRDefault="00F44CC0" w14:paraId="6CF93B2B" w14:textId="1C681F7C">
            <w:r>
              <w:t>Information Security Manager</w:t>
            </w:r>
          </w:p>
        </w:tc>
        <w:tc>
          <w:tcPr>
            <w:tcW w:w="2090" w:type="dxa"/>
            <w:vAlign w:val="center"/>
          </w:tcPr>
          <w:p w:rsidR="00F44CC0" w:rsidP="00F44CC0" w:rsidRDefault="00F44CC0" w14:paraId="305FC600" w14:textId="14D3FFF4">
            <w:r>
              <w:t xml:space="preserve">GM People &amp; Business Services </w:t>
            </w:r>
          </w:p>
        </w:tc>
      </w:tr>
      <w:tr w:rsidRPr="00594CE0" w:rsidR="00F44CC0" w:rsidTr="003F2F0A" w14:paraId="22B2055A" w14:textId="77777777">
        <w:trPr>
          <w:gridAfter w:val="1"/>
          <w:wAfter w:w="14" w:type="dxa"/>
        </w:trPr>
        <w:tc>
          <w:tcPr>
            <w:tcW w:w="5578" w:type="dxa"/>
            <w:vAlign w:val="center"/>
          </w:tcPr>
          <w:p w:rsidR="00F44CC0" w:rsidP="00F44CC0" w:rsidRDefault="00F44CC0" w14:paraId="252503A7" w14:textId="77777777">
            <w:r>
              <w:t xml:space="preserve">Resources required to support the emergency management structures described in the </w:t>
            </w:r>
            <w:r w:rsidRPr="003D3F10">
              <w:rPr>
                <w:b/>
                <w:bCs/>
              </w:rPr>
              <w:t>EMP</w:t>
            </w:r>
            <w:r>
              <w:t xml:space="preserve"> must be maintained.</w:t>
            </w:r>
          </w:p>
          <w:p w:rsidR="00F44CC0" w:rsidP="00F44CC0" w:rsidRDefault="00F44CC0" w14:paraId="4DDB3E79" w14:textId="2E94E5B0"/>
        </w:tc>
        <w:tc>
          <w:tcPr>
            <w:tcW w:w="2747" w:type="dxa"/>
            <w:vAlign w:val="center"/>
          </w:tcPr>
          <w:p w:rsidR="00F44CC0" w:rsidP="00F44CC0" w:rsidRDefault="00F44CC0" w14:paraId="6C8AD83B" w14:textId="77777777">
            <w:r w:rsidRPr="00280DA7">
              <w:rPr>
                <w:b/>
                <w:bCs/>
              </w:rPr>
              <w:t>Executive People &amp; Resilience</w:t>
            </w:r>
          </w:p>
          <w:p w:rsidRPr="007F193E" w:rsidR="00F44CC0" w:rsidP="00F44CC0" w:rsidRDefault="00F44CC0" w14:paraId="6EF878BA" w14:textId="25963291">
            <w:r>
              <w:t>All BM</w:t>
            </w:r>
          </w:p>
        </w:tc>
        <w:tc>
          <w:tcPr>
            <w:tcW w:w="2090" w:type="dxa"/>
            <w:vAlign w:val="center"/>
          </w:tcPr>
          <w:p w:rsidR="00F44CC0" w:rsidP="00F44CC0" w:rsidRDefault="00F44CC0" w14:paraId="4D3C706E" w14:textId="0E1EA425">
            <w:r>
              <w:t xml:space="preserve">GM People &amp; Business Services </w:t>
            </w:r>
          </w:p>
        </w:tc>
      </w:tr>
      <w:tr w:rsidRPr="00594CE0" w:rsidR="00F44CC0" w:rsidTr="003F2F0A" w14:paraId="321DE616" w14:textId="77777777">
        <w:trPr>
          <w:gridAfter w:val="1"/>
          <w:wAfter w:w="14" w:type="dxa"/>
        </w:trPr>
        <w:tc>
          <w:tcPr>
            <w:tcW w:w="5578" w:type="dxa"/>
            <w:vAlign w:val="center"/>
          </w:tcPr>
          <w:p w:rsidR="00F44CC0" w:rsidP="00F44CC0" w:rsidRDefault="00F44CC0" w14:paraId="4E88793D" w14:textId="7521B4D0">
            <w:r>
              <w:t xml:space="preserve">Emergency evacuation information must be developed, maintained, accessible and communicated where required by legislation and our </w:t>
            </w:r>
            <w:r w:rsidRPr="0030090F">
              <w:rPr>
                <w:b/>
                <w:bCs/>
              </w:rPr>
              <w:t>IMS Standards</w:t>
            </w:r>
            <w:r>
              <w:rPr>
                <w:b/>
                <w:bCs/>
              </w:rPr>
              <w:t xml:space="preserve">. </w:t>
            </w:r>
            <w:r>
              <w:t xml:space="preserve">Evacuation processes need to consider </w:t>
            </w:r>
            <w:r w:rsidRPr="003D3F10">
              <w:rPr>
                <w:b/>
                <w:bCs/>
              </w:rPr>
              <w:t>Personal Emergency Evacuation Plans</w:t>
            </w:r>
            <w:r>
              <w:t xml:space="preserve"> for personnel with accessibility restrictions where relevant. </w:t>
            </w:r>
          </w:p>
          <w:p w:rsidR="00F44CC0" w:rsidP="00F44CC0" w:rsidRDefault="00F44CC0" w14:paraId="042CF659" w14:textId="7C559944"/>
        </w:tc>
        <w:tc>
          <w:tcPr>
            <w:tcW w:w="2747" w:type="dxa"/>
            <w:vAlign w:val="center"/>
          </w:tcPr>
          <w:p w:rsidR="00F44CC0" w:rsidP="00F44CC0" w:rsidRDefault="00F44CC0" w14:paraId="7AE5C3BB" w14:textId="77777777">
            <w:pPr>
              <w:rPr>
                <w:b/>
                <w:bCs/>
              </w:rPr>
            </w:pPr>
            <w:r w:rsidRPr="00280DA7">
              <w:rPr>
                <w:b/>
                <w:bCs/>
              </w:rPr>
              <w:lastRenderedPageBreak/>
              <w:t xml:space="preserve">Executive People &amp; Resilience </w:t>
            </w:r>
          </w:p>
          <w:p w:rsidR="00F44CC0" w:rsidP="00F44CC0" w:rsidRDefault="00F44CC0" w14:paraId="5B92CADA" w14:textId="77777777">
            <w:r>
              <w:t>BM Corporate Services</w:t>
            </w:r>
          </w:p>
          <w:p w:rsidR="00F44CC0" w:rsidP="00F44CC0" w:rsidRDefault="00F44CC0" w14:paraId="297CF905" w14:textId="77777777">
            <w:r>
              <w:t>BM Operations</w:t>
            </w:r>
          </w:p>
          <w:p w:rsidRPr="00280DA7" w:rsidR="00F44CC0" w:rsidP="00F44CC0" w:rsidRDefault="00F44CC0" w14:paraId="4BF35F1E" w14:textId="66AE5B0C">
            <w:pPr>
              <w:rPr>
                <w:b/>
                <w:bCs/>
              </w:rPr>
            </w:pPr>
            <w:r w:rsidRPr="003D3F10">
              <w:t>BM Maintenance</w:t>
            </w:r>
          </w:p>
        </w:tc>
        <w:tc>
          <w:tcPr>
            <w:tcW w:w="2090" w:type="dxa"/>
            <w:vAlign w:val="center"/>
          </w:tcPr>
          <w:p w:rsidR="00F44CC0" w:rsidP="00F44CC0" w:rsidRDefault="00F44CC0" w14:paraId="5294D0DF" w14:textId="49E7B858">
            <w:r>
              <w:t>GM People &amp; Business Services</w:t>
            </w:r>
          </w:p>
        </w:tc>
      </w:tr>
      <w:tr w:rsidRPr="00594CE0" w:rsidR="00F44CC0" w:rsidTr="003F2F0A" w14:paraId="0618F5DA" w14:textId="77777777">
        <w:trPr>
          <w:gridAfter w:val="1"/>
          <w:wAfter w:w="14" w:type="dxa"/>
        </w:trPr>
        <w:tc>
          <w:tcPr>
            <w:tcW w:w="5578" w:type="dxa"/>
            <w:vAlign w:val="center"/>
          </w:tcPr>
          <w:p w:rsidR="00F44CC0" w:rsidP="00F44CC0" w:rsidRDefault="00F44CC0" w14:paraId="45C71519" w14:textId="14D1C61E">
            <w:r>
              <w:t xml:space="preserve">Safety equipment for response to and management of incidents and emergencies must be supplied, clearly identifiable and maintained where required by legislation and our </w:t>
            </w:r>
            <w:r w:rsidRPr="003D3F10">
              <w:rPr>
                <w:b/>
                <w:bCs/>
              </w:rPr>
              <w:t>IMS Standards</w:t>
            </w:r>
            <w:r>
              <w:t>.</w:t>
            </w:r>
          </w:p>
          <w:p w:rsidRPr="00B72120" w:rsidR="00F44CC0" w:rsidP="00F44CC0" w:rsidRDefault="00F44CC0" w14:paraId="5164975A" w14:textId="46379235"/>
        </w:tc>
        <w:tc>
          <w:tcPr>
            <w:tcW w:w="2747" w:type="dxa"/>
            <w:vAlign w:val="center"/>
          </w:tcPr>
          <w:p w:rsidRPr="005D3001" w:rsidR="00F44CC0" w:rsidP="00F44CC0" w:rsidRDefault="00F44CC0" w14:paraId="5CF0C881" w14:textId="77777777">
            <w:pPr>
              <w:rPr>
                <w:b/>
                <w:bCs/>
              </w:rPr>
            </w:pPr>
            <w:r w:rsidRPr="005D3001">
              <w:rPr>
                <w:b/>
                <w:bCs/>
              </w:rPr>
              <w:t>Executive People &amp; Resilience</w:t>
            </w:r>
          </w:p>
          <w:p w:rsidRPr="00280DA7" w:rsidR="00F44CC0" w:rsidP="00F44CC0" w:rsidRDefault="00F44CC0" w14:paraId="1B0F34AF" w14:textId="14A254E2">
            <w:pPr>
              <w:rPr>
                <w:b/>
                <w:bCs/>
              </w:rPr>
            </w:pPr>
            <w:r>
              <w:t>BM Corporate Services</w:t>
            </w:r>
          </w:p>
        </w:tc>
        <w:tc>
          <w:tcPr>
            <w:tcW w:w="2090" w:type="dxa"/>
            <w:vAlign w:val="center"/>
          </w:tcPr>
          <w:p w:rsidR="00F44CC0" w:rsidP="00F44CC0" w:rsidRDefault="00F44CC0" w14:paraId="3164E103" w14:textId="329F0C96">
            <w:r>
              <w:t>GM People &amp; Business Services</w:t>
            </w:r>
            <w:r w:rsidRPr="00D84339" w:rsidDel="00DB43DD">
              <w:t xml:space="preserve"> </w:t>
            </w:r>
          </w:p>
        </w:tc>
      </w:tr>
      <w:tr w:rsidRPr="00594CE0" w:rsidR="00F44CC0" w:rsidTr="003F2F0A" w14:paraId="4AEDE2A6" w14:textId="77777777">
        <w:trPr>
          <w:trHeight w:val="525"/>
        </w:trPr>
        <w:tc>
          <w:tcPr>
            <w:tcW w:w="10429" w:type="dxa"/>
            <w:gridSpan w:val="4"/>
            <w:shd w:val="clear" w:color="auto" w:fill="00395D" w:themeFill="text2"/>
            <w:vAlign w:val="center"/>
          </w:tcPr>
          <w:p w:rsidRPr="003F2F0A" w:rsidR="00F44CC0" w:rsidP="00F44CC0" w:rsidRDefault="00F44CC0" w14:paraId="73597BC3" w14:textId="4F2BE019">
            <w:pPr>
              <w:spacing w:before="240" w:after="240"/>
              <w:rPr>
                <w:color w:val="FFFFFF" w:themeColor="background1"/>
              </w:rPr>
            </w:pPr>
            <w:r>
              <w:rPr>
                <w:b/>
                <w:bCs/>
                <w:color w:val="FFFFFF" w:themeColor="background1"/>
              </w:rPr>
              <w:t>Response</w:t>
            </w:r>
          </w:p>
        </w:tc>
      </w:tr>
      <w:tr w:rsidRPr="00594CE0" w:rsidR="00F44CC0" w:rsidTr="003F2F0A" w14:paraId="4839A5B7" w14:textId="77777777">
        <w:trPr>
          <w:gridAfter w:val="1"/>
          <w:wAfter w:w="14" w:type="dxa"/>
          <w:trHeight w:val="570"/>
        </w:trPr>
        <w:tc>
          <w:tcPr>
            <w:tcW w:w="5578" w:type="dxa"/>
            <w:tcBorders>
              <w:bottom w:val="single" w:color="auto" w:sz="4" w:space="0"/>
            </w:tcBorders>
            <w:shd w:val="clear" w:color="auto" w:fill="00B4D0" w:themeFill="accent1"/>
            <w:vAlign w:val="center"/>
          </w:tcPr>
          <w:p w:rsidR="00F44CC0" w:rsidP="00F44CC0" w:rsidRDefault="00F44CC0" w14:paraId="375D3650" w14:textId="4DED7C49">
            <w:r>
              <w:rPr>
                <w:b/>
                <w:bCs/>
                <w:color w:val="FFFFFF" w:themeColor="background1"/>
              </w:rPr>
              <w:t>Requirements</w:t>
            </w:r>
          </w:p>
        </w:tc>
        <w:tc>
          <w:tcPr>
            <w:tcW w:w="2747" w:type="dxa"/>
            <w:tcBorders>
              <w:bottom w:val="single" w:color="auto" w:sz="4" w:space="0"/>
            </w:tcBorders>
            <w:shd w:val="clear" w:color="auto" w:fill="00B4D0" w:themeFill="accent1"/>
            <w:vAlign w:val="center"/>
          </w:tcPr>
          <w:p w:rsidRPr="005D3001" w:rsidR="00F44CC0" w:rsidP="00F44CC0" w:rsidRDefault="00F44CC0" w14:paraId="0DF95D4D" w14:textId="2AC5CA86">
            <w:pPr>
              <w:rPr>
                <w:b/>
                <w:bCs/>
              </w:rPr>
            </w:pPr>
            <w:r w:rsidRPr="00CE7833">
              <w:rPr>
                <w:b/>
                <w:bCs/>
                <w:color w:val="FFFFFF" w:themeColor="background1"/>
              </w:rPr>
              <w:t>Responsibility</w:t>
            </w:r>
          </w:p>
        </w:tc>
        <w:tc>
          <w:tcPr>
            <w:tcW w:w="2090" w:type="dxa"/>
            <w:tcBorders>
              <w:bottom w:val="single" w:color="auto" w:sz="4" w:space="0"/>
            </w:tcBorders>
            <w:shd w:val="clear" w:color="auto" w:fill="00B4D0" w:themeFill="accent1"/>
            <w:vAlign w:val="center"/>
          </w:tcPr>
          <w:p w:rsidR="00F44CC0" w:rsidP="00F44CC0" w:rsidRDefault="00F44CC0" w14:paraId="327D1C54" w14:textId="00F72D88">
            <w:r>
              <w:rPr>
                <w:b/>
                <w:bCs/>
                <w:color w:val="FFFFFF" w:themeColor="background1"/>
              </w:rPr>
              <w:t>Accountability</w:t>
            </w:r>
          </w:p>
        </w:tc>
      </w:tr>
      <w:tr w:rsidRPr="00594CE0" w:rsidR="00F44CC0" w:rsidTr="003F2F0A" w14:paraId="7F7E4562" w14:textId="77777777">
        <w:trPr>
          <w:gridAfter w:val="1"/>
          <w:wAfter w:w="14" w:type="dxa"/>
        </w:trPr>
        <w:tc>
          <w:tcPr>
            <w:tcW w:w="5578" w:type="dxa"/>
            <w:vAlign w:val="center"/>
          </w:tcPr>
          <w:p w:rsidR="00F44CC0" w:rsidP="00F44CC0" w:rsidRDefault="00F44CC0" w14:paraId="7335C251" w14:textId="77777777">
            <w:r w:rsidRPr="00D67748">
              <w:t>Requests from an Incident Controller for resources to respond to, manage and recover from incidents and emergency events must be provided as a priority - taking into consideration the potential impact on BAU activities and employee wellbeing.</w:t>
            </w:r>
          </w:p>
          <w:p w:rsidR="00F44CC0" w:rsidP="00F44CC0" w:rsidRDefault="00F44CC0" w14:paraId="2BFC3585" w14:textId="70A7D3C3"/>
        </w:tc>
        <w:tc>
          <w:tcPr>
            <w:tcW w:w="2747" w:type="dxa"/>
            <w:vAlign w:val="center"/>
          </w:tcPr>
          <w:p w:rsidR="00F44CC0" w:rsidP="00F44CC0" w:rsidRDefault="00F44CC0" w14:paraId="7173DCF8" w14:textId="77777777">
            <w:r w:rsidRPr="00280DA7">
              <w:rPr>
                <w:b/>
                <w:bCs/>
              </w:rPr>
              <w:t>Executive People &amp; Resilience</w:t>
            </w:r>
          </w:p>
          <w:p w:rsidRPr="005D3001" w:rsidR="00F44CC0" w:rsidP="00F44CC0" w:rsidRDefault="00F44CC0" w14:paraId="059DE831" w14:textId="04F0FD20">
            <w:pPr>
              <w:rPr>
                <w:b/>
                <w:bCs/>
              </w:rPr>
            </w:pPr>
            <w:r>
              <w:t>All BM</w:t>
            </w:r>
          </w:p>
        </w:tc>
        <w:tc>
          <w:tcPr>
            <w:tcW w:w="2090" w:type="dxa"/>
            <w:vAlign w:val="center"/>
          </w:tcPr>
          <w:p w:rsidR="00F44CC0" w:rsidP="00F44CC0" w:rsidRDefault="00F44CC0" w14:paraId="15E14E1C" w14:textId="2C2B5ED0">
            <w:r>
              <w:t>GM People &amp; Business Services</w:t>
            </w:r>
          </w:p>
        </w:tc>
      </w:tr>
      <w:tr w:rsidRPr="00594CE0" w:rsidR="00F44CC0" w:rsidTr="003F2F0A" w14:paraId="1494AD57" w14:textId="77777777">
        <w:trPr>
          <w:gridAfter w:val="1"/>
          <w:wAfter w:w="14" w:type="dxa"/>
        </w:trPr>
        <w:tc>
          <w:tcPr>
            <w:tcW w:w="5578" w:type="dxa"/>
            <w:vAlign w:val="center"/>
          </w:tcPr>
          <w:p w:rsidR="00F44CC0" w:rsidP="00F44CC0" w:rsidRDefault="00F44CC0" w14:paraId="352FDAAA" w14:textId="77777777">
            <w:r w:rsidRPr="00B72120">
              <w:t xml:space="preserve">Incidents </w:t>
            </w:r>
            <w:r>
              <w:t xml:space="preserve">and emergency events </w:t>
            </w:r>
            <w:r w:rsidRPr="00B72120">
              <w:t>must be reported and classified</w:t>
            </w:r>
            <w:r>
              <w:t>, escalated and deescalated</w:t>
            </w:r>
            <w:r w:rsidRPr="00B72120">
              <w:t xml:space="preserve"> as per our </w:t>
            </w:r>
            <w:r w:rsidRPr="003D3F10">
              <w:rPr>
                <w:b/>
                <w:bCs/>
              </w:rPr>
              <w:t xml:space="preserve">Incident </w:t>
            </w:r>
            <w:r>
              <w:rPr>
                <w:b/>
                <w:bCs/>
              </w:rPr>
              <w:t>Reporting and Response</w:t>
            </w:r>
            <w:r w:rsidRPr="003D3F10">
              <w:rPr>
                <w:b/>
                <w:bCs/>
              </w:rPr>
              <w:t xml:space="preserve"> Procedure</w:t>
            </w:r>
            <w:r>
              <w:t xml:space="preserve">, the </w:t>
            </w:r>
            <w:r>
              <w:rPr>
                <w:b/>
                <w:bCs/>
              </w:rPr>
              <w:t>EMP</w:t>
            </w:r>
            <w:r>
              <w:t xml:space="preserve"> </w:t>
            </w:r>
            <w:r w:rsidRPr="00B72120">
              <w:t xml:space="preserve">and </w:t>
            </w:r>
            <w:r>
              <w:t xml:space="preserve">the </w:t>
            </w:r>
            <w:r w:rsidRPr="003D3F10">
              <w:rPr>
                <w:b/>
                <w:bCs/>
              </w:rPr>
              <w:t>SEMP</w:t>
            </w:r>
            <w:r>
              <w:t>.</w:t>
            </w:r>
            <w:r w:rsidRPr="00B72120" w:rsidDel="003C0EDD">
              <w:t xml:space="preserve"> </w:t>
            </w:r>
          </w:p>
          <w:p w:rsidR="00F44CC0" w:rsidP="00F44CC0" w:rsidRDefault="00F44CC0" w14:paraId="2C8CEA23" w14:textId="06F1CE59"/>
        </w:tc>
        <w:tc>
          <w:tcPr>
            <w:tcW w:w="2747" w:type="dxa"/>
            <w:vAlign w:val="center"/>
          </w:tcPr>
          <w:p w:rsidR="00F44CC0" w:rsidP="00F44CC0" w:rsidRDefault="00F44CC0" w14:paraId="0585F145" w14:textId="77777777">
            <w:r w:rsidRPr="00280DA7">
              <w:rPr>
                <w:b/>
                <w:bCs/>
              </w:rPr>
              <w:t>Executive People &amp; Resilience</w:t>
            </w:r>
          </w:p>
          <w:p w:rsidRPr="005D3001" w:rsidR="00F44CC0" w:rsidP="00F44CC0" w:rsidRDefault="00F44CC0" w14:paraId="34FEFD1C" w14:textId="7E859BBC">
            <w:pPr>
              <w:rPr>
                <w:b/>
                <w:bCs/>
              </w:rPr>
            </w:pPr>
            <w:r>
              <w:t>All BM</w:t>
            </w:r>
          </w:p>
        </w:tc>
        <w:tc>
          <w:tcPr>
            <w:tcW w:w="2090" w:type="dxa"/>
            <w:vAlign w:val="center"/>
          </w:tcPr>
          <w:p w:rsidR="00F44CC0" w:rsidP="00F44CC0" w:rsidRDefault="00F44CC0" w14:paraId="3540DE15" w14:textId="66B479EC">
            <w:r>
              <w:t>GM People &amp; Business Services</w:t>
            </w:r>
          </w:p>
        </w:tc>
      </w:tr>
      <w:tr w:rsidRPr="00594CE0" w:rsidR="00F44CC0" w:rsidTr="003F2F0A" w14:paraId="65D91342" w14:textId="77777777">
        <w:trPr>
          <w:gridAfter w:val="1"/>
          <w:wAfter w:w="14" w:type="dxa"/>
        </w:trPr>
        <w:tc>
          <w:tcPr>
            <w:tcW w:w="5578" w:type="dxa"/>
            <w:vAlign w:val="center"/>
          </w:tcPr>
          <w:p w:rsidR="00F44CC0" w:rsidP="00F44CC0" w:rsidRDefault="00F44CC0" w14:paraId="3E2503E5" w14:textId="77777777">
            <w:r>
              <w:t xml:space="preserve">Notifications must be completed in accordance with legislative requirements and other obligations described within the </w:t>
            </w:r>
            <w:r w:rsidRPr="008E7CC6">
              <w:rPr>
                <w:b/>
                <w:bCs/>
              </w:rPr>
              <w:t>EMP</w:t>
            </w:r>
            <w:r>
              <w:t xml:space="preserve"> and supporting documentation/plans.</w:t>
            </w:r>
          </w:p>
          <w:p w:rsidR="00F44CC0" w:rsidP="00F44CC0" w:rsidRDefault="00F44CC0" w14:paraId="49D35536" w14:textId="1BBB65FD"/>
        </w:tc>
        <w:tc>
          <w:tcPr>
            <w:tcW w:w="2747" w:type="dxa"/>
            <w:tcBorders>
              <w:top w:val="single" w:color="auto" w:sz="4" w:space="0"/>
            </w:tcBorders>
            <w:vAlign w:val="center"/>
          </w:tcPr>
          <w:p w:rsidR="00F44CC0" w:rsidP="00F44CC0" w:rsidRDefault="00F44CC0" w14:paraId="7F4451FB" w14:textId="77777777">
            <w:r w:rsidRPr="00280DA7">
              <w:rPr>
                <w:b/>
                <w:bCs/>
              </w:rPr>
              <w:t>Executive People &amp; Resilience</w:t>
            </w:r>
          </w:p>
          <w:p w:rsidRPr="005D3001" w:rsidR="00F44CC0" w:rsidP="00F44CC0" w:rsidRDefault="00F44CC0" w14:paraId="4B78DF1E" w14:textId="7B09F76D">
            <w:pPr>
              <w:rPr>
                <w:b/>
                <w:bCs/>
              </w:rPr>
            </w:pPr>
            <w:r>
              <w:t>All BM</w:t>
            </w:r>
          </w:p>
        </w:tc>
        <w:tc>
          <w:tcPr>
            <w:tcW w:w="2090" w:type="dxa"/>
            <w:tcBorders>
              <w:top w:val="single" w:color="auto" w:sz="4" w:space="0"/>
            </w:tcBorders>
            <w:vAlign w:val="center"/>
          </w:tcPr>
          <w:p w:rsidR="00F44CC0" w:rsidP="00F44CC0" w:rsidRDefault="00F44CC0" w14:paraId="77146E51" w14:textId="48660A81">
            <w:r>
              <w:t>GM People &amp; Business Services</w:t>
            </w:r>
          </w:p>
        </w:tc>
      </w:tr>
      <w:tr w:rsidRPr="00594CE0" w:rsidR="00F44CC0" w:rsidTr="003F2F0A" w14:paraId="0BAAB8B1" w14:textId="77777777">
        <w:trPr>
          <w:gridAfter w:val="1"/>
          <w:wAfter w:w="14" w:type="dxa"/>
        </w:trPr>
        <w:tc>
          <w:tcPr>
            <w:tcW w:w="5578" w:type="dxa"/>
            <w:vAlign w:val="center"/>
          </w:tcPr>
          <w:p w:rsidR="00F44CC0" w:rsidP="00F44CC0" w:rsidRDefault="00F44CC0" w14:paraId="250310DF" w14:textId="7CFCA735">
            <w:r>
              <w:t>Where Wannon Water is not the Control Agency for an emergency event, requirements issued by the controlling agency must be complied with and will take precedence over normal management structures.</w:t>
            </w:r>
          </w:p>
          <w:p w:rsidR="00F44CC0" w:rsidP="00F44CC0" w:rsidRDefault="00F44CC0" w14:paraId="697678CC" w14:textId="19CD1B6B"/>
        </w:tc>
        <w:tc>
          <w:tcPr>
            <w:tcW w:w="2747" w:type="dxa"/>
            <w:tcBorders>
              <w:top w:val="single" w:color="auto" w:sz="4" w:space="0"/>
            </w:tcBorders>
            <w:vAlign w:val="center"/>
          </w:tcPr>
          <w:p w:rsidR="00F44CC0" w:rsidP="00F44CC0" w:rsidRDefault="00F44CC0" w14:paraId="6CA1A4D2" w14:textId="77777777">
            <w:r w:rsidRPr="00280DA7">
              <w:rPr>
                <w:b/>
                <w:bCs/>
              </w:rPr>
              <w:t>Executive People &amp; Resilience</w:t>
            </w:r>
          </w:p>
          <w:p w:rsidRPr="00280DA7" w:rsidR="00F44CC0" w:rsidP="00F44CC0" w:rsidRDefault="00F44CC0" w14:paraId="01050E38" w14:textId="0179EE85">
            <w:pPr>
              <w:rPr>
                <w:b/>
                <w:bCs/>
              </w:rPr>
            </w:pPr>
            <w:r>
              <w:t>All BM</w:t>
            </w:r>
          </w:p>
        </w:tc>
        <w:tc>
          <w:tcPr>
            <w:tcW w:w="2090" w:type="dxa"/>
            <w:tcBorders>
              <w:top w:val="single" w:color="auto" w:sz="4" w:space="0"/>
            </w:tcBorders>
            <w:vAlign w:val="center"/>
          </w:tcPr>
          <w:p w:rsidR="00F44CC0" w:rsidP="00F44CC0" w:rsidRDefault="00F44CC0" w14:paraId="39FF213B" w14:textId="0E5A8D0B">
            <w:r>
              <w:t>GM People &amp; Business Services</w:t>
            </w:r>
          </w:p>
        </w:tc>
      </w:tr>
      <w:tr w:rsidRPr="00594CE0" w:rsidR="00F44CC0" w:rsidTr="003F2F0A" w14:paraId="3EFA809A" w14:textId="77777777">
        <w:trPr>
          <w:gridAfter w:val="1"/>
          <w:wAfter w:w="14" w:type="dxa"/>
        </w:trPr>
        <w:tc>
          <w:tcPr>
            <w:tcW w:w="5578" w:type="dxa"/>
            <w:vAlign w:val="center"/>
          </w:tcPr>
          <w:p w:rsidR="00F44CC0" w:rsidP="00F44CC0" w:rsidRDefault="00F44CC0" w14:paraId="475823E6" w14:textId="77777777">
            <w:r>
              <w:t xml:space="preserve">Requests for external mutual aid in response to incidents and emergencies must be made in accordance with the </w:t>
            </w:r>
            <w:r w:rsidRPr="003D3F10">
              <w:rPr>
                <w:b/>
                <w:bCs/>
              </w:rPr>
              <w:t>EMP</w:t>
            </w:r>
            <w:r>
              <w:t xml:space="preserve"> and </w:t>
            </w:r>
            <w:r w:rsidRPr="003D3F10">
              <w:rPr>
                <w:b/>
                <w:bCs/>
              </w:rPr>
              <w:t>Australian Water Services Sector Group – Mutual Aid Guidelines</w:t>
            </w:r>
            <w:r>
              <w:t>.</w:t>
            </w:r>
          </w:p>
          <w:p w:rsidR="00F44CC0" w:rsidP="00F44CC0" w:rsidRDefault="00F44CC0" w14:paraId="1AA1F246" w14:textId="05C108F7"/>
        </w:tc>
        <w:tc>
          <w:tcPr>
            <w:tcW w:w="2747" w:type="dxa"/>
            <w:shd w:val="clear" w:color="auto" w:fill="auto"/>
            <w:vAlign w:val="center"/>
          </w:tcPr>
          <w:p w:rsidR="00F44CC0" w:rsidP="00F44CC0" w:rsidRDefault="00F44CC0" w14:paraId="5981ADAB" w14:textId="77777777">
            <w:pPr>
              <w:rPr>
                <w:b/>
                <w:bCs/>
              </w:rPr>
            </w:pPr>
            <w:r w:rsidRPr="00280DA7">
              <w:rPr>
                <w:b/>
                <w:bCs/>
              </w:rPr>
              <w:t xml:space="preserve">Executive People &amp; Resilience </w:t>
            </w:r>
          </w:p>
          <w:p w:rsidRPr="00F40024" w:rsidR="00F44CC0" w:rsidP="00F44CC0" w:rsidRDefault="00F44CC0" w14:paraId="51D82E63" w14:textId="5EF04CF7">
            <w:pPr>
              <w:rPr>
                <w:b/>
              </w:rPr>
            </w:pPr>
            <w:r w:rsidRPr="0030090F">
              <w:t>Incident Controllers</w:t>
            </w:r>
          </w:p>
        </w:tc>
        <w:tc>
          <w:tcPr>
            <w:tcW w:w="2090" w:type="dxa"/>
            <w:shd w:val="clear" w:color="auto" w:fill="auto"/>
            <w:vAlign w:val="center"/>
          </w:tcPr>
          <w:p w:rsidR="00F44CC0" w:rsidP="00F44CC0" w:rsidRDefault="00F44CC0" w14:paraId="6D786653" w14:textId="43C58363">
            <w:r>
              <w:t>GM People &amp; Business Services</w:t>
            </w:r>
          </w:p>
        </w:tc>
      </w:tr>
      <w:tr w:rsidRPr="00594CE0" w:rsidR="00F44CC0" w:rsidTr="003F2F0A" w14:paraId="63F88E65" w14:textId="77777777">
        <w:tc>
          <w:tcPr>
            <w:tcW w:w="10429" w:type="dxa"/>
            <w:gridSpan w:val="4"/>
            <w:shd w:val="clear" w:color="auto" w:fill="00395D" w:themeFill="text2"/>
            <w:vAlign w:val="center"/>
          </w:tcPr>
          <w:p w:rsidRPr="003F2F0A" w:rsidR="00F44CC0" w:rsidDel="00FB4AB0" w:rsidP="00F44CC0" w:rsidRDefault="00F44CC0" w14:paraId="54F206B7" w14:textId="65F4F028">
            <w:pPr>
              <w:spacing w:before="240" w:after="240"/>
              <w:rPr>
                <w:b/>
                <w:bCs/>
                <w:color w:val="FFFFFF" w:themeColor="background1"/>
              </w:rPr>
            </w:pPr>
            <w:r w:rsidRPr="003F2F0A">
              <w:rPr>
                <w:b/>
                <w:bCs/>
                <w:color w:val="FFFFFF" w:themeColor="background1"/>
              </w:rPr>
              <w:t>Recovery</w:t>
            </w:r>
          </w:p>
        </w:tc>
      </w:tr>
      <w:tr w:rsidRPr="00594CE0" w:rsidR="00F44CC0" w:rsidTr="00CA572B" w14:paraId="119E84E1" w14:textId="77777777">
        <w:trPr>
          <w:gridAfter w:val="1"/>
          <w:wAfter w:w="14" w:type="dxa"/>
          <w:trHeight w:val="579"/>
        </w:trPr>
        <w:tc>
          <w:tcPr>
            <w:tcW w:w="5578" w:type="dxa"/>
            <w:tcBorders>
              <w:bottom w:val="single" w:color="auto" w:sz="4" w:space="0"/>
            </w:tcBorders>
            <w:shd w:val="clear" w:color="auto" w:fill="00B4D0" w:themeFill="accent1"/>
            <w:vAlign w:val="center"/>
          </w:tcPr>
          <w:p w:rsidR="00F44CC0" w:rsidDel="00DC439B" w:rsidP="00F44CC0" w:rsidRDefault="00F44CC0" w14:paraId="16281774" w14:textId="4B02FB48">
            <w:pPr>
              <w:widowControl w:val="0"/>
            </w:pPr>
            <w:r>
              <w:rPr>
                <w:b/>
                <w:bCs/>
                <w:color w:val="FFFFFF" w:themeColor="background1"/>
              </w:rPr>
              <w:t>Requirements</w:t>
            </w:r>
          </w:p>
        </w:tc>
        <w:tc>
          <w:tcPr>
            <w:tcW w:w="2747" w:type="dxa"/>
            <w:tcBorders>
              <w:bottom w:val="single" w:color="auto" w:sz="4" w:space="0"/>
            </w:tcBorders>
            <w:shd w:val="clear" w:color="auto" w:fill="00B4D0" w:themeFill="accent1"/>
            <w:vAlign w:val="center"/>
          </w:tcPr>
          <w:p w:rsidRPr="00280DA7" w:rsidR="00F44CC0" w:rsidP="00F44CC0" w:rsidRDefault="00F44CC0" w14:paraId="1B188C58" w14:textId="705A6C9A">
            <w:pPr>
              <w:rPr>
                <w:b/>
                <w:bCs/>
              </w:rPr>
            </w:pPr>
            <w:r w:rsidRPr="00CE7833">
              <w:rPr>
                <w:b/>
                <w:bCs/>
                <w:color w:val="FFFFFF" w:themeColor="background1"/>
              </w:rPr>
              <w:t>Responsibility</w:t>
            </w:r>
          </w:p>
        </w:tc>
        <w:tc>
          <w:tcPr>
            <w:tcW w:w="2090" w:type="dxa"/>
            <w:tcBorders>
              <w:bottom w:val="single" w:color="auto" w:sz="4" w:space="0"/>
            </w:tcBorders>
            <w:shd w:val="clear" w:color="auto" w:fill="00B4D0" w:themeFill="accent1"/>
            <w:vAlign w:val="center"/>
          </w:tcPr>
          <w:p w:rsidR="00F44CC0" w:rsidP="00F44CC0" w:rsidRDefault="00F44CC0" w14:paraId="17CCBF39" w14:textId="580538C5">
            <w:r>
              <w:rPr>
                <w:b/>
                <w:bCs/>
                <w:color w:val="FFFFFF" w:themeColor="background1"/>
              </w:rPr>
              <w:t>Accountability</w:t>
            </w:r>
          </w:p>
        </w:tc>
      </w:tr>
      <w:tr w:rsidRPr="00594CE0" w:rsidR="00F44CC0" w:rsidTr="003F2F0A" w14:paraId="449B09AF" w14:textId="77777777">
        <w:trPr>
          <w:gridAfter w:val="1"/>
          <w:wAfter w:w="14" w:type="dxa"/>
        </w:trPr>
        <w:tc>
          <w:tcPr>
            <w:tcW w:w="5578" w:type="dxa"/>
            <w:vAlign w:val="center"/>
          </w:tcPr>
          <w:p w:rsidRPr="00E245D1" w:rsidR="00F44CC0" w:rsidP="00F44CC0" w:rsidRDefault="00F44CC0" w14:paraId="7F192916" w14:textId="426ABB6E">
            <w:pPr>
              <w:widowControl w:val="0"/>
              <w:rPr>
                <w:rFonts w:eastAsia="Times New Roman" w:cs="Times New Roman"/>
                <w:szCs w:val="22"/>
                <w:lang w:val="en-US"/>
              </w:rPr>
            </w:pPr>
            <w:r>
              <w:t>Lessons learnt from incidents and emergencies must be captured and shared in accordance with the requirements of the EMP</w:t>
            </w:r>
            <w:r w:rsidR="007D6F0E">
              <w:t>.</w:t>
            </w:r>
          </w:p>
        </w:tc>
        <w:tc>
          <w:tcPr>
            <w:tcW w:w="2747" w:type="dxa"/>
            <w:vAlign w:val="center"/>
          </w:tcPr>
          <w:p w:rsidR="00F44CC0" w:rsidP="00F44CC0" w:rsidRDefault="00F44CC0" w14:paraId="0C7C35F3" w14:textId="77777777">
            <w:pPr>
              <w:rPr>
                <w:b/>
                <w:bCs/>
              </w:rPr>
            </w:pPr>
            <w:r w:rsidRPr="00280DA7">
              <w:rPr>
                <w:b/>
                <w:bCs/>
              </w:rPr>
              <w:t xml:space="preserve">Executive People &amp; Resilience </w:t>
            </w:r>
          </w:p>
          <w:p w:rsidRPr="007529CC" w:rsidR="00F44CC0" w:rsidP="00F44CC0" w:rsidRDefault="00F44CC0" w14:paraId="034A1EEB" w14:textId="34A6090B">
            <w:r w:rsidRPr="0030090F">
              <w:t>Incident Controllers</w:t>
            </w:r>
          </w:p>
        </w:tc>
        <w:tc>
          <w:tcPr>
            <w:tcW w:w="2090" w:type="dxa"/>
            <w:vAlign w:val="center"/>
          </w:tcPr>
          <w:p w:rsidRPr="007E3419" w:rsidR="00F44CC0" w:rsidP="00F44CC0" w:rsidRDefault="00F44CC0" w14:paraId="4D90BC77" w14:textId="60B5AF2E">
            <w:r>
              <w:t>GM People &amp; Business Services</w:t>
            </w:r>
          </w:p>
        </w:tc>
      </w:tr>
    </w:tbl>
    <w:p w:rsidR="008B2680" w:rsidP="00E90832" w:rsidRDefault="008B2680" w14:paraId="6DDE2EBA" w14:textId="77777777"/>
    <w:p w:rsidR="0004669D" w:rsidRDefault="0004669D" w14:paraId="3368B4C8" w14:textId="77777777">
      <w:pPr>
        <w:rPr>
          <w:rFonts w:eastAsiaTheme="majorEastAsia" w:cstheme="majorBidi"/>
          <w:b/>
          <w:bCs/>
          <w:noProof/>
          <w:color w:val="00B4D0" w:themeColor="accent1"/>
          <w:sz w:val="28"/>
          <w:szCs w:val="28"/>
          <w:lang w:val="en-US"/>
        </w:rPr>
      </w:pPr>
      <w:r>
        <w:br w:type="page"/>
      </w:r>
    </w:p>
    <w:p w:rsidR="001613E5" w:rsidP="007C58FB" w:rsidRDefault="001613E5" w14:paraId="768E772C" w14:textId="72E0C168">
      <w:pPr>
        <w:pStyle w:val="Heading1"/>
      </w:pPr>
      <w:r>
        <w:lastRenderedPageBreak/>
        <w:t xml:space="preserve">Training and </w:t>
      </w:r>
      <w:r w:rsidR="00AD3DF3">
        <w:t>a</w:t>
      </w:r>
      <w:r w:rsidR="003F351C">
        <w:t>ssessment</w:t>
      </w:r>
    </w:p>
    <w:tbl>
      <w:tblPr>
        <w:tblStyle w:val="TableGrid"/>
        <w:tblW w:w="10206" w:type="dxa"/>
        <w:tblLook w:val="04A0" w:firstRow="1" w:lastRow="0" w:firstColumn="1" w:lastColumn="0" w:noHBand="0" w:noVBand="1"/>
      </w:tblPr>
      <w:tblGrid>
        <w:gridCol w:w="5665"/>
        <w:gridCol w:w="2270"/>
        <w:gridCol w:w="2271"/>
      </w:tblGrid>
      <w:tr w:rsidRPr="00594CE0" w:rsidR="000455B5" w:rsidTr="000455B5" w14:paraId="43FA65CC" w14:textId="77777777">
        <w:trPr>
          <w:trHeight w:val="567"/>
        </w:trPr>
        <w:tc>
          <w:tcPr>
            <w:tcW w:w="5665" w:type="dxa"/>
            <w:shd w:val="clear" w:color="auto" w:fill="00B4D0" w:themeFill="accent1"/>
            <w:vAlign w:val="center"/>
          </w:tcPr>
          <w:p w:rsidRPr="00CE7833" w:rsidR="000455B5" w:rsidP="000455B5" w:rsidRDefault="000455B5" w14:paraId="527EC77F" w14:textId="77777777">
            <w:pPr>
              <w:rPr>
                <w:b/>
                <w:bCs/>
                <w:color w:val="FFFFFF" w:themeColor="background1"/>
              </w:rPr>
            </w:pPr>
            <w:r>
              <w:rPr>
                <w:b/>
                <w:bCs/>
                <w:color w:val="FFFFFF" w:themeColor="background1"/>
              </w:rPr>
              <w:t>Standards</w:t>
            </w:r>
          </w:p>
        </w:tc>
        <w:tc>
          <w:tcPr>
            <w:tcW w:w="2270" w:type="dxa"/>
            <w:shd w:val="clear" w:color="auto" w:fill="00B4D0" w:themeFill="accent1"/>
            <w:vAlign w:val="center"/>
          </w:tcPr>
          <w:p w:rsidRPr="002A5F78" w:rsidR="000455B5" w:rsidP="000455B5" w:rsidRDefault="000455B5" w14:paraId="64B83E5B" w14:textId="3390C036">
            <w:pPr>
              <w:jc w:val="center"/>
              <w:rPr>
                <w:b/>
                <w:bCs/>
                <w:color w:val="FFFFFF" w:themeColor="background1"/>
                <w:vertAlign w:val="superscript"/>
              </w:rPr>
            </w:pPr>
            <w:r w:rsidRPr="00CE7833">
              <w:rPr>
                <w:b/>
                <w:bCs/>
                <w:color w:val="FFFFFF" w:themeColor="background1"/>
              </w:rPr>
              <w:t>Responsibility</w:t>
            </w:r>
            <w:r w:rsidR="000B06B3">
              <w:rPr>
                <w:b/>
                <w:bCs/>
                <w:color w:val="FFFFFF" w:themeColor="background1"/>
                <w:vertAlign w:val="superscript"/>
              </w:rPr>
              <w:t>2</w:t>
            </w:r>
          </w:p>
        </w:tc>
        <w:tc>
          <w:tcPr>
            <w:tcW w:w="2271" w:type="dxa"/>
            <w:tcBorders>
              <w:bottom w:val="single" w:color="auto" w:sz="4" w:space="0"/>
            </w:tcBorders>
            <w:shd w:val="clear" w:color="auto" w:fill="00B4D0" w:themeFill="accent1"/>
            <w:vAlign w:val="center"/>
          </w:tcPr>
          <w:p w:rsidRPr="002A5F78" w:rsidR="000455B5" w:rsidP="000455B5" w:rsidRDefault="000455B5" w14:paraId="0B3D267E" w14:textId="18A469CC">
            <w:pPr>
              <w:jc w:val="center"/>
              <w:rPr>
                <w:b/>
                <w:bCs/>
                <w:color w:val="FFFFFF" w:themeColor="background1"/>
                <w:vertAlign w:val="superscript"/>
              </w:rPr>
            </w:pPr>
            <w:r>
              <w:rPr>
                <w:b/>
                <w:bCs/>
                <w:color w:val="FFFFFF" w:themeColor="background1"/>
              </w:rPr>
              <w:t>Accountability</w:t>
            </w:r>
            <w:r w:rsidR="000B06B3">
              <w:rPr>
                <w:b/>
                <w:bCs/>
                <w:color w:val="FFFFFF" w:themeColor="background1"/>
                <w:vertAlign w:val="superscript"/>
              </w:rPr>
              <w:t>3</w:t>
            </w:r>
          </w:p>
        </w:tc>
      </w:tr>
      <w:tr w:rsidRPr="00594CE0" w:rsidR="00894F8C" w:rsidTr="00362AFA" w14:paraId="470D905E" w14:textId="77777777">
        <w:trPr>
          <w:trHeight w:val="454"/>
        </w:trPr>
        <w:tc>
          <w:tcPr>
            <w:tcW w:w="5665" w:type="dxa"/>
            <w:vAlign w:val="center"/>
          </w:tcPr>
          <w:p w:rsidR="00894F8C" w:rsidP="00894F8C" w:rsidRDefault="00894F8C" w14:paraId="78201B86" w14:textId="21523E82">
            <w:r>
              <w:t xml:space="preserve">All managers with </w:t>
            </w:r>
            <w:r w:rsidR="004F1753">
              <w:t>R</w:t>
            </w:r>
            <w:r>
              <w:t xml:space="preserve">esponsibilities &amp; </w:t>
            </w:r>
            <w:r w:rsidR="004F1753">
              <w:t>A</w:t>
            </w:r>
            <w:r>
              <w:t>ccountabilities within this document must be made aware of this standard.</w:t>
            </w:r>
          </w:p>
        </w:tc>
        <w:tc>
          <w:tcPr>
            <w:tcW w:w="2270" w:type="dxa"/>
            <w:vAlign w:val="center"/>
          </w:tcPr>
          <w:p w:rsidRPr="004A0DF6" w:rsidR="00894F8C" w:rsidP="00894F8C" w:rsidRDefault="00894F8C" w14:paraId="02CCCA69" w14:textId="2EA96350">
            <w:pPr>
              <w:rPr>
                <w:iCs/>
              </w:rPr>
            </w:pPr>
            <w:r w:rsidRPr="00E10E39">
              <w:rPr>
                <w:b/>
              </w:rPr>
              <w:t>Executive People &amp; Resilience</w:t>
            </w:r>
          </w:p>
        </w:tc>
        <w:tc>
          <w:tcPr>
            <w:tcW w:w="2271" w:type="dxa"/>
            <w:vAlign w:val="center"/>
          </w:tcPr>
          <w:p w:rsidRPr="000D2D99" w:rsidR="00894F8C" w:rsidP="00894F8C" w:rsidRDefault="00894F8C" w14:paraId="057DD2D3" w14:textId="3353BAB9">
            <w:pPr>
              <w:rPr>
                <w:rFonts w:eastAsia="Calibri" w:cs="Times New Roman"/>
              </w:rPr>
            </w:pPr>
            <w:r w:rsidRPr="005B5F63">
              <w:rPr>
                <w:color w:val="000000"/>
                <w:szCs w:val="22"/>
              </w:rPr>
              <w:t>GM People &amp; Business Services</w:t>
            </w:r>
          </w:p>
        </w:tc>
      </w:tr>
    </w:tbl>
    <w:p w:rsidR="00C560DF" w:rsidP="00C560DF" w:rsidRDefault="00C560DF" w14:paraId="17F1B933" w14:textId="1E7BEBD3">
      <w:pPr>
        <w:pStyle w:val="Heading1"/>
      </w:pPr>
      <w:bookmarkStart w:name="_Hlk70930128" w:id="1"/>
      <w:bookmarkStart w:name="_Toc4408096" w:id="2"/>
      <w:r>
        <w:t>Monitoring</w:t>
      </w:r>
    </w:p>
    <w:tbl>
      <w:tblPr>
        <w:tblStyle w:val="TableGrid"/>
        <w:tblW w:w="10201" w:type="dxa"/>
        <w:tblLook w:val="04A0" w:firstRow="1" w:lastRow="0" w:firstColumn="1" w:lastColumn="0" w:noHBand="0" w:noVBand="1"/>
      </w:tblPr>
      <w:tblGrid>
        <w:gridCol w:w="5669"/>
        <w:gridCol w:w="2198"/>
        <w:gridCol w:w="2334"/>
      </w:tblGrid>
      <w:tr w:rsidRPr="00594CE0" w:rsidR="004548D3" w:rsidTr="00D6349D" w14:paraId="2B2B7AE8" w14:textId="77777777">
        <w:trPr>
          <w:trHeight w:val="454"/>
        </w:trPr>
        <w:tc>
          <w:tcPr>
            <w:tcW w:w="5669" w:type="dxa"/>
            <w:shd w:val="clear" w:color="auto" w:fill="00B4D0" w:themeFill="accent1"/>
            <w:vAlign w:val="center"/>
          </w:tcPr>
          <w:p w:rsidRPr="00CE7833" w:rsidR="004548D3" w:rsidP="004548D3" w:rsidRDefault="004548D3" w14:paraId="2F5A8F54" w14:textId="77777777">
            <w:pPr>
              <w:rPr>
                <w:b/>
                <w:bCs/>
                <w:color w:val="FFFFFF" w:themeColor="background1"/>
              </w:rPr>
            </w:pPr>
            <w:r>
              <w:rPr>
                <w:b/>
                <w:bCs/>
                <w:color w:val="FFFFFF" w:themeColor="background1"/>
              </w:rPr>
              <w:t>Standards</w:t>
            </w:r>
          </w:p>
        </w:tc>
        <w:tc>
          <w:tcPr>
            <w:tcW w:w="2198" w:type="dxa"/>
            <w:tcBorders>
              <w:bottom w:val="single" w:color="auto" w:sz="4" w:space="0"/>
            </w:tcBorders>
            <w:shd w:val="clear" w:color="auto" w:fill="00B4D0" w:themeFill="accent1"/>
            <w:vAlign w:val="center"/>
          </w:tcPr>
          <w:p w:rsidRPr="002A5F78" w:rsidR="004548D3" w:rsidP="004548D3" w:rsidRDefault="004548D3" w14:paraId="40394D07" w14:textId="04DDBF46">
            <w:pPr>
              <w:jc w:val="center"/>
              <w:rPr>
                <w:b/>
                <w:bCs/>
                <w:color w:val="FFFFFF" w:themeColor="background1"/>
                <w:vertAlign w:val="superscript"/>
              </w:rPr>
            </w:pPr>
            <w:r w:rsidRPr="00CE7833">
              <w:rPr>
                <w:b/>
                <w:bCs/>
                <w:color w:val="FFFFFF" w:themeColor="background1"/>
              </w:rPr>
              <w:t>Responsibility</w:t>
            </w:r>
            <w:r w:rsidR="00043C38">
              <w:rPr>
                <w:b/>
                <w:bCs/>
                <w:color w:val="FFFFFF" w:themeColor="background1"/>
                <w:vertAlign w:val="superscript"/>
              </w:rPr>
              <w:t>2</w:t>
            </w:r>
          </w:p>
        </w:tc>
        <w:tc>
          <w:tcPr>
            <w:tcW w:w="2334" w:type="dxa"/>
            <w:tcBorders>
              <w:bottom w:val="single" w:color="auto" w:sz="4" w:space="0"/>
            </w:tcBorders>
            <w:shd w:val="clear" w:color="auto" w:fill="00B4D0" w:themeFill="accent1"/>
            <w:vAlign w:val="center"/>
          </w:tcPr>
          <w:p w:rsidRPr="002A5F78" w:rsidR="004548D3" w:rsidP="004548D3" w:rsidRDefault="004548D3" w14:paraId="714CD244" w14:textId="5E9E9D3A">
            <w:pPr>
              <w:jc w:val="center"/>
              <w:rPr>
                <w:b/>
                <w:bCs/>
                <w:color w:val="FFFFFF" w:themeColor="background1"/>
                <w:vertAlign w:val="superscript"/>
              </w:rPr>
            </w:pPr>
            <w:r>
              <w:rPr>
                <w:b/>
                <w:bCs/>
                <w:color w:val="FFFFFF" w:themeColor="background1"/>
              </w:rPr>
              <w:t>Accountability</w:t>
            </w:r>
            <w:r w:rsidR="00043C38">
              <w:rPr>
                <w:b/>
                <w:bCs/>
                <w:color w:val="FFFFFF" w:themeColor="background1"/>
                <w:vertAlign w:val="superscript"/>
              </w:rPr>
              <w:t>3</w:t>
            </w:r>
          </w:p>
        </w:tc>
      </w:tr>
      <w:tr w:rsidRPr="00594CE0" w:rsidR="00C91351" w:rsidTr="00D6349D" w14:paraId="662AD820" w14:textId="77777777">
        <w:trPr>
          <w:trHeight w:val="454"/>
        </w:trPr>
        <w:tc>
          <w:tcPr>
            <w:tcW w:w="5669" w:type="dxa"/>
            <w:vAlign w:val="center"/>
          </w:tcPr>
          <w:p w:rsidR="00C91351" w:rsidP="00C91351" w:rsidRDefault="0004669D" w14:paraId="12273375" w14:textId="13A53ECF">
            <w:r>
              <w:t>Information required by legislation to demonstrate compliance with emergency management obligations must be retained and made available to regulators upon request.</w:t>
            </w:r>
          </w:p>
        </w:tc>
        <w:tc>
          <w:tcPr>
            <w:tcW w:w="2198" w:type="dxa"/>
            <w:shd w:val="clear" w:color="auto" w:fill="auto"/>
            <w:vAlign w:val="center"/>
          </w:tcPr>
          <w:p w:rsidRPr="00F40024" w:rsidR="00C91351" w:rsidP="00C91351" w:rsidRDefault="00C91351" w14:paraId="7806C533" w14:textId="77777777">
            <w:pPr>
              <w:rPr>
                <w:b/>
              </w:rPr>
            </w:pPr>
            <w:r w:rsidRPr="00F40024">
              <w:rPr>
                <w:b/>
              </w:rPr>
              <w:t>Information Services Manager</w:t>
            </w:r>
          </w:p>
          <w:p w:rsidR="00C91351" w:rsidP="00C91351" w:rsidRDefault="00C91351" w14:paraId="36C81C8E" w14:textId="77777777">
            <w:r>
              <w:t xml:space="preserve">BM Asset Creation BM Asset Systems </w:t>
            </w:r>
          </w:p>
          <w:p w:rsidR="00C91351" w:rsidP="00C91351" w:rsidRDefault="00C91351" w14:paraId="35FC4423" w14:textId="77777777">
            <w:r>
              <w:t>BM Operations</w:t>
            </w:r>
          </w:p>
          <w:p w:rsidR="00C91351" w:rsidP="00C91351" w:rsidRDefault="00C91351" w14:paraId="29CEB04F" w14:textId="77777777">
            <w:r>
              <w:t>BM Maintenance</w:t>
            </w:r>
          </w:p>
          <w:p w:rsidR="00C91351" w:rsidP="00C91351" w:rsidRDefault="00C91351" w14:paraId="04EDD3FE" w14:textId="794E8603">
            <w:r>
              <w:t>BM Corporate Services</w:t>
            </w:r>
          </w:p>
        </w:tc>
        <w:tc>
          <w:tcPr>
            <w:tcW w:w="2334" w:type="dxa"/>
            <w:shd w:val="clear" w:color="auto" w:fill="auto"/>
            <w:vAlign w:val="center"/>
          </w:tcPr>
          <w:p w:rsidR="00C91351" w:rsidP="00C91351" w:rsidRDefault="00C91351" w14:paraId="32EA6B80" w14:textId="54780D96">
            <w:r>
              <w:t>Chief Information Officer</w:t>
            </w:r>
          </w:p>
        </w:tc>
      </w:tr>
      <w:tr w:rsidRPr="00594CE0" w:rsidR="00A47501" w:rsidTr="00D6349D" w14:paraId="3061534E" w14:textId="77777777">
        <w:trPr>
          <w:trHeight w:val="454"/>
        </w:trPr>
        <w:tc>
          <w:tcPr>
            <w:tcW w:w="5669" w:type="dxa"/>
            <w:vAlign w:val="center"/>
          </w:tcPr>
          <w:p w:rsidR="00A47501" w:rsidP="00A47501" w:rsidRDefault="00A47501" w14:paraId="349FB2AB" w14:textId="491FBB72">
            <w:r>
              <w:t>All records required by this standard must be maintained in our records management systems –</w:t>
            </w:r>
            <w:r w:rsidRPr="00E70D08">
              <w:rPr>
                <w:b/>
                <w:bCs/>
              </w:rPr>
              <w:t xml:space="preserve"> </w:t>
            </w:r>
            <w:r>
              <w:t>(e.g., Content Manager, Conquest, Riskware, Maximo, Elevate etc.)</w:t>
            </w:r>
          </w:p>
        </w:tc>
        <w:tc>
          <w:tcPr>
            <w:tcW w:w="2198" w:type="dxa"/>
            <w:shd w:val="clear" w:color="auto" w:fill="auto"/>
            <w:vAlign w:val="center"/>
          </w:tcPr>
          <w:p w:rsidRPr="00F40024" w:rsidR="00A47501" w:rsidP="00A47501" w:rsidRDefault="00A47501" w14:paraId="6D9627EE" w14:textId="14586A79">
            <w:pPr>
              <w:rPr>
                <w:b/>
              </w:rPr>
            </w:pPr>
            <w:r w:rsidRPr="00962315">
              <w:rPr>
                <w:b/>
                <w:bCs/>
              </w:rPr>
              <w:t>Information Services Manager</w:t>
            </w:r>
          </w:p>
        </w:tc>
        <w:tc>
          <w:tcPr>
            <w:tcW w:w="2334" w:type="dxa"/>
            <w:shd w:val="clear" w:color="auto" w:fill="auto"/>
            <w:vAlign w:val="center"/>
          </w:tcPr>
          <w:p w:rsidR="00A47501" w:rsidP="00A47501" w:rsidRDefault="00A47501" w14:paraId="3486BF30" w14:textId="1EF9685E">
            <w:r>
              <w:t>Chief Information Officer</w:t>
            </w:r>
          </w:p>
        </w:tc>
      </w:tr>
      <w:tr w:rsidRPr="00594CE0" w:rsidR="00C76374" w:rsidTr="00D6349D" w14:paraId="71934E4E" w14:textId="77777777">
        <w:trPr>
          <w:trHeight w:val="454"/>
        </w:trPr>
        <w:tc>
          <w:tcPr>
            <w:tcW w:w="5669" w:type="dxa"/>
            <w:vAlign w:val="center"/>
          </w:tcPr>
          <w:p w:rsidRPr="00043C38" w:rsidR="00C76374" w:rsidP="00C76374" w:rsidRDefault="00D32079" w14:paraId="3E16E807" w14:textId="6B34C8A2">
            <w:r>
              <w:t>C</w:t>
            </w:r>
            <w:r w:rsidR="00C76374">
              <w:t xml:space="preserve">ompliance with and effectiveness of this standard is verified at least every four years by including periodic audits in the </w:t>
            </w:r>
            <w:r w:rsidRPr="002A5F78" w:rsidR="00C76374">
              <w:rPr>
                <w:b/>
                <w:bCs/>
              </w:rPr>
              <w:t>Audit Program</w:t>
            </w:r>
            <w:r w:rsidR="00043C38">
              <w:t>.</w:t>
            </w:r>
          </w:p>
        </w:tc>
        <w:tc>
          <w:tcPr>
            <w:tcW w:w="2198" w:type="dxa"/>
            <w:shd w:val="clear" w:color="auto" w:fill="auto"/>
            <w:vAlign w:val="center"/>
          </w:tcPr>
          <w:p w:rsidRPr="003D3F10" w:rsidR="00C76374" w:rsidP="00C76374" w:rsidRDefault="00C76374" w14:paraId="0FD034E7" w14:textId="32643C52">
            <w:pPr>
              <w:rPr>
                <w:b/>
                <w:bCs/>
              </w:rPr>
            </w:pPr>
            <w:r w:rsidRPr="003D3F10">
              <w:rPr>
                <w:b/>
                <w:bCs/>
              </w:rPr>
              <w:t xml:space="preserve">Executive People &amp; Resilience </w:t>
            </w:r>
          </w:p>
        </w:tc>
        <w:tc>
          <w:tcPr>
            <w:tcW w:w="2334" w:type="dxa"/>
            <w:shd w:val="clear" w:color="auto" w:fill="auto"/>
            <w:vAlign w:val="center"/>
          </w:tcPr>
          <w:p w:rsidRPr="00E9191E" w:rsidR="00C76374" w:rsidP="00C76374" w:rsidRDefault="00C76374" w14:paraId="418A4C06" w14:textId="4A6AF326">
            <w:r>
              <w:t xml:space="preserve">GM People &amp; Business Services </w:t>
            </w:r>
          </w:p>
        </w:tc>
      </w:tr>
    </w:tbl>
    <w:p w:rsidR="00C560DF" w:rsidP="00C560DF" w:rsidRDefault="00C560DF" w14:paraId="455667D9" w14:textId="097736C8">
      <w:bookmarkStart w:name="_Hlk70930152" w:id="3"/>
      <w:bookmarkEnd w:id="1"/>
    </w:p>
    <w:p w:rsidR="00C560DF" w:rsidP="00C560DF" w:rsidRDefault="00C560DF" w14:paraId="39DCCBE2" w14:textId="77777777">
      <w:pPr>
        <w:pStyle w:val="Heading1"/>
      </w:pPr>
      <w:bookmarkStart w:name="_Hlk70930892" w:id="4"/>
      <w:bookmarkEnd w:id="2"/>
      <w:bookmarkEnd w:id="3"/>
      <w:r>
        <w:t xml:space="preserve">Definitions  </w:t>
      </w:r>
    </w:p>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2430"/>
        <w:gridCol w:w="7776"/>
      </w:tblGrid>
      <w:tr w:rsidR="00244983" w:rsidTr="003F2F0A" w14:paraId="62275E1B" w14:textId="77777777">
        <w:trPr>
          <w:trHeight w:val="263"/>
        </w:trPr>
        <w:tc>
          <w:tcPr>
            <w:tcW w:w="2430" w:type="dxa"/>
          </w:tcPr>
          <w:p w:rsidRPr="00C63A74" w:rsidR="00244983" w:rsidRDefault="00244983" w14:paraId="79E9039E" w14:textId="77777777">
            <w:pPr>
              <w:rPr>
                <w:rStyle w:val="Emphasis"/>
              </w:rPr>
            </w:pPr>
            <w:r w:rsidRPr="00C63A74">
              <w:rPr>
                <w:rStyle w:val="Emphasis"/>
              </w:rPr>
              <w:t>Term</w:t>
            </w:r>
          </w:p>
        </w:tc>
        <w:tc>
          <w:tcPr>
            <w:tcW w:w="7776" w:type="dxa"/>
          </w:tcPr>
          <w:p w:rsidRPr="00865435" w:rsidR="00244983" w:rsidRDefault="00244983" w14:paraId="7B3CAF8B" w14:textId="77777777">
            <w:pPr>
              <w:tabs>
                <w:tab w:val="left" w:pos="4050"/>
              </w:tabs>
              <w:rPr>
                <w:rFonts w:cs="Arial"/>
                <w:b/>
                <w:bCs/>
                <w:color w:val="00B4D0" w:themeColor="accent1"/>
              </w:rPr>
            </w:pPr>
            <w:r w:rsidRPr="00865435">
              <w:rPr>
                <w:rFonts w:cs="Arial"/>
                <w:b/>
                <w:bCs/>
                <w:color w:val="00B4D0" w:themeColor="accent1"/>
              </w:rPr>
              <w:t>Means</w:t>
            </w:r>
            <w:r w:rsidRPr="00865435">
              <w:rPr>
                <w:rFonts w:cs="Arial"/>
                <w:b/>
                <w:bCs/>
                <w:color w:val="00B4D0" w:themeColor="accent1"/>
              </w:rPr>
              <w:tab/>
            </w:r>
          </w:p>
        </w:tc>
      </w:tr>
      <w:tr w:rsidR="00281565" w:rsidTr="003F2F0A" w14:paraId="2B9C6271" w14:textId="77777777">
        <w:trPr>
          <w:trHeight w:val="247"/>
        </w:trPr>
        <w:tc>
          <w:tcPr>
            <w:tcW w:w="2430" w:type="dxa"/>
          </w:tcPr>
          <w:p w:rsidR="00281565" w:rsidRDefault="00281565" w14:paraId="245755DB" w14:textId="3629A8E2">
            <w:pPr>
              <w:rPr>
                <w:rFonts w:cs="Arial"/>
              </w:rPr>
            </w:pPr>
            <w:r>
              <w:rPr>
                <w:rFonts w:cs="Arial"/>
              </w:rPr>
              <w:t>AIIMS</w:t>
            </w:r>
          </w:p>
        </w:tc>
        <w:tc>
          <w:tcPr>
            <w:tcW w:w="7776" w:type="dxa"/>
          </w:tcPr>
          <w:p w:rsidRPr="00960C28" w:rsidR="00281565" w:rsidRDefault="000D176D" w14:paraId="45857312" w14:textId="1AF56B44">
            <w:pPr>
              <w:rPr>
                <w:rFonts w:cs="Arial"/>
              </w:rPr>
            </w:pPr>
            <w:r w:rsidRPr="002A5F78">
              <w:t>Australasian Inter-service Incident Management System</w:t>
            </w:r>
          </w:p>
        </w:tc>
      </w:tr>
      <w:tr w:rsidR="00244983" w:rsidTr="003F2F0A" w14:paraId="2E9D6A09" w14:textId="77777777">
        <w:trPr>
          <w:trHeight w:val="247"/>
        </w:trPr>
        <w:tc>
          <w:tcPr>
            <w:tcW w:w="2430" w:type="dxa"/>
          </w:tcPr>
          <w:p w:rsidR="00244983" w:rsidRDefault="004D433F" w14:paraId="1B522055" w14:textId="3B84A88F">
            <w:pPr>
              <w:rPr>
                <w:rFonts w:cs="Arial"/>
              </w:rPr>
            </w:pPr>
            <w:r>
              <w:rPr>
                <w:rFonts w:cs="Arial"/>
              </w:rPr>
              <w:t>BAU</w:t>
            </w:r>
          </w:p>
        </w:tc>
        <w:tc>
          <w:tcPr>
            <w:tcW w:w="7776" w:type="dxa"/>
          </w:tcPr>
          <w:p w:rsidR="00244983" w:rsidRDefault="004D433F" w14:paraId="38AF0D49" w14:textId="0960DE05">
            <w:pPr>
              <w:rPr>
                <w:rFonts w:cs="Arial"/>
              </w:rPr>
            </w:pPr>
            <w:r>
              <w:rPr>
                <w:rFonts w:cs="Arial"/>
              </w:rPr>
              <w:t>Business as Usual</w:t>
            </w:r>
          </w:p>
        </w:tc>
      </w:tr>
      <w:tr w:rsidR="00244983" w:rsidTr="003F2F0A" w14:paraId="07F2C7DE" w14:textId="77777777">
        <w:trPr>
          <w:trHeight w:val="247"/>
        </w:trPr>
        <w:tc>
          <w:tcPr>
            <w:tcW w:w="2430" w:type="dxa"/>
          </w:tcPr>
          <w:p w:rsidRPr="43240110" w:rsidR="00244983" w:rsidRDefault="00244983" w14:paraId="67F99DCE" w14:textId="77777777">
            <w:pPr>
              <w:rPr>
                <w:rFonts w:cs="Arial"/>
              </w:rPr>
            </w:pPr>
            <w:r>
              <w:rPr>
                <w:rFonts w:cs="Arial"/>
              </w:rPr>
              <w:t>BM</w:t>
            </w:r>
          </w:p>
        </w:tc>
        <w:tc>
          <w:tcPr>
            <w:tcW w:w="7776" w:type="dxa"/>
          </w:tcPr>
          <w:p w:rsidRPr="43240110" w:rsidR="00244983" w:rsidRDefault="00244983" w14:paraId="6E27CD10" w14:textId="77777777">
            <w:pPr>
              <w:rPr>
                <w:rFonts w:cs="Arial"/>
              </w:rPr>
            </w:pPr>
            <w:r>
              <w:rPr>
                <w:rFonts w:cs="Arial"/>
              </w:rPr>
              <w:t>Branch Manager</w:t>
            </w:r>
          </w:p>
        </w:tc>
      </w:tr>
      <w:tr w:rsidR="00F2028F" w:rsidTr="003F2F0A" w14:paraId="00E9DD10" w14:textId="77777777">
        <w:trPr>
          <w:trHeight w:val="247"/>
        </w:trPr>
        <w:tc>
          <w:tcPr>
            <w:tcW w:w="2430" w:type="dxa"/>
          </w:tcPr>
          <w:p w:rsidR="00F2028F" w:rsidRDefault="00F2028F" w14:paraId="6160BA70" w14:textId="70AA703A">
            <w:pPr>
              <w:rPr>
                <w:rFonts w:cs="Arial"/>
              </w:rPr>
            </w:pPr>
            <w:r>
              <w:rPr>
                <w:rFonts w:cs="Arial"/>
              </w:rPr>
              <w:t>DEECA</w:t>
            </w:r>
          </w:p>
        </w:tc>
        <w:tc>
          <w:tcPr>
            <w:tcW w:w="7776" w:type="dxa"/>
          </w:tcPr>
          <w:p w:rsidR="00F2028F" w:rsidRDefault="00FC6C26" w14:paraId="56DD3FEA" w14:textId="6772D400">
            <w:pPr>
              <w:rPr>
                <w:rFonts w:cs="Arial"/>
              </w:rPr>
            </w:pPr>
            <w:r>
              <w:rPr>
                <w:rFonts w:cs="Arial"/>
              </w:rPr>
              <w:t>Department of Energy, Environment and Climate Action</w:t>
            </w:r>
          </w:p>
        </w:tc>
      </w:tr>
      <w:tr w:rsidR="0004222F" w:rsidTr="003F2F0A" w14:paraId="53DBB888" w14:textId="77777777">
        <w:trPr>
          <w:trHeight w:val="247"/>
        </w:trPr>
        <w:tc>
          <w:tcPr>
            <w:tcW w:w="2430" w:type="dxa"/>
          </w:tcPr>
          <w:p w:rsidR="0004222F" w:rsidRDefault="0004222F" w14:paraId="55A35D0B" w14:textId="3A0A9EF0">
            <w:pPr>
              <w:rPr>
                <w:rFonts w:cs="Arial"/>
              </w:rPr>
            </w:pPr>
            <w:r>
              <w:rPr>
                <w:rFonts w:cs="Arial"/>
              </w:rPr>
              <w:t>Emergency Management Framework (Wannon Water)</w:t>
            </w:r>
          </w:p>
        </w:tc>
        <w:tc>
          <w:tcPr>
            <w:tcW w:w="7776" w:type="dxa"/>
          </w:tcPr>
          <w:p w:rsidRPr="000357D1" w:rsidR="0008641A" w:rsidP="0008641A" w:rsidRDefault="0008641A" w14:paraId="798670EA" w14:textId="77777777">
            <w:pPr>
              <w:rPr>
                <w:rFonts w:cs="Arial"/>
              </w:rPr>
            </w:pPr>
            <w:r w:rsidRPr="000357D1">
              <w:rPr>
                <w:rFonts w:cs="Arial"/>
              </w:rPr>
              <w:t xml:space="preserve">Wannon Water’s Emergency Management </w:t>
            </w:r>
            <w:r>
              <w:rPr>
                <w:rFonts w:cs="Arial"/>
              </w:rPr>
              <w:t>F</w:t>
            </w:r>
            <w:r w:rsidRPr="000357D1">
              <w:rPr>
                <w:rFonts w:cs="Arial"/>
              </w:rPr>
              <w:t xml:space="preserve">ramework is made up of: </w:t>
            </w:r>
          </w:p>
          <w:p w:rsidRPr="000357D1" w:rsidR="0008641A" w:rsidP="0008641A" w:rsidRDefault="0008641A" w14:paraId="35A6C45C" w14:textId="77777777">
            <w:pPr>
              <w:pStyle w:val="ListParagraph"/>
              <w:numPr>
                <w:ilvl w:val="0"/>
                <w:numId w:val="34"/>
              </w:numPr>
            </w:pPr>
            <w:r w:rsidRPr="000357D1">
              <w:t>Wannon Water Emergency Management Plan</w:t>
            </w:r>
          </w:p>
          <w:p w:rsidR="0008641A" w:rsidP="0008641A" w:rsidRDefault="0008641A" w14:paraId="59C7C0EE" w14:textId="77777777">
            <w:pPr>
              <w:pStyle w:val="ListParagraph"/>
              <w:numPr>
                <w:ilvl w:val="0"/>
                <w:numId w:val="34"/>
              </w:numPr>
            </w:pPr>
            <w:r w:rsidRPr="000357D1">
              <w:t>Incident</w:t>
            </w:r>
            <w:r>
              <w:t xml:space="preserve"> </w:t>
            </w:r>
            <w:r w:rsidRPr="000357D1">
              <w:t xml:space="preserve">Reporting </w:t>
            </w:r>
            <w:r>
              <w:t xml:space="preserve">and Response </w:t>
            </w:r>
            <w:r w:rsidRPr="000357D1">
              <w:t>Procedure</w:t>
            </w:r>
          </w:p>
          <w:p w:rsidRPr="000357D1" w:rsidR="0008641A" w:rsidP="0008641A" w:rsidRDefault="0008641A" w14:paraId="5F415D8D" w14:textId="77777777">
            <w:pPr>
              <w:pStyle w:val="ListParagraph"/>
              <w:numPr>
                <w:ilvl w:val="0"/>
                <w:numId w:val="34"/>
              </w:numPr>
            </w:pPr>
            <w:r>
              <w:t>Hazard Reporting Procedure</w:t>
            </w:r>
          </w:p>
          <w:p w:rsidRPr="000357D1" w:rsidR="0008641A" w:rsidP="0008641A" w:rsidRDefault="0008641A" w14:paraId="69AEC40F" w14:textId="77777777">
            <w:pPr>
              <w:pStyle w:val="ListParagraph"/>
              <w:numPr>
                <w:ilvl w:val="0"/>
                <w:numId w:val="34"/>
              </w:numPr>
            </w:pPr>
            <w:r w:rsidRPr="000357D1">
              <w:t xml:space="preserve">Business Continuity Plans </w:t>
            </w:r>
          </w:p>
          <w:p w:rsidRPr="000357D1" w:rsidR="0008641A" w:rsidP="0008641A" w:rsidRDefault="0008641A" w14:paraId="70A46B7B" w14:textId="77777777">
            <w:pPr>
              <w:pStyle w:val="ListParagraph"/>
              <w:numPr>
                <w:ilvl w:val="0"/>
                <w:numId w:val="34"/>
              </w:numPr>
            </w:pPr>
            <w:r w:rsidRPr="000357D1">
              <w:t>Contingency Plans</w:t>
            </w:r>
          </w:p>
          <w:p w:rsidR="00457DCD" w:rsidP="0008641A" w:rsidRDefault="0008641A" w14:paraId="3882EE1A" w14:textId="77777777">
            <w:pPr>
              <w:pStyle w:val="ListParagraph"/>
              <w:numPr>
                <w:ilvl w:val="0"/>
                <w:numId w:val="34"/>
              </w:numPr>
            </w:pPr>
            <w:r w:rsidRPr="000357D1">
              <w:t>Site based Facility plans</w:t>
            </w:r>
          </w:p>
          <w:p w:rsidRPr="00457DCD" w:rsidR="0004222F" w:rsidP="0008641A" w:rsidRDefault="00457DCD" w14:paraId="773553C6" w14:textId="41D53D12">
            <w:pPr>
              <w:pStyle w:val="ListParagraph"/>
              <w:numPr>
                <w:ilvl w:val="0"/>
                <w:numId w:val="34"/>
              </w:numPr>
            </w:pPr>
            <w:r>
              <w:t>S</w:t>
            </w:r>
            <w:r w:rsidRPr="000357D1" w:rsidR="0008641A">
              <w:t>upport and guidance materials</w:t>
            </w:r>
          </w:p>
        </w:tc>
      </w:tr>
      <w:tr w:rsidR="00244983" w:rsidTr="003F2F0A" w14:paraId="1DE2BBCF" w14:textId="77777777">
        <w:trPr>
          <w:trHeight w:val="247"/>
        </w:trPr>
        <w:tc>
          <w:tcPr>
            <w:tcW w:w="2430" w:type="dxa"/>
          </w:tcPr>
          <w:p w:rsidR="00244983" w:rsidRDefault="006419F0" w14:paraId="07EA363E" w14:textId="684F8D81">
            <w:pPr>
              <w:rPr>
                <w:rFonts w:cs="Arial"/>
              </w:rPr>
            </w:pPr>
            <w:r>
              <w:rPr>
                <w:rFonts w:cs="Arial"/>
              </w:rPr>
              <w:t>EMP</w:t>
            </w:r>
          </w:p>
        </w:tc>
        <w:tc>
          <w:tcPr>
            <w:tcW w:w="7776" w:type="dxa"/>
          </w:tcPr>
          <w:p w:rsidR="00244983" w:rsidRDefault="006419F0" w14:paraId="3F2F8A8B" w14:textId="7DFBB358">
            <w:pPr>
              <w:rPr>
                <w:rFonts w:cs="Arial"/>
              </w:rPr>
            </w:pPr>
            <w:r>
              <w:rPr>
                <w:rFonts w:cs="Arial"/>
              </w:rPr>
              <w:t>Emergency Management Plan</w:t>
            </w:r>
          </w:p>
        </w:tc>
      </w:tr>
      <w:tr w:rsidR="00244983" w:rsidTr="003F2F0A" w14:paraId="5592A5B9" w14:textId="77777777">
        <w:trPr>
          <w:trHeight w:val="247"/>
        </w:trPr>
        <w:tc>
          <w:tcPr>
            <w:tcW w:w="2430" w:type="dxa"/>
          </w:tcPr>
          <w:p w:rsidR="00244983" w:rsidRDefault="004D433F" w14:paraId="1E4BA85A" w14:textId="4334C636">
            <w:pPr>
              <w:rPr>
                <w:rFonts w:cs="Arial"/>
              </w:rPr>
            </w:pPr>
            <w:r>
              <w:rPr>
                <w:rFonts w:cs="Arial"/>
              </w:rPr>
              <w:t>EMV</w:t>
            </w:r>
          </w:p>
        </w:tc>
        <w:tc>
          <w:tcPr>
            <w:tcW w:w="7776" w:type="dxa"/>
          </w:tcPr>
          <w:p w:rsidRPr="00B9722B" w:rsidR="00244983" w:rsidRDefault="004D433F" w14:paraId="5786485B" w14:textId="28C4BAEB">
            <w:pPr>
              <w:rPr>
                <w:rFonts w:cs="Arial"/>
              </w:rPr>
            </w:pPr>
            <w:r>
              <w:rPr>
                <w:rFonts w:cs="Arial"/>
              </w:rPr>
              <w:t>Emergency Management Victoria</w:t>
            </w:r>
          </w:p>
        </w:tc>
      </w:tr>
      <w:tr w:rsidR="00244983" w:rsidTr="003F2F0A" w14:paraId="68B79652" w14:textId="77777777">
        <w:trPr>
          <w:trHeight w:val="247"/>
        </w:trPr>
        <w:tc>
          <w:tcPr>
            <w:tcW w:w="2430" w:type="dxa"/>
          </w:tcPr>
          <w:p w:rsidR="00244983" w:rsidRDefault="00244983" w14:paraId="75EC7BCD" w14:textId="77777777">
            <w:pPr>
              <w:rPr>
                <w:rFonts w:cs="Arial"/>
              </w:rPr>
            </w:pPr>
            <w:r>
              <w:rPr>
                <w:rFonts w:cs="Arial"/>
              </w:rPr>
              <w:t>GM</w:t>
            </w:r>
          </w:p>
        </w:tc>
        <w:tc>
          <w:tcPr>
            <w:tcW w:w="7776" w:type="dxa"/>
          </w:tcPr>
          <w:p w:rsidRPr="43240110" w:rsidR="00244983" w:rsidRDefault="00244983" w14:paraId="0C566043" w14:textId="77777777">
            <w:pPr>
              <w:rPr>
                <w:rFonts w:cs="Arial"/>
              </w:rPr>
            </w:pPr>
            <w:r>
              <w:rPr>
                <w:rFonts w:cs="Arial"/>
              </w:rPr>
              <w:t>General Manager</w:t>
            </w:r>
          </w:p>
        </w:tc>
      </w:tr>
      <w:tr w:rsidR="00244983" w:rsidTr="003F2F0A" w14:paraId="6A824467" w14:textId="77777777">
        <w:trPr>
          <w:trHeight w:val="247"/>
        </w:trPr>
        <w:tc>
          <w:tcPr>
            <w:tcW w:w="2430" w:type="dxa"/>
          </w:tcPr>
          <w:p w:rsidR="00244983" w:rsidRDefault="00244983" w14:paraId="660EB987" w14:textId="77777777">
            <w:pPr>
              <w:rPr>
                <w:rFonts w:cs="Arial"/>
              </w:rPr>
            </w:pPr>
            <w:r>
              <w:rPr>
                <w:rFonts w:cs="Arial"/>
              </w:rPr>
              <w:t>Hazard</w:t>
            </w:r>
          </w:p>
        </w:tc>
        <w:tc>
          <w:tcPr>
            <w:tcW w:w="7776" w:type="dxa"/>
          </w:tcPr>
          <w:p w:rsidR="00244983" w:rsidRDefault="00244983" w14:paraId="5DF065E7" w14:textId="77777777">
            <w:pPr>
              <w:rPr>
                <w:rFonts w:cs="Arial"/>
              </w:rPr>
            </w:pPr>
            <w:r>
              <w:rPr>
                <w:rFonts w:cs="Arial"/>
              </w:rPr>
              <w:t xml:space="preserve">Something that has the potential to cause harm (injury or damage). </w:t>
            </w:r>
          </w:p>
        </w:tc>
      </w:tr>
      <w:tr w:rsidR="00244983" w:rsidTr="003F2F0A" w14:paraId="1D87CD4F" w14:textId="77777777">
        <w:trPr>
          <w:trHeight w:val="247"/>
        </w:trPr>
        <w:tc>
          <w:tcPr>
            <w:tcW w:w="2430" w:type="dxa"/>
          </w:tcPr>
          <w:p w:rsidR="00244983" w:rsidRDefault="004D433F" w14:paraId="720336E2" w14:textId="6F1747DF">
            <w:pPr>
              <w:rPr>
                <w:rFonts w:cs="Arial"/>
              </w:rPr>
            </w:pPr>
            <w:r>
              <w:rPr>
                <w:rFonts w:cs="Arial"/>
              </w:rPr>
              <w:t>SEMP</w:t>
            </w:r>
          </w:p>
        </w:tc>
        <w:tc>
          <w:tcPr>
            <w:tcW w:w="7776" w:type="dxa"/>
            <w:vAlign w:val="center"/>
          </w:tcPr>
          <w:p w:rsidRPr="00F27AA9" w:rsidR="00244983" w:rsidRDefault="004D433F" w14:paraId="005D7CC2" w14:textId="78B2203F">
            <w:pPr>
              <w:rPr>
                <w:rFonts w:cs="Arial"/>
              </w:rPr>
            </w:pPr>
            <w:r>
              <w:rPr>
                <w:rFonts w:cs="Arial"/>
              </w:rPr>
              <w:t>State Emergency Management Plan</w:t>
            </w:r>
          </w:p>
        </w:tc>
      </w:tr>
      <w:tr w:rsidR="00244983" w:rsidTr="003F2F0A" w14:paraId="37A3700A" w14:textId="77777777">
        <w:trPr>
          <w:trHeight w:val="247"/>
        </w:trPr>
        <w:tc>
          <w:tcPr>
            <w:tcW w:w="2430" w:type="dxa"/>
          </w:tcPr>
          <w:p w:rsidR="00244983" w:rsidRDefault="00281565" w14:paraId="7DDC1754" w14:textId="703D63DC">
            <w:pPr>
              <w:rPr>
                <w:rFonts w:cs="Arial"/>
              </w:rPr>
            </w:pPr>
            <w:r>
              <w:rPr>
                <w:rFonts w:cs="Arial"/>
              </w:rPr>
              <w:t>SoO</w:t>
            </w:r>
          </w:p>
        </w:tc>
        <w:tc>
          <w:tcPr>
            <w:tcW w:w="7776" w:type="dxa"/>
            <w:vAlign w:val="center"/>
          </w:tcPr>
          <w:p w:rsidRPr="00F27AA9" w:rsidR="00244983" w:rsidRDefault="00281565" w14:paraId="7F77F29D" w14:textId="16E3573E">
            <w:pPr>
              <w:rPr>
                <w:rFonts w:cs="Arial"/>
              </w:rPr>
            </w:pPr>
            <w:r>
              <w:rPr>
                <w:rFonts w:cs="Arial"/>
              </w:rPr>
              <w:t>Statement of Obligations</w:t>
            </w:r>
          </w:p>
        </w:tc>
      </w:tr>
      <w:tr w:rsidR="00244983" w:rsidTr="003F2F0A" w14:paraId="079E8071" w14:textId="77777777">
        <w:trPr>
          <w:trHeight w:val="247"/>
        </w:trPr>
        <w:tc>
          <w:tcPr>
            <w:tcW w:w="2430" w:type="dxa"/>
          </w:tcPr>
          <w:p w:rsidR="00244983" w:rsidP="004851D1" w:rsidRDefault="00ED4772" w14:paraId="140E04FB" w14:textId="5CBB85F6">
            <w:pPr>
              <w:rPr>
                <w:rFonts w:cs="Arial"/>
              </w:rPr>
            </w:pPr>
            <w:r>
              <w:rPr>
                <w:rFonts w:cs="Arial"/>
              </w:rPr>
              <w:t>Task Risk Asse</w:t>
            </w:r>
            <w:r w:rsidR="004851D1">
              <w:rPr>
                <w:rFonts w:cs="Arial"/>
              </w:rPr>
              <w:t>ssment (JSA)</w:t>
            </w:r>
          </w:p>
        </w:tc>
        <w:tc>
          <w:tcPr>
            <w:tcW w:w="7776" w:type="dxa"/>
          </w:tcPr>
          <w:p w:rsidRPr="00F27AA9" w:rsidR="00244983" w:rsidRDefault="00E30984" w14:paraId="78E1C063" w14:textId="5D0A5A9D">
            <w:pPr>
              <w:rPr>
                <w:rFonts w:cs="Arial"/>
              </w:rPr>
            </w:pPr>
            <w:r>
              <w:rPr>
                <w:rFonts w:cs="Arial"/>
              </w:rPr>
              <w:t>Job Safety Analysis Procedure and eForm</w:t>
            </w:r>
          </w:p>
        </w:tc>
      </w:tr>
    </w:tbl>
    <w:p w:rsidR="00C560DF" w:rsidP="00C560DF" w:rsidRDefault="00C560DF" w14:paraId="193B5107" w14:textId="77777777">
      <w:pPr>
        <w:pStyle w:val="Heading1"/>
      </w:pPr>
      <w:r>
        <w:lastRenderedPageBreak/>
        <w:t xml:space="preserve">Governance </w:t>
      </w:r>
    </w:p>
    <w:p w:rsidR="00BD3BD5" w:rsidP="00BD3BD5" w:rsidRDefault="00BD3BD5" w14:paraId="261D2FDE" w14:textId="5AF99DE5">
      <w:r>
        <w:t>Wannon Water takes into consideration the various regulatory requirements issued from entities within our authorising environment such as the Department of Energy, Environment and Climate Action, Department of Health, Department of Treasury and Finance, Emergency Management Victoria and the Environment Protection Authority.</w:t>
      </w:r>
    </w:p>
    <w:p w:rsidRPr="000357D1" w:rsidR="00103755" w:rsidP="000357D1" w:rsidRDefault="00103755" w14:paraId="26FE5BA4" w14:textId="77777777">
      <w:pPr>
        <w:rPr>
          <w:lang w:val="en-US"/>
        </w:rPr>
      </w:pPr>
    </w:p>
    <w:tbl>
      <w:tblPr>
        <w:tblStyle w:val="TableGrid"/>
        <w:tblW w:w="0" w:type="auto"/>
        <w:tblLook w:val="04A0" w:firstRow="1" w:lastRow="0" w:firstColumn="1" w:lastColumn="0" w:noHBand="0" w:noVBand="1"/>
      </w:tblPr>
      <w:tblGrid>
        <w:gridCol w:w="2992"/>
        <w:gridCol w:w="7204"/>
      </w:tblGrid>
      <w:tr w:rsidR="000B21BB" w:rsidTr="000B21BB" w14:paraId="5C0D6EDA" w14:textId="77777777">
        <w:trPr>
          <w:trHeight w:val="567"/>
        </w:trPr>
        <w:tc>
          <w:tcPr>
            <w:tcW w:w="2992" w:type="dxa"/>
            <w:shd w:val="clear" w:color="auto" w:fill="00B4D0" w:themeFill="accent1"/>
            <w:vAlign w:val="center"/>
          </w:tcPr>
          <w:p w:rsidRPr="00C37220" w:rsidR="00921D55" w:rsidP="00921D55" w:rsidRDefault="00921D55" w14:paraId="13A036B0" w14:textId="6078ADF0">
            <w:pPr>
              <w:rPr>
                <w:b/>
                <w:color w:val="FFFFFF" w:themeColor="background1"/>
              </w:rPr>
            </w:pPr>
            <w:r w:rsidRPr="00C37220">
              <w:rPr>
                <w:b/>
                <w:color w:val="FFFFFF" w:themeColor="background1"/>
              </w:rPr>
              <w:t xml:space="preserve">Parent </w:t>
            </w:r>
            <w:r w:rsidRPr="00C37220" w:rsidR="57C55A52">
              <w:rPr>
                <w:b/>
                <w:bCs/>
                <w:color w:val="FFFFFF" w:themeColor="background1"/>
              </w:rPr>
              <w:t>p</w:t>
            </w:r>
            <w:r w:rsidRPr="00C37220">
              <w:rPr>
                <w:b/>
                <w:color w:val="FFFFFF" w:themeColor="background1"/>
              </w:rPr>
              <w:t>olicy</w:t>
            </w:r>
            <w:r w:rsidRPr="00C37220" w:rsidR="006D1C0C">
              <w:rPr>
                <w:b/>
                <w:color w:val="FFFFFF" w:themeColor="background1"/>
              </w:rPr>
              <w:t xml:space="preserve">/standard </w:t>
            </w:r>
          </w:p>
        </w:tc>
        <w:tc>
          <w:tcPr>
            <w:tcW w:w="7204" w:type="dxa"/>
            <w:vAlign w:val="center"/>
          </w:tcPr>
          <w:p w:rsidR="007216E3" w:rsidP="00F75137" w:rsidRDefault="008B7C2D" w14:paraId="410AF2B2" w14:textId="7FCF8825">
            <w:pPr>
              <w:pStyle w:val="ListParagraph"/>
              <w:numPr>
                <w:ilvl w:val="0"/>
                <w:numId w:val="0"/>
              </w:numPr>
              <w:ind w:left="360"/>
            </w:pPr>
            <w:hyperlink w:history="1" r:id="rId12">
              <w:r w:rsidRPr="008B7C2D" w:rsidR="00500D43">
                <w:rPr>
                  <w:rStyle w:val="Hyperlink"/>
                  <w:rFonts w:eastAsia="Times New Roman"/>
                </w:rPr>
                <w:t>Zero Harm Policy</w:t>
              </w:r>
            </w:hyperlink>
          </w:p>
        </w:tc>
      </w:tr>
      <w:tr w:rsidR="000B21BB" w:rsidTr="000B21BB" w14:paraId="7450187C" w14:textId="77777777">
        <w:trPr>
          <w:trHeight w:val="567"/>
        </w:trPr>
        <w:tc>
          <w:tcPr>
            <w:tcW w:w="2992" w:type="dxa"/>
            <w:shd w:val="clear" w:color="auto" w:fill="00B4D0" w:themeFill="accent1"/>
            <w:vAlign w:val="center"/>
          </w:tcPr>
          <w:p w:rsidRPr="00587BC6" w:rsidR="00C067D7" w:rsidP="00587BC6" w:rsidRDefault="000B21BB" w14:paraId="0A629962" w14:textId="2C08DBDC">
            <w:pPr>
              <w:rPr>
                <w:rStyle w:val="Emphasis"/>
              </w:rPr>
            </w:pPr>
            <w:r w:rsidRPr="002A5F78">
              <w:rPr>
                <w:b/>
                <w:bCs/>
                <w:color w:val="FFFFFF" w:themeColor="background1"/>
              </w:rPr>
              <w:t>Associated procedures / standards</w:t>
            </w:r>
          </w:p>
        </w:tc>
        <w:tc>
          <w:tcPr>
            <w:tcW w:w="7204" w:type="dxa"/>
          </w:tcPr>
          <w:p w:rsidRPr="008E62A2" w:rsidR="00851449" w:rsidP="002A5F78" w:rsidRDefault="00851449" w14:paraId="7C5A56FB" w14:textId="77777777">
            <w:pPr>
              <w:widowControl w:val="0"/>
              <w:numPr>
                <w:ilvl w:val="0"/>
                <w:numId w:val="36"/>
              </w:numPr>
              <w:rPr>
                <w:rFonts w:eastAsia="Times New Roman" w:cs="Arial"/>
                <w:szCs w:val="22"/>
                <w:lang w:val="en-US"/>
              </w:rPr>
            </w:pPr>
            <w:r w:rsidRPr="008E62A2">
              <w:rPr>
                <w:rFonts w:eastAsia="Times New Roman" w:cs="Arial"/>
                <w:szCs w:val="22"/>
                <w:lang w:val="en-US"/>
              </w:rPr>
              <w:t>Australasian Inter-service Incident Management System (AIIMS) 2017</w:t>
            </w:r>
          </w:p>
          <w:p w:rsidR="00851449" w:rsidP="002A5F78" w:rsidRDefault="00851449" w14:paraId="30C7E80D" w14:textId="77777777">
            <w:pPr>
              <w:widowControl w:val="0"/>
              <w:numPr>
                <w:ilvl w:val="0"/>
                <w:numId w:val="36"/>
              </w:numPr>
              <w:rPr>
                <w:rFonts w:eastAsia="Times New Roman" w:cs="Arial"/>
                <w:szCs w:val="22"/>
                <w:lang w:val="en-US"/>
              </w:rPr>
            </w:pPr>
            <w:r w:rsidRPr="008E62A2">
              <w:rPr>
                <w:rFonts w:eastAsia="Times New Roman" w:cs="Arial"/>
                <w:szCs w:val="22"/>
                <w:lang w:val="en-US"/>
              </w:rPr>
              <w:t>Blue Green Algae Circular</w:t>
            </w:r>
          </w:p>
          <w:p w:rsidRPr="000B21BB" w:rsidR="000B21BB" w:rsidP="002A5F78" w:rsidRDefault="000B21BB" w14:paraId="5772BEB5" w14:textId="7ADAE93D">
            <w:pPr>
              <w:widowControl w:val="0"/>
              <w:numPr>
                <w:ilvl w:val="0"/>
                <w:numId w:val="36"/>
              </w:numPr>
              <w:rPr>
                <w:rFonts w:eastAsia="Times New Roman" w:cs="Arial"/>
                <w:szCs w:val="22"/>
                <w:lang w:val="en-US"/>
              </w:rPr>
            </w:pPr>
            <w:r>
              <w:rPr>
                <w:rFonts w:eastAsia="Times New Roman"/>
                <w:szCs w:val="22"/>
                <w:lang w:val="en-US"/>
              </w:rPr>
              <w:t>SEMP plus SEMP Sub plans</w:t>
            </w:r>
          </w:p>
          <w:p w:rsidR="000B21BB" w:rsidP="005A7050" w:rsidRDefault="000B21BB" w14:paraId="666B2FA5" w14:textId="5534A466">
            <w:pPr>
              <w:widowControl w:val="0"/>
              <w:numPr>
                <w:ilvl w:val="0"/>
                <w:numId w:val="36"/>
              </w:numPr>
              <w:rPr>
                <w:rFonts w:eastAsia="Times New Roman" w:cs="Arial"/>
                <w:szCs w:val="22"/>
                <w:lang w:val="en-US"/>
              </w:rPr>
            </w:pPr>
            <w:r>
              <w:rPr>
                <w:rFonts w:eastAsia="Times New Roman" w:cs="Arial"/>
                <w:szCs w:val="22"/>
                <w:lang w:val="en-US"/>
              </w:rPr>
              <w:t>Wannon Water EMP and Contingency Plans</w:t>
            </w:r>
          </w:p>
          <w:p w:rsidRPr="008E62A2" w:rsidR="001A4549" w:rsidP="002A5F78" w:rsidRDefault="001A4549" w14:paraId="1F4E059F" w14:textId="11A64820">
            <w:pPr>
              <w:widowControl w:val="0"/>
              <w:numPr>
                <w:ilvl w:val="0"/>
                <w:numId w:val="36"/>
              </w:numPr>
              <w:rPr>
                <w:rFonts w:eastAsia="Times New Roman" w:cs="Arial"/>
                <w:szCs w:val="22"/>
                <w:lang w:val="en-US"/>
              </w:rPr>
            </w:pPr>
            <w:r>
              <w:rPr>
                <w:rFonts w:eastAsia="Times New Roman" w:cs="Arial"/>
                <w:szCs w:val="22"/>
                <w:lang w:val="en-US"/>
              </w:rPr>
              <w:t>Business Con</w:t>
            </w:r>
            <w:r w:rsidR="002E22D2">
              <w:rPr>
                <w:rFonts w:eastAsia="Times New Roman" w:cs="Arial"/>
                <w:szCs w:val="22"/>
                <w:lang w:val="en-US"/>
              </w:rPr>
              <w:t>tinuity Plans</w:t>
            </w:r>
          </w:p>
          <w:p w:rsidRPr="008E62A2" w:rsidR="00851449" w:rsidP="002A5F78" w:rsidRDefault="00851449" w14:paraId="1173CECE" w14:textId="77777777">
            <w:pPr>
              <w:widowControl w:val="0"/>
              <w:numPr>
                <w:ilvl w:val="0"/>
                <w:numId w:val="36"/>
              </w:numPr>
              <w:rPr>
                <w:rFonts w:eastAsia="Times New Roman" w:cs="Arial"/>
                <w:szCs w:val="22"/>
                <w:lang w:val="en-US"/>
              </w:rPr>
            </w:pPr>
            <w:r w:rsidRPr="008E62A2">
              <w:rPr>
                <w:rFonts w:eastAsia="Times New Roman" w:cs="Arial"/>
                <w:szCs w:val="22"/>
                <w:lang w:val="en-US"/>
              </w:rPr>
              <w:t>Planning for emergencies in facilities (AS3745)</w:t>
            </w:r>
          </w:p>
          <w:p w:rsidRPr="008E62A2" w:rsidR="00851449" w:rsidP="002A5F78" w:rsidRDefault="00851449" w14:paraId="22D17B40" w14:textId="77777777">
            <w:pPr>
              <w:widowControl w:val="0"/>
              <w:numPr>
                <w:ilvl w:val="0"/>
                <w:numId w:val="36"/>
              </w:numPr>
              <w:rPr>
                <w:rFonts w:eastAsia="Times New Roman" w:cs="Arial"/>
                <w:szCs w:val="22"/>
                <w:lang w:val="en-US"/>
              </w:rPr>
            </w:pPr>
            <w:r w:rsidRPr="008E62A2">
              <w:rPr>
                <w:rFonts w:eastAsia="Times New Roman" w:cs="Arial"/>
                <w:szCs w:val="22"/>
                <w:lang w:val="en-US"/>
              </w:rPr>
              <w:t>Quality Management (ISO 9001)</w:t>
            </w:r>
          </w:p>
          <w:p w:rsidRPr="008E62A2" w:rsidR="00851449" w:rsidP="002A5F78" w:rsidRDefault="00851449" w14:paraId="59721E0C" w14:textId="77777777">
            <w:pPr>
              <w:widowControl w:val="0"/>
              <w:numPr>
                <w:ilvl w:val="0"/>
                <w:numId w:val="36"/>
              </w:numPr>
              <w:rPr>
                <w:rFonts w:eastAsia="Times New Roman" w:cs="Arial"/>
                <w:szCs w:val="22"/>
                <w:lang w:val="en-US"/>
              </w:rPr>
            </w:pPr>
            <w:r w:rsidRPr="008E62A2">
              <w:rPr>
                <w:rFonts w:eastAsia="Times New Roman" w:cs="Arial"/>
                <w:szCs w:val="22"/>
                <w:lang w:val="en-US"/>
              </w:rPr>
              <w:t>Risk Management – Principles and guidelines (ISO 31000)</w:t>
            </w:r>
          </w:p>
          <w:p w:rsidRPr="008E62A2" w:rsidR="00851449" w:rsidP="002A5F78" w:rsidRDefault="00851449" w14:paraId="09F78F93" w14:textId="77777777">
            <w:pPr>
              <w:widowControl w:val="0"/>
              <w:numPr>
                <w:ilvl w:val="0"/>
                <w:numId w:val="36"/>
              </w:numPr>
              <w:rPr>
                <w:rFonts w:eastAsia="Times New Roman" w:cs="Arial"/>
                <w:szCs w:val="22"/>
                <w:lang w:val="en-US"/>
              </w:rPr>
            </w:pPr>
            <w:r w:rsidRPr="008E62A2">
              <w:rPr>
                <w:rFonts w:eastAsia="Times New Roman" w:cs="Arial"/>
                <w:szCs w:val="22"/>
                <w:lang w:val="en-US"/>
              </w:rPr>
              <w:t>Wannon Water Risk Management Framework</w:t>
            </w:r>
          </w:p>
          <w:p w:rsidRPr="002A5F78" w:rsidR="002E22D2" w:rsidP="005A7050" w:rsidRDefault="00851449" w14:paraId="2411418E" w14:textId="30C8BACF">
            <w:pPr>
              <w:pStyle w:val="ListParagraph"/>
              <w:numPr>
                <w:ilvl w:val="0"/>
                <w:numId w:val="36"/>
              </w:numPr>
              <w:spacing w:after="0" w:line="240" w:lineRule="auto"/>
            </w:pPr>
            <w:r w:rsidRPr="00A21CBD">
              <w:rPr>
                <w:rFonts w:eastAsia="Times New Roman"/>
              </w:rPr>
              <w:t xml:space="preserve">Incident </w:t>
            </w:r>
            <w:r w:rsidR="00897D77">
              <w:rPr>
                <w:rFonts w:eastAsia="Times New Roman"/>
              </w:rPr>
              <w:t>Reporting and Response</w:t>
            </w:r>
            <w:r w:rsidRPr="00A21CBD">
              <w:rPr>
                <w:rFonts w:eastAsia="Times New Roman"/>
              </w:rPr>
              <w:t xml:space="preserve"> </w:t>
            </w:r>
            <w:r w:rsidRPr="00A21CBD" w:rsidR="00A21CBD">
              <w:rPr>
                <w:rFonts w:eastAsia="Times New Roman"/>
              </w:rPr>
              <w:t>Procedure</w:t>
            </w:r>
          </w:p>
          <w:p w:rsidRPr="00E50409" w:rsidR="00833C69" w:rsidP="002A5F78" w:rsidRDefault="002E22D2" w14:paraId="27F2F75D" w14:textId="1FB352FF">
            <w:pPr>
              <w:pStyle w:val="ListParagraph"/>
              <w:numPr>
                <w:ilvl w:val="0"/>
                <w:numId w:val="36"/>
              </w:numPr>
              <w:spacing w:after="0" w:line="240" w:lineRule="auto"/>
            </w:pPr>
            <w:r w:rsidRPr="00E50409">
              <w:rPr>
                <w:rFonts w:eastAsia="Times New Roman"/>
              </w:rPr>
              <w:t>Hazard Reporting Procedure</w:t>
            </w:r>
          </w:p>
          <w:p w:rsidRPr="008E62A2" w:rsidR="000B21BB" w:rsidP="002A5F78" w:rsidRDefault="000B21BB" w14:paraId="72B8E448" w14:textId="77777777">
            <w:pPr>
              <w:widowControl w:val="0"/>
              <w:numPr>
                <w:ilvl w:val="0"/>
                <w:numId w:val="36"/>
              </w:numPr>
              <w:rPr>
                <w:rFonts w:eastAsia="Times New Roman" w:cs="Arial"/>
                <w:szCs w:val="22"/>
                <w:lang w:val="en-US"/>
              </w:rPr>
            </w:pPr>
            <w:r w:rsidRPr="008E62A2">
              <w:rPr>
                <w:rFonts w:eastAsia="Times New Roman" w:cs="Arial"/>
                <w:szCs w:val="22"/>
                <w:lang w:val="en-US"/>
              </w:rPr>
              <w:t>Environmental (ISO 14001)</w:t>
            </w:r>
          </w:p>
          <w:p w:rsidRPr="003D3F10" w:rsidR="000B21BB" w:rsidP="002A5F78" w:rsidRDefault="000B21BB" w14:paraId="3A1A8449" w14:textId="77777777">
            <w:pPr>
              <w:pStyle w:val="ListParagraph"/>
              <w:numPr>
                <w:ilvl w:val="0"/>
                <w:numId w:val="36"/>
              </w:numPr>
              <w:spacing w:after="0" w:line="240" w:lineRule="auto"/>
            </w:pPr>
            <w:r w:rsidRPr="008E62A2">
              <w:rPr>
                <w:rFonts w:eastAsia="Times New Roman"/>
              </w:rPr>
              <w:t>Occupational Health and Safety (ISO 45001)</w:t>
            </w:r>
          </w:p>
          <w:p w:rsidR="00C067D7" w:rsidP="003F2F0A" w:rsidRDefault="000B21BB" w14:paraId="065E8CE6" w14:textId="1356229F">
            <w:pPr>
              <w:pStyle w:val="ListParagraph"/>
              <w:numPr>
                <w:ilvl w:val="0"/>
                <w:numId w:val="36"/>
              </w:numPr>
              <w:spacing w:after="0" w:line="240" w:lineRule="auto"/>
            </w:pPr>
            <w:r>
              <w:t>DEECA Incident Notification Protocol and Response Plans</w:t>
            </w:r>
            <w:r w:rsidRPr="003D3F10" w:rsidR="00C067D7">
              <w:rPr>
                <w:rFonts w:eastAsia="Times New Roman"/>
                <w:color w:val="FFFFFF"/>
              </w:rPr>
              <w:t xml:space="preserve"> It is compulsory (the law) for Wannon Water to meet these requirements</w:t>
            </w:r>
          </w:p>
        </w:tc>
      </w:tr>
      <w:tr w:rsidR="000B21BB" w:rsidTr="003F2F0A" w14:paraId="24786BAF" w14:textId="77777777">
        <w:trPr>
          <w:trHeight w:val="3824"/>
        </w:trPr>
        <w:tc>
          <w:tcPr>
            <w:tcW w:w="2992" w:type="dxa"/>
            <w:shd w:val="clear" w:color="auto" w:fill="00B4D0" w:themeFill="accent1"/>
            <w:vAlign w:val="center"/>
          </w:tcPr>
          <w:p w:rsidRPr="00C37220" w:rsidR="00C067D7" w:rsidP="00C067D7" w:rsidRDefault="00C067D7" w14:paraId="3FC85172" w14:textId="77777777">
            <w:pPr>
              <w:rPr>
                <w:b/>
                <w:color w:val="FFFFFF" w:themeColor="background1"/>
              </w:rPr>
            </w:pPr>
            <w:r w:rsidRPr="00C37220">
              <w:rPr>
                <w:b/>
                <w:color w:val="FFFFFF" w:themeColor="background1"/>
              </w:rPr>
              <w:t>Legislation mandating compliance</w:t>
            </w:r>
          </w:p>
        </w:tc>
        <w:tc>
          <w:tcPr>
            <w:tcW w:w="7204" w:type="dxa"/>
          </w:tcPr>
          <w:p w:rsidRPr="008E62A2" w:rsidR="00C067D7" w:rsidP="002A5F78" w:rsidRDefault="00C067D7" w14:paraId="15749C5F" w14:textId="77777777">
            <w:pPr>
              <w:widowControl w:val="0"/>
              <w:numPr>
                <w:ilvl w:val="0"/>
                <w:numId w:val="36"/>
              </w:numPr>
              <w:rPr>
                <w:rFonts w:eastAsia="Times New Roman" w:cs="Arial"/>
                <w:szCs w:val="22"/>
                <w:lang w:val="en-US"/>
              </w:rPr>
            </w:pPr>
            <w:r w:rsidRPr="008E62A2">
              <w:rPr>
                <w:rFonts w:eastAsia="Times New Roman" w:cs="Arial"/>
                <w:szCs w:val="22"/>
                <w:lang w:val="en-US"/>
              </w:rPr>
              <w:t>Water Act 1989</w:t>
            </w:r>
          </w:p>
          <w:p w:rsidRPr="008E62A2" w:rsidR="00C067D7" w:rsidP="002A5F78" w:rsidRDefault="00C067D7" w14:paraId="359FAEF2" w14:textId="77777777">
            <w:pPr>
              <w:widowControl w:val="0"/>
              <w:numPr>
                <w:ilvl w:val="0"/>
                <w:numId w:val="36"/>
              </w:numPr>
              <w:rPr>
                <w:rFonts w:eastAsia="Times New Roman" w:cs="Arial"/>
                <w:szCs w:val="22"/>
                <w:lang w:val="en-US"/>
              </w:rPr>
            </w:pPr>
            <w:r w:rsidRPr="008E62A2">
              <w:rPr>
                <w:rFonts w:eastAsia="Times New Roman" w:cs="Arial"/>
                <w:szCs w:val="22"/>
                <w:lang w:val="en-US"/>
              </w:rPr>
              <w:t>Dangerous Goods (Storage and Handling) Regulations 2015</w:t>
            </w:r>
          </w:p>
          <w:p w:rsidRPr="008E62A2" w:rsidR="00C067D7" w:rsidP="002A5F78" w:rsidRDefault="00C067D7" w14:paraId="4A0749DD" w14:textId="77777777">
            <w:pPr>
              <w:widowControl w:val="0"/>
              <w:numPr>
                <w:ilvl w:val="0"/>
                <w:numId w:val="36"/>
              </w:numPr>
              <w:rPr>
                <w:rFonts w:eastAsia="Times New Roman" w:cs="Arial"/>
                <w:szCs w:val="22"/>
                <w:lang w:val="en-US"/>
              </w:rPr>
            </w:pPr>
            <w:r w:rsidRPr="008E62A2">
              <w:rPr>
                <w:rFonts w:eastAsia="Times New Roman" w:cs="Arial"/>
                <w:szCs w:val="22"/>
                <w:lang w:val="en-US"/>
              </w:rPr>
              <w:t>Emergency Management Act 1986 and Emergency Management Act 2013</w:t>
            </w:r>
          </w:p>
          <w:p w:rsidRPr="008E62A2" w:rsidR="00C067D7" w:rsidP="002A5F78" w:rsidRDefault="00C067D7" w14:paraId="14A975DC" w14:textId="77777777">
            <w:pPr>
              <w:widowControl w:val="0"/>
              <w:numPr>
                <w:ilvl w:val="0"/>
                <w:numId w:val="36"/>
              </w:numPr>
              <w:rPr>
                <w:rFonts w:eastAsia="Times New Roman" w:cs="Arial"/>
                <w:szCs w:val="22"/>
                <w:lang w:val="en-US"/>
              </w:rPr>
            </w:pPr>
            <w:r w:rsidRPr="008E62A2">
              <w:rPr>
                <w:rFonts w:eastAsia="Times New Roman" w:cs="Arial"/>
                <w:szCs w:val="22"/>
                <w:lang w:val="en-US"/>
              </w:rPr>
              <w:t>Environment Protection Act 1970 and 2017</w:t>
            </w:r>
          </w:p>
          <w:p w:rsidRPr="008E62A2" w:rsidR="00C067D7" w:rsidP="002A5F78" w:rsidRDefault="00C067D7" w14:paraId="441B32D7" w14:textId="77777777">
            <w:pPr>
              <w:widowControl w:val="0"/>
              <w:numPr>
                <w:ilvl w:val="0"/>
                <w:numId w:val="36"/>
              </w:numPr>
              <w:rPr>
                <w:rFonts w:eastAsia="Times New Roman" w:cs="Arial"/>
                <w:szCs w:val="22"/>
                <w:lang w:val="en-US"/>
              </w:rPr>
            </w:pPr>
            <w:r w:rsidRPr="008E62A2">
              <w:rPr>
                <w:rFonts w:eastAsia="Times New Roman" w:cs="Arial"/>
                <w:szCs w:val="22"/>
                <w:lang w:val="en-US"/>
              </w:rPr>
              <w:t>Occupational Health and Safety Act 2004</w:t>
            </w:r>
          </w:p>
          <w:p w:rsidRPr="008E62A2" w:rsidR="00C067D7" w:rsidP="002A5F78" w:rsidRDefault="00C067D7" w14:paraId="627A4B9A" w14:textId="77777777">
            <w:pPr>
              <w:widowControl w:val="0"/>
              <w:numPr>
                <w:ilvl w:val="0"/>
                <w:numId w:val="36"/>
              </w:numPr>
              <w:rPr>
                <w:rFonts w:eastAsia="Times New Roman" w:cs="Arial"/>
                <w:szCs w:val="22"/>
                <w:lang w:val="en-US"/>
              </w:rPr>
            </w:pPr>
            <w:r w:rsidRPr="008E62A2">
              <w:rPr>
                <w:rFonts w:eastAsia="Times New Roman" w:cs="Arial"/>
                <w:szCs w:val="22"/>
                <w:lang w:val="en-US"/>
              </w:rPr>
              <w:t>Occupational Health and Safety Regulations 2017</w:t>
            </w:r>
          </w:p>
          <w:p w:rsidRPr="008E62A2" w:rsidR="00C067D7" w:rsidP="002A5F78" w:rsidRDefault="00C067D7" w14:paraId="08B3498F" w14:textId="77777777">
            <w:pPr>
              <w:widowControl w:val="0"/>
              <w:numPr>
                <w:ilvl w:val="0"/>
                <w:numId w:val="36"/>
              </w:numPr>
              <w:rPr>
                <w:rFonts w:eastAsia="Times New Roman" w:cs="Arial"/>
                <w:szCs w:val="22"/>
                <w:lang w:val="en-US"/>
              </w:rPr>
            </w:pPr>
            <w:r w:rsidRPr="008E62A2">
              <w:rPr>
                <w:rFonts w:eastAsia="Times New Roman" w:cs="Arial"/>
                <w:iCs/>
                <w:szCs w:val="22"/>
                <w:lang w:val="en-US"/>
              </w:rPr>
              <w:t xml:space="preserve">Safe Drinking Water Act 2003 </w:t>
            </w:r>
          </w:p>
          <w:p w:rsidRPr="008E62A2" w:rsidR="00C067D7" w:rsidP="002A5F78" w:rsidRDefault="00C067D7" w14:paraId="6119BB07" w14:textId="77777777">
            <w:pPr>
              <w:widowControl w:val="0"/>
              <w:numPr>
                <w:ilvl w:val="0"/>
                <w:numId w:val="36"/>
              </w:numPr>
              <w:rPr>
                <w:rFonts w:eastAsia="Times New Roman" w:cs="Arial"/>
                <w:szCs w:val="22"/>
                <w:lang w:val="en-US"/>
              </w:rPr>
            </w:pPr>
            <w:r w:rsidRPr="008E62A2">
              <w:rPr>
                <w:rFonts w:eastAsia="Times New Roman" w:cs="Arial"/>
                <w:iCs/>
                <w:szCs w:val="22"/>
                <w:lang w:val="en-US"/>
              </w:rPr>
              <w:t>Safe Drinking Water Regulations 2015</w:t>
            </w:r>
          </w:p>
          <w:p w:rsidRPr="008E62A2" w:rsidR="00C067D7" w:rsidP="002A5F78" w:rsidRDefault="00C067D7" w14:paraId="3328F1B5" w14:textId="77777777">
            <w:pPr>
              <w:widowControl w:val="0"/>
              <w:numPr>
                <w:ilvl w:val="0"/>
                <w:numId w:val="36"/>
              </w:numPr>
              <w:rPr>
                <w:rFonts w:eastAsia="Times New Roman" w:cs="Arial"/>
                <w:szCs w:val="22"/>
                <w:lang w:val="en-US"/>
              </w:rPr>
            </w:pPr>
            <w:r w:rsidRPr="008E62A2">
              <w:rPr>
                <w:rFonts w:eastAsia="Times New Roman" w:cs="Arial"/>
                <w:szCs w:val="22"/>
                <w:lang w:val="en-US"/>
              </w:rPr>
              <w:t>Department of Treasury and Finance Ministerial Directions</w:t>
            </w:r>
          </w:p>
          <w:p w:rsidRPr="000357D1" w:rsidR="00C067D7" w:rsidP="002A5F78" w:rsidRDefault="00C067D7" w14:paraId="0506EF22" w14:textId="77777777">
            <w:pPr>
              <w:pStyle w:val="ListParagraph"/>
              <w:numPr>
                <w:ilvl w:val="0"/>
                <w:numId w:val="36"/>
              </w:numPr>
              <w:spacing w:after="0" w:line="240" w:lineRule="auto"/>
            </w:pPr>
            <w:r w:rsidRPr="00A514E2">
              <w:rPr>
                <w:rFonts w:eastAsia="Times New Roman"/>
              </w:rPr>
              <w:t>Statement of Obligations (SoO) 2015 (DEECA)</w:t>
            </w:r>
          </w:p>
          <w:p w:rsidRPr="008E62A2" w:rsidR="000B21BB" w:rsidP="002A5F78" w:rsidRDefault="000B21BB" w14:paraId="6E0F4B2A" w14:textId="34357599">
            <w:pPr>
              <w:widowControl w:val="0"/>
              <w:numPr>
                <w:ilvl w:val="0"/>
                <w:numId w:val="36"/>
              </w:numPr>
              <w:rPr>
                <w:rFonts w:eastAsia="Times New Roman" w:cs="Arial"/>
                <w:szCs w:val="22"/>
                <w:lang w:val="en-US"/>
              </w:rPr>
            </w:pPr>
            <w:r w:rsidRPr="008E62A2">
              <w:rPr>
                <w:rFonts w:eastAsia="Times New Roman" w:cs="Arial"/>
                <w:szCs w:val="22"/>
                <w:lang w:val="en-US"/>
              </w:rPr>
              <w:t>ANCOLD Guidelines</w:t>
            </w:r>
          </w:p>
          <w:p w:rsidRPr="00881580" w:rsidR="00881580" w:rsidP="00881580" w:rsidRDefault="000B21BB" w14:paraId="648EE90A" w14:textId="7BC2EA1C">
            <w:pPr>
              <w:widowControl w:val="0"/>
              <w:numPr>
                <w:ilvl w:val="0"/>
                <w:numId w:val="36"/>
              </w:numPr>
              <w:rPr>
                <w:rFonts w:eastAsia="Times New Roman" w:cs="Arial"/>
                <w:szCs w:val="22"/>
                <w:lang w:val="en-US"/>
              </w:rPr>
            </w:pPr>
            <w:r w:rsidRPr="008E62A2">
              <w:rPr>
                <w:rFonts w:eastAsia="Times New Roman" w:cs="Arial"/>
                <w:szCs w:val="22"/>
                <w:lang w:val="en-US"/>
              </w:rPr>
              <w:t>Australian Drinking Water Guidelines</w:t>
            </w:r>
          </w:p>
          <w:p w:rsidR="000B21BB" w:rsidP="003F2F0A" w:rsidRDefault="000B21BB" w14:paraId="086BA3D2" w14:textId="1DB29F7D">
            <w:pPr>
              <w:widowControl w:val="0"/>
              <w:numPr>
                <w:ilvl w:val="0"/>
                <w:numId w:val="36"/>
              </w:numPr>
            </w:pPr>
            <w:r w:rsidRPr="008E62A2">
              <w:rPr>
                <w:rFonts w:eastAsia="Times New Roman" w:cs="Arial"/>
                <w:szCs w:val="22"/>
                <w:lang w:val="en-US"/>
              </w:rPr>
              <w:t>HACCP based Drinking Water (Codex Alimentarius Alinorm 97/13A)</w:t>
            </w:r>
          </w:p>
        </w:tc>
      </w:tr>
      <w:tr w:rsidR="000B21BB" w:rsidTr="000B21BB" w14:paraId="1822FAF5" w14:textId="77777777">
        <w:trPr>
          <w:trHeight w:val="567"/>
        </w:trPr>
        <w:tc>
          <w:tcPr>
            <w:tcW w:w="2992" w:type="dxa"/>
            <w:shd w:val="clear" w:color="auto" w:fill="00B4D0" w:themeFill="accent1"/>
            <w:vAlign w:val="center"/>
          </w:tcPr>
          <w:p w:rsidRPr="00C37220" w:rsidR="00F44966" w:rsidP="00F44966" w:rsidRDefault="00F44966" w14:paraId="28942556" w14:textId="77777777">
            <w:pPr>
              <w:rPr>
                <w:b/>
                <w:color w:val="FFFFFF" w:themeColor="background1"/>
              </w:rPr>
            </w:pPr>
            <w:r w:rsidRPr="00C37220">
              <w:rPr>
                <w:b/>
                <w:color w:val="FFFFFF" w:themeColor="background1"/>
              </w:rPr>
              <w:t>Approval</w:t>
            </w:r>
          </w:p>
        </w:tc>
        <w:tc>
          <w:tcPr>
            <w:tcW w:w="7204" w:type="dxa"/>
            <w:vAlign w:val="center"/>
          </w:tcPr>
          <w:p w:rsidR="00F44966" w:rsidP="00F44966" w:rsidRDefault="00F44966" w14:paraId="566913A1" w14:textId="5B1D822A">
            <w:r>
              <w:t xml:space="preserve">Executive Committee </w:t>
            </w:r>
          </w:p>
        </w:tc>
      </w:tr>
      <w:tr w:rsidR="000B21BB" w:rsidTr="000B21BB" w14:paraId="1F146797" w14:textId="77777777">
        <w:trPr>
          <w:trHeight w:val="397"/>
        </w:trPr>
        <w:tc>
          <w:tcPr>
            <w:tcW w:w="2992" w:type="dxa"/>
            <w:shd w:val="clear" w:color="auto" w:fill="00B4D0" w:themeFill="accent1"/>
            <w:vAlign w:val="center"/>
          </w:tcPr>
          <w:p w:rsidRPr="00C37220" w:rsidR="00F44966" w:rsidP="00F44966" w:rsidRDefault="00F44966" w14:paraId="110238F6" w14:textId="7DDC30E7">
            <w:pPr>
              <w:rPr>
                <w:b/>
                <w:color w:val="FFFFFF" w:themeColor="background1"/>
              </w:rPr>
            </w:pPr>
            <w:r w:rsidRPr="00C37220">
              <w:rPr>
                <w:b/>
                <w:bCs/>
                <w:color w:val="FFFFFF" w:themeColor="background1"/>
              </w:rPr>
              <w:t xml:space="preserve">Owner </w:t>
            </w:r>
          </w:p>
        </w:tc>
        <w:tc>
          <w:tcPr>
            <w:tcW w:w="7204" w:type="dxa"/>
            <w:vAlign w:val="center"/>
          </w:tcPr>
          <w:p w:rsidR="00F44966" w:rsidP="00F44966" w:rsidRDefault="00281565" w14:paraId="1D4FF270" w14:textId="689D42E5">
            <w:r>
              <w:t>GM</w:t>
            </w:r>
            <w:r w:rsidR="00F44966">
              <w:t xml:space="preserve"> People &amp; Business Services </w:t>
            </w:r>
          </w:p>
        </w:tc>
      </w:tr>
      <w:tr w:rsidR="000B21BB" w:rsidTr="000B21BB" w14:paraId="762F655B" w14:textId="77777777">
        <w:trPr>
          <w:trHeight w:val="397"/>
        </w:trPr>
        <w:tc>
          <w:tcPr>
            <w:tcW w:w="2992" w:type="dxa"/>
            <w:shd w:val="clear" w:color="auto" w:fill="00B4D0" w:themeFill="accent1"/>
            <w:vAlign w:val="center"/>
          </w:tcPr>
          <w:p w:rsidRPr="00C37220" w:rsidR="00F44966" w:rsidP="00F44966" w:rsidRDefault="00F44966" w14:paraId="6CD6C878" w14:textId="77777777">
            <w:pPr>
              <w:rPr>
                <w:b/>
                <w:color w:val="FFFFFF" w:themeColor="background1"/>
              </w:rPr>
            </w:pPr>
            <w:r w:rsidRPr="00C37220">
              <w:rPr>
                <w:b/>
                <w:color w:val="FFFFFF" w:themeColor="background1"/>
              </w:rPr>
              <w:t>Content enquiries</w:t>
            </w:r>
          </w:p>
        </w:tc>
        <w:tc>
          <w:tcPr>
            <w:tcW w:w="7204" w:type="dxa"/>
            <w:vAlign w:val="center"/>
          </w:tcPr>
          <w:p w:rsidR="00F44966" w:rsidP="00F44966" w:rsidRDefault="00F44966" w14:paraId="1868591D" w14:textId="4A0BCC8E">
            <w:r>
              <w:t>Emergency Management &amp; Resilience Officer</w:t>
            </w:r>
          </w:p>
        </w:tc>
      </w:tr>
    </w:tbl>
    <w:p w:rsidR="00C560DF" w:rsidP="00606797" w:rsidRDefault="00C560DF" w14:paraId="13503A44" w14:textId="77777777">
      <w:bookmarkStart w:name="_Toc4408111" w:id="5"/>
    </w:p>
    <w:p w:rsidR="00C560DF" w:rsidP="00C560DF" w:rsidRDefault="00C560DF" w14:paraId="01A7A46C" w14:textId="77777777">
      <w:pPr>
        <w:pStyle w:val="Heading1"/>
      </w:pPr>
      <w:r>
        <w:t>Document version history</w:t>
      </w:r>
      <w:bookmarkEnd w:id="5"/>
    </w:p>
    <w:tbl>
      <w:tblPr>
        <w:tblStyle w:val="Versionhistorytable"/>
        <w:tblW w:w="10201" w:type="dxa"/>
        <w:tblLook w:val="04A0" w:firstRow="1" w:lastRow="0" w:firstColumn="1" w:lastColumn="0" w:noHBand="0" w:noVBand="1"/>
      </w:tblPr>
      <w:tblGrid>
        <w:gridCol w:w="1129"/>
        <w:gridCol w:w="9072"/>
      </w:tblGrid>
      <w:tr w:rsidRPr="00747129" w:rsidR="00BB714F" w:rsidTr="00A93636" w14:paraId="2E98C6C6"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4"/>
          <w:p w:rsidRPr="00747129" w:rsidR="00BB714F" w:rsidRDefault="00BB714F" w14:paraId="4818014F"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BB714F" w:rsidRDefault="00BB714F" w14:paraId="5BF70572"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0357D1" w:rsidTr="00A93636" w14:paraId="35DE0683" w14:textId="77777777">
        <w:trPr>
          <w:trHeight w:val="420"/>
        </w:trPr>
        <w:tc>
          <w:tcPr>
            <w:tcW w:w="1129" w:type="dxa"/>
            <w:hideMark/>
          </w:tcPr>
          <w:p w:rsidRPr="000C5B31" w:rsidR="000357D1" w:rsidP="002A5F78" w:rsidRDefault="000357D1" w14:paraId="360E6409" w14:textId="7E2D5BAF">
            <w:pPr>
              <w:jc w:val="center"/>
              <w:textAlignment w:val="baseline"/>
              <w:rPr>
                <w:rFonts w:eastAsia="Times New Roman" w:cs="Arial"/>
                <w:lang w:eastAsia="en-AU"/>
              </w:rPr>
            </w:pPr>
            <w:r>
              <w:rPr>
                <w:rFonts w:eastAsia="Times New Roman" w:cs="Arial"/>
                <w:lang w:eastAsia="en-AU"/>
              </w:rPr>
              <w:t>1</w:t>
            </w:r>
          </w:p>
        </w:tc>
        <w:tc>
          <w:tcPr>
            <w:tcW w:w="9072" w:type="dxa"/>
            <w:hideMark/>
          </w:tcPr>
          <w:p w:rsidRPr="000C5B31" w:rsidR="000357D1" w:rsidP="000357D1" w:rsidRDefault="000357D1" w14:paraId="61207965" w14:textId="59D5DDCB">
            <w:pPr>
              <w:textAlignment w:val="baseline"/>
              <w:rPr>
                <w:rFonts w:eastAsia="Times New Roman" w:cs="Arial"/>
                <w:lang w:eastAsia="en-AU"/>
              </w:rPr>
            </w:pPr>
            <w:r w:rsidRPr="006263F1">
              <w:t>New document created as part of the new IMS Standard Framework</w:t>
            </w:r>
          </w:p>
        </w:tc>
      </w:tr>
    </w:tbl>
    <w:p w:rsidRPr="00077D78" w:rsidR="004456C1" w:rsidP="00881580" w:rsidRDefault="00077D78" w14:paraId="5446FA66" w14:textId="5AACD436">
      <w:pPr>
        <w:rPr>
          <w:lang w:val="en-US"/>
        </w:rPr>
      </w:pPr>
      <w:r>
        <w:rPr>
          <w:lang w:val="en-US"/>
        </w:rPr>
        <w:t xml:space="preserve"> </w:t>
      </w:r>
    </w:p>
    <w:sectPr w:rsidRPr="00077D78" w:rsidR="004456C1" w:rsidSect="00FD4F90">
      <w:headerReference w:type="even" r:id="rId13"/>
      <w:headerReference w:type="default" r:id="rId14"/>
      <w:footerReference w:type="even" r:id="rId15"/>
      <w:footerReference w:type="default" r:id="rId16"/>
      <w:headerReference w:type="first" r:id="rId17"/>
      <w:footerReference w:type="first" r:id="rId18"/>
      <w:pgSz w:w="11906" w:h="16838" w:code="9"/>
      <w:pgMar w:top="923" w:right="849" w:bottom="1134"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A22DE" w14:textId="77777777" w:rsidR="00F53E13" w:rsidRDefault="00F53E13" w:rsidP="009E4B83">
      <w:r>
        <w:separator/>
      </w:r>
    </w:p>
    <w:p w14:paraId="28187EA2" w14:textId="77777777" w:rsidR="00F53E13" w:rsidRDefault="00F53E13"/>
  </w:endnote>
  <w:endnote w:type="continuationSeparator" w:id="0">
    <w:p w14:paraId="0AD05B0E" w14:textId="77777777" w:rsidR="00F53E13" w:rsidRDefault="00F53E13" w:rsidP="009E4B83">
      <w:r>
        <w:continuationSeparator/>
      </w:r>
    </w:p>
    <w:p w14:paraId="7641EEAA" w14:textId="77777777" w:rsidR="00F53E13" w:rsidRDefault="00F53E13"/>
  </w:endnote>
  <w:endnote w:type="continuationNotice" w:id="1">
    <w:p w14:paraId="4736BB21" w14:textId="77777777" w:rsidR="00F53E13" w:rsidRDefault="00F53E13"/>
    <w:p w14:paraId="19B5C8FE" w14:textId="77777777" w:rsidR="00F53E13" w:rsidRDefault="00F53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4594" w:rsidRDefault="00FB4594" w14:paraId="58D1F61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44E1208B">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Content>
              <w:r w:rsidRPr="00426F69">
                <w:rPr>
                  <w:b/>
                  <w:sz w:val="12"/>
                  <w:szCs w:val="12"/>
                </w:rPr>
                <w:t>Emergency Management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Content>
              <w:r w:rsidRPr="00426F69">
                <w:rPr>
                  <w:b/>
                  <w:sz w:val="12"/>
                  <w:szCs w:val="12"/>
                </w:rPr>
                <w:t>1</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Content>
              <w:r w:rsidRPr="009B40F4">
                <w:rPr>
                  <w:sz w:val="12"/>
                  <w:szCs w:val="12"/>
                </w:rPr>
                <w:t>Emergency Management &amp; Resilience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Content>
              <w:r w:rsidRPr="009B40F4">
                <w:rPr>
                  <w:sz w:val="12"/>
                  <w:szCs w:val="12"/>
                </w:rPr>
                <w:t>02/07/2024</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Content>
              <w:r w:rsidRPr="009B40F4">
                <w:rPr>
                  <w:sz w:val="12"/>
                  <w:szCs w:val="12"/>
                </w:rPr>
                <w:t>02/07/2029</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4594" w:rsidRDefault="00FB4594" w14:paraId="45252C4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60996" w14:textId="77777777" w:rsidR="00F53E13" w:rsidRDefault="00F53E13" w:rsidP="009E4B83">
      <w:r>
        <w:separator/>
      </w:r>
    </w:p>
    <w:p w14:paraId="20FA8BFF" w14:textId="77777777" w:rsidR="00F53E13" w:rsidRDefault="00F53E13"/>
  </w:footnote>
  <w:footnote w:type="continuationSeparator" w:id="0">
    <w:p w14:paraId="20401114" w14:textId="77777777" w:rsidR="00F53E13" w:rsidRDefault="00F53E13" w:rsidP="009E4B83">
      <w:r>
        <w:continuationSeparator/>
      </w:r>
    </w:p>
    <w:p w14:paraId="54DBDE2B" w14:textId="77777777" w:rsidR="00F53E13" w:rsidRDefault="00F53E13"/>
  </w:footnote>
  <w:footnote w:type="continuationNotice" w:id="1">
    <w:p w14:paraId="63A1CF59" w14:textId="77777777" w:rsidR="00F53E13" w:rsidRDefault="00F53E13"/>
    <w:p w14:paraId="519C760D" w14:textId="77777777" w:rsidR="00F53E13" w:rsidRDefault="00F53E13"/>
  </w:footnote>
  <w:footnote w:id="2">
    <w:p w14:paraId="6B2EBBBF" w14:textId="16D000E1" w:rsidR="00026085" w:rsidRPr="003D3F10" w:rsidRDefault="00026085">
      <w:pPr>
        <w:pStyle w:val="FootnoteText"/>
        <w:rPr>
          <w:lang w:val="en-US"/>
        </w:rPr>
      </w:pPr>
      <w:r>
        <w:rPr>
          <w:rStyle w:val="FootnoteReference"/>
        </w:rPr>
        <w:footnoteRef/>
      </w:r>
      <w:r>
        <w:t xml:space="preserve"> </w:t>
      </w:r>
      <w:r w:rsidR="003C1321" w:rsidRPr="003C1321">
        <w:t>Based on the activity, certain requirements in the Standard may apply. It is the Engaging Officer/supervising person’s responsibility to identify those applicable. Refer to Content Enquires for any assistance with interpretation.</w:t>
      </w:r>
    </w:p>
  </w:footnote>
  <w:footnote w:id="3">
    <w:p w14:paraId="5339703B" w14:textId="77777777" w:rsidR="00053D82" w:rsidRPr="002A5F78" w:rsidRDefault="00053D82">
      <w:pPr>
        <w:pStyle w:val="FootnoteText"/>
        <w:rPr>
          <w:lang w:val="en-US"/>
        </w:rPr>
      </w:pPr>
      <w:r>
        <w:rPr>
          <w:rStyle w:val="FootnoteReference"/>
        </w:rPr>
        <w:footnoteRef/>
      </w:r>
      <w:r>
        <w:t xml:space="preserve"> </w:t>
      </w:r>
      <w:r w:rsidRPr="00A759F4">
        <w:rPr>
          <w:lang w:val="en-US"/>
        </w:rPr>
        <w:t xml:space="preserve">The nominated </w:t>
      </w:r>
      <w:r>
        <w:rPr>
          <w:lang w:val="en-US"/>
        </w:rPr>
        <w:t>person</w:t>
      </w:r>
      <w:r w:rsidRPr="00A759F4">
        <w:rPr>
          <w:lang w:val="en-US"/>
        </w:rPr>
        <w:t xml:space="preserve"> who is responsible for ensuring there is the </w:t>
      </w:r>
      <w:r w:rsidRPr="00211C55">
        <w:rPr>
          <w:lang w:val="en-US"/>
        </w:rPr>
        <w:t>system</w:t>
      </w:r>
      <w:r w:rsidRPr="00A759F4">
        <w:rPr>
          <w:lang w:val="en-US"/>
        </w:rPr>
        <w:t xml:space="preserve"> in place </w:t>
      </w:r>
      <w:r>
        <w:rPr>
          <w:lang w:val="en-US"/>
        </w:rPr>
        <w:t xml:space="preserve">to meet a requirement or delivering a </w:t>
      </w:r>
      <w:r w:rsidRPr="00211C55">
        <w:rPr>
          <w:lang w:val="en-US"/>
        </w:rPr>
        <w:t>task</w:t>
      </w:r>
      <w:r>
        <w:rPr>
          <w:lang w:val="en-US"/>
        </w:rPr>
        <w:t xml:space="preserve"> to an acceptable level of performance. </w:t>
      </w:r>
      <w:r w:rsidRPr="00A759F4">
        <w:rPr>
          <w:lang w:val="en-US"/>
        </w:rPr>
        <w:t xml:space="preserve"> </w:t>
      </w:r>
    </w:p>
  </w:footnote>
  <w:footnote w:id="4">
    <w:p w14:paraId="7B26FF2A" w14:textId="77777777" w:rsidR="00053D82" w:rsidRPr="006E454D" w:rsidRDefault="00053D82">
      <w:pPr>
        <w:pStyle w:val="FootnoteText"/>
        <w:rPr>
          <w:lang w:val="en-US"/>
        </w:rPr>
      </w:pPr>
      <w:r>
        <w:rPr>
          <w:rStyle w:val="FootnoteReference"/>
        </w:rPr>
        <w:footnoteRef/>
      </w:r>
      <w:r>
        <w:t xml:space="preserve"> </w:t>
      </w:r>
      <w:r w:rsidRPr="00775363">
        <w:t xml:space="preserve">The Executive are collectively accountable for the standard. The individual GM is the nominated </w:t>
      </w:r>
      <w:r>
        <w:t>person</w:t>
      </w:r>
      <w:r w:rsidRPr="00775363">
        <w:t xml:space="preserve"> who will approve any capital/operating expense requests</w:t>
      </w:r>
      <w:r>
        <w:t xml:space="preserve"> (within the Instrument of Delegation)</w:t>
      </w:r>
      <w:r w:rsidRPr="00775363">
        <w:t xml:space="preserve"> and any material changes to current work practices to meet requirements of the standard.  </w:t>
      </w:r>
    </w:p>
  </w:footnote>
  <w:footnote w:id="5">
    <w:p w14:paraId="52623F5B" w14:textId="70FC3EFA" w:rsidR="00F44CC0" w:rsidRPr="002A5F78" w:rsidRDefault="00F44CC0">
      <w:pPr>
        <w:pStyle w:val="FootnoteText"/>
        <w:rPr>
          <w:lang w:val="en-US"/>
        </w:rPr>
      </w:pPr>
      <w:r>
        <w:rPr>
          <w:rStyle w:val="FootnoteReference"/>
        </w:rPr>
        <w:footnoteRef/>
      </w:r>
      <w:r>
        <w:t xml:space="preserve"> </w:t>
      </w:r>
      <w:r w:rsidRPr="00A759F4">
        <w:rPr>
          <w:lang w:val="en-US"/>
        </w:rPr>
        <w:t xml:space="preserve">The nominated </w:t>
      </w:r>
      <w:r>
        <w:rPr>
          <w:lang w:val="en-US"/>
        </w:rPr>
        <w:t>person</w:t>
      </w:r>
      <w:r w:rsidRPr="00A759F4">
        <w:rPr>
          <w:lang w:val="en-US"/>
        </w:rPr>
        <w:t xml:space="preserve"> who is responsible for ensuring there is the </w:t>
      </w:r>
      <w:r w:rsidRPr="00211C55">
        <w:rPr>
          <w:lang w:val="en-US"/>
        </w:rPr>
        <w:t>system</w:t>
      </w:r>
      <w:r w:rsidRPr="00A759F4">
        <w:rPr>
          <w:lang w:val="en-US"/>
        </w:rPr>
        <w:t xml:space="preserve"> in place </w:t>
      </w:r>
      <w:r>
        <w:rPr>
          <w:lang w:val="en-US"/>
        </w:rPr>
        <w:t xml:space="preserve">to meet a requirement or delivering a </w:t>
      </w:r>
      <w:r w:rsidRPr="00211C55">
        <w:rPr>
          <w:lang w:val="en-US"/>
        </w:rPr>
        <w:t>task</w:t>
      </w:r>
      <w:r>
        <w:rPr>
          <w:lang w:val="en-US"/>
        </w:rPr>
        <w:t xml:space="preserve"> to an acceptable level of performance. </w:t>
      </w:r>
      <w:r w:rsidRPr="00A759F4">
        <w:rPr>
          <w:lang w:val="en-US"/>
        </w:rPr>
        <w:t xml:space="preserve"> </w:t>
      </w:r>
    </w:p>
  </w:footnote>
  <w:footnote w:id="6">
    <w:p w14:paraId="2DF20FE6" w14:textId="6F9EBE4F" w:rsidR="00F44CC0" w:rsidRPr="006E454D" w:rsidRDefault="00F44CC0">
      <w:pPr>
        <w:pStyle w:val="FootnoteText"/>
        <w:rPr>
          <w:lang w:val="en-US"/>
        </w:rPr>
      </w:pPr>
      <w:r>
        <w:rPr>
          <w:rStyle w:val="FootnoteReference"/>
        </w:rPr>
        <w:footnoteRef/>
      </w:r>
      <w:r>
        <w:t xml:space="preserve"> </w:t>
      </w:r>
      <w:r w:rsidRPr="00775363">
        <w:t xml:space="preserve">The Executive are collectively accountable for the standard. The individual GM is the nominated </w:t>
      </w:r>
      <w:r>
        <w:t>person</w:t>
      </w:r>
      <w:r w:rsidRPr="00775363">
        <w:t xml:space="preserve"> who will approve any capital/operating expense requests</w:t>
      </w:r>
      <w:r>
        <w:t xml:space="preserve"> (within the Instrument of Delegation)</w:t>
      </w:r>
      <w:r w:rsidRPr="00775363">
        <w:t xml:space="preserve"> and any material changes to current work practices to meet requirements of the standard.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4594" w:rsidRDefault="00FB4594" w14:paraId="714E729E"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F65DB" w:rsidR="00B646D5" w:rsidP="00B646D5" w:rsidRDefault="00B646D5" w14:paraId="75A9FBE8" w14:textId="378115F6">
    <w:pPr>
      <w:pStyle w:val="Title"/>
    </w:pPr>
    <w:r w:rsidRPr="00DF65DB">
      <w:rPr>
        <w:noProof/>
        <w:sz w:val="48"/>
        <w:szCs w:val="20"/>
      </w:rPr>
      <mc:AlternateContent>
        <mc:Choice Requires="wpg">
          <w:drawing>
            <wp:anchor distT="0" distB="0" distL="114300" distR="114300" simplePos="0" relativeHeight="251657728"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v:group id="Group 1" style="position:absolute;margin-left:425.25pt;margin-top:-22.75pt;width:124.55pt;height:90.5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286E92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250979" w14:paraId="1531E327" w14:textId="58EE1775">
    <w:pPr>
      <w:pStyle w:val="Title"/>
      <w:rPr>
        <w:sz w:val="20"/>
        <w:szCs w:val="20"/>
      </w:rPr>
    </w:pPr>
    <w:r>
      <w:t>Emergency Management</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6704"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4594" w:rsidRDefault="00FB4594" w14:paraId="21141C2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1DB90A95"/>
    <w:multiLevelType w:val="hybridMultilevel"/>
    <w:tmpl w:val="625A8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3" w15:restartNumberingAfterBreak="0">
    <w:nsid w:val="1FA0059C"/>
    <w:multiLevelType w:val="hybridMultilevel"/>
    <w:tmpl w:val="E022F8F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5" w15:restartNumberingAfterBreak="0">
    <w:nsid w:val="2AEA1AFD"/>
    <w:multiLevelType w:val="hybridMultilevel"/>
    <w:tmpl w:val="1918E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3ADA7F17"/>
    <w:multiLevelType w:val="hybridMultilevel"/>
    <w:tmpl w:val="F5D22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DE0240"/>
    <w:multiLevelType w:val="hybridMultilevel"/>
    <w:tmpl w:val="ADFACE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CA65F43"/>
    <w:multiLevelType w:val="hybridMultilevel"/>
    <w:tmpl w:val="C11C0B1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EC64C8"/>
    <w:multiLevelType w:val="hybridMultilevel"/>
    <w:tmpl w:val="1898F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7C757B"/>
    <w:multiLevelType w:val="hybridMultilevel"/>
    <w:tmpl w:val="81308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40357A"/>
    <w:multiLevelType w:val="hybridMultilevel"/>
    <w:tmpl w:val="E370E2F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4" w15:restartNumberingAfterBreak="0">
    <w:nsid w:val="4FEB40FA"/>
    <w:multiLevelType w:val="hybridMultilevel"/>
    <w:tmpl w:val="F02C5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24274E8"/>
    <w:multiLevelType w:val="hybridMultilevel"/>
    <w:tmpl w:val="76E0DD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40C291A"/>
    <w:multiLevelType w:val="hybridMultilevel"/>
    <w:tmpl w:val="FE1AF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8"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9" w15:restartNumberingAfterBreak="0">
    <w:nsid w:val="6E0D455D"/>
    <w:multiLevelType w:val="hybridMultilevel"/>
    <w:tmpl w:val="A44EC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6DF28EA"/>
    <w:multiLevelType w:val="hybridMultilevel"/>
    <w:tmpl w:val="DE589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84863728">
    <w:abstractNumId w:val="6"/>
  </w:num>
  <w:num w:numId="2" w16cid:durableId="703755871">
    <w:abstractNumId w:val="11"/>
  </w:num>
  <w:num w:numId="3" w16cid:durableId="1109472893">
    <w:abstractNumId w:val="22"/>
  </w:num>
  <w:num w:numId="4" w16cid:durableId="1262686420">
    <w:abstractNumId w:val="18"/>
  </w:num>
  <w:num w:numId="5" w16cid:durableId="682244674">
    <w:abstractNumId w:val="0"/>
  </w:num>
  <w:num w:numId="6" w16cid:durableId="125399164">
    <w:abstractNumId w:val="17"/>
  </w:num>
  <w:num w:numId="7" w16cid:durableId="1502351243">
    <w:abstractNumId w:val="11"/>
  </w:num>
  <w:num w:numId="8" w16cid:durableId="231820023">
    <w:abstractNumId w:val="11"/>
  </w:num>
  <w:num w:numId="9" w16cid:durableId="1552691804">
    <w:abstractNumId w:val="11"/>
  </w:num>
  <w:num w:numId="10" w16cid:durableId="1523397037">
    <w:abstractNumId w:val="11"/>
  </w:num>
  <w:num w:numId="11" w16cid:durableId="187986509">
    <w:abstractNumId w:val="20"/>
  </w:num>
  <w:num w:numId="12" w16cid:durableId="1117020704">
    <w:abstractNumId w:val="20"/>
  </w:num>
  <w:num w:numId="13" w16cid:durableId="1661347411">
    <w:abstractNumId w:val="20"/>
  </w:num>
  <w:num w:numId="14" w16cid:durableId="1096167370">
    <w:abstractNumId w:val="20"/>
  </w:num>
  <w:num w:numId="15" w16cid:durableId="935944404">
    <w:abstractNumId w:val="20"/>
  </w:num>
  <w:num w:numId="16" w16cid:durableId="1783381610">
    <w:abstractNumId w:val="20"/>
  </w:num>
  <w:num w:numId="17" w16cid:durableId="1763991845">
    <w:abstractNumId w:val="4"/>
  </w:num>
  <w:num w:numId="18" w16cid:durableId="1874726689">
    <w:abstractNumId w:val="20"/>
  </w:num>
  <w:num w:numId="19" w16cid:durableId="1253199164">
    <w:abstractNumId w:val="20"/>
  </w:num>
  <w:num w:numId="20" w16cid:durableId="949361954">
    <w:abstractNumId w:val="20"/>
  </w:num>
  <w:num w:numId="21" w16cid:durableId="1914194503">
    <w:abstractNumId w:val="20"/>
  </w:num>
  <w:num w:numId="22" w16cid:durableId="1215240727">
    <w:abstractNumId w:val="20"/>
  </w:num>
  <w:num w:numId="23" w16cid:durableId="496263275">
    <w:abstractNumId w:val="20"/>
  </w:num>
  <w:num w:numId="24" w16cid:durableId="2137213255">
    <w:abstractNumId w:val="4"/>
  </w:num>
  <w:num w:numId="25" w16cid:durableId="623999313">
    <w:abstractNumId w:val="2"/>
  </w:num>
  <w:num w:numId="26" w16cid:durableId="2075396185">
    <w:abstractNumId w:val="13"/>
  </w:num>
  <w:num w:numId="27" w16cid:durableId="1160731465">
    <w:abstractNumId w:val="12"/>
  </w:num>
  <w:num w:numId="28" w16cid:durableId="702634621">
    <w:abstractNumId w:val="5"/>
  </w:num>
  <w:num w:numId="29" w16cid:durableId="447773729">
    <w:abstractNumId w:val="7"/>
  </w:num>
  <w:num w:numId="30" w16cid:durableId="383407706">
    <w:abstractNumId w:val="10"/>
  </w:num>
  <w:num w:numId="31" w16cid:durableId="1365910125">
    <w:abstractNumId w:val="19"/>
  </w:num>
  <w:num w:numId="32" w16cid:durableId="1092043038">
    <w:abstractNumId w:val="14"/>
  </w:num>
  <w:num w:numId="33" w16cid:durableId="986781781">
    <w:abstractNumId w:val="1"/>
  </w:num>
  <w:num w:numId="34" w16cid:durableId="1757168767">
    <w:abstractNumId w:val="21"/>
  </w:num>
  <w:num w:numId="35" w16cid:durableId="1179656068">
    <w:abstractNumId w:val="15"/>
  </w:num>
  <w:num w:numId="36" w16cid:durableId="1025794446">
    <w:abstractNumId w:val="8"/>
  </w:num>
  <w:num w:numId="37" w16cid:durableId="583422079">
    <w:abstractNumId w:val="9"/>
  </w:num>
  <w:num w:numId="38" w16cid:durableId="1327131092">
    <w:abstractNumId w:val="3"/>
  </w:num>
  <w:num w:numId="39" w16cid:durableId="59482134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922"/>
    <w:rsid w:val="00000E0F"/>
    <w:rsid w:val="0000103D"/>
    <w:rsid w:val="00001253"/>
    <w:rsid w:val="0001172E"/>
    <w:rsid w:val="00011B92"/>
    <w:rsid w:val="00012AFB"/>
    <w:rsid w:val="00014E23"/>
    <w:rsid w:val="00015103"/>
    <w:rsid w:val="00015948"/>
    <w:rsid w:val="00025E2D"/>
    <w:rsid w:val="00026085"/>
    <w:rsid w:val="00027376"/>
    <w:rsid w:val="000273C3"/>
    <w:rsid w:val="00030785"/>
    <w:rsid w:val="0003359B"/>
    <w:rsid w:val="000339F2"/>
    <w:rsid w:val="000353DE"/>
    <w:rsid w:val="00035704"/>
    <w:rsid w:val="000357D1"/>
    <w:rsid w:val="00036789"/>
    <w:rsid w:val="00041488"/>
    <w:rsid w:val="0004222F"/>
    <w:rsid w:val="00042B2E"/>
    <w:rsid w:val="00043C38"/>
    <w:rsid w:val="000450F8"/>
    <w:rsid w:val="000455B5"/>
    <w:rsid w:val="000461DB"/>
    <w:rsid w:val="00046595"/>
    <w:rsid w:val="0004669D"/>
    <w:rsid w:val="0004779F"/>
    <w:rsid w:val="000506AC"/>
    <w:rsid w:val="00051FCA"/>
    <w:rsid w:val="00052E8F"/>
    <w:rsid w:val="000530B0"/>
    <w:rsid w:val="00053111"/>
    <w:rsid w:val="00053D82"/>
    <w:rsid w:val="000544B7"/>
    <w:rsid w:val="00055E9D"/>
    <w:rsid w:val="00060698"/>
    <w:rsid w:val="00062B2D"/>
    <w:rsid w:val="00063A0E"/>
    <w:rsid w:val="00064052"/>
    <w:rsid w:val="00067ACE"/>
    <w:rsid w:val="00074DE4"/>
    <w:rsid w:val="00075829"/>
    <w:rsid w:val="000758DA"/>
    <w:rsid w:val="00075963"/>
    <w:rsid w:val="0007654F"/>
    <w:rsid w:val="000777E0"/>
    <w:rsid w:val="00077D78"/>
    <w:rsid w:val="0008112B"/>
    <w:rsid w:val="00081B74"/>
    <w:rsid w:val="00084950"/>
    <w:rsid w:val="00085F6B"/>
    <w:rsid w:val="0008641A"/>
    <w:rsid w:val="00090A99"/>
    <w:rsid w:val="000923EA"/>
    <w:rsid w:val="0009371F"/>
    <w:rsid w:val="00094E20"/>
    <w:rsid w:val="000974E2"/>
    <w:rsid w:val="000A3D0C"/>
    <w:rsid w:val="000A438E"/>
    <w:rsid w:val="000A5955"/>
    <w:rsid w:val="000A6987"/>
    <w:rsid w:val="000B0443"/>
    <w:rsid w:val="000B06B3"/>
    <w:rsid w:val="000B0D90"/>
    <w:rsid w:val="000B21BB"/>
    <w:rsid w:val="000B3B17"/>
    <w:rsid w:val="000B5DCE"/>
    <w:rsid w:val="000B5EDA"/>
    <w:rsid w:val="000B72CC"/>
    <w:rsid w:val="000C166D"/>
    <w:rsid w:val="000C356D"/>
    <w:rsid w:val="000C3FC9"/>
    <w:rsid w:val="000C62FB"/>
    <w:rsid w:val="000C73B9"/>
    <w:rsid w:val="000C7B8E"/>
    <w:rsid w:val="000D040F"/>
    <w:rsid w:val="000D05DF"/>
    <w:rsid w:val="000D176D"/>
    <w:rsid w:val="000D2D99"/>
    <w:rsid w:val="000D4929"/>
    <w:rsid w:val="000D6D66"/>
    <w:rsid w:val="000E371F"/>
    <w:rsid w:val="000E56E5"/>
    <w:rsid w:val="000E6AD7"/>
    <w:rsid w:val="000F190B"/>
    <w:rsid w:val="000F1A5E"/>
    <w:rsid w:val="000F2D69"/>
    <w:rsid w:val="000F2E19"/>
    <w:rsid w:val="000F2F6F"/>
    <w:rsid w:val="000F32A2"/>
    <w:rsid w:val="000F43EC"/>
    <w:rsid w:val="000F6035"/>
    <w:rsid w:val="000F666A"/>
    <w:rsid w:val="001011BE"/>
    <w:rsid w:val="00103755"/>
    <w:rsid w:val="00103BE8"/>
    <w:rsid w:val="001040C4"/>
    <w:rsid w:val="0010481C"/>
    <w:rsid w:val="00104CA5"/>
    <w:rsid w:val="00105344"/>
    <w:rsid w:val="00105BD3"/>
    <w:rsid w:val="00105FD3"/>
    <w:rsid w:val="001062BA"/>
    <w:rsid w:val="001074DD"/>
    <w:rsid w:val="00107EED"/>
    <w:rsid w:val="001109D7"/>
    <w:rsid w:val="0011371F"/>
    <w:rsid w:val="00114070"/>
    <w:rsid w:val="00114971"/>
    <w:rsid w:val="00114981"/>
    <w:rsid w:val="00115B9B"/>
    <w:rsid w:val="0011701F"/>
    <w:rsid w:val="001223D1"/>
    <w:rsid w:val="00132972"/>
    <w:rsid w:val="00132D42"/>
    <w:rsid w:val="001333FF"/>
    <w:rsid w:val="0013600B"/>
    <w:rsid w:val="00141C6F"/>
    <w:rsid w:val="00143036"/>
    <w:rsid w:val="00143964"/>
    <w:rsid w:val="00143F85"/>
    <w:rsid w:val="0014401B"/>
    <w:rsid w:val="00145F7E"/>
    <w:rsid w:val="001472BF"/>
    <w:rsid w:val="001507D5"/>
    <w:rsid w:val="00152C90"/>
    <w:rsid w:val="00155B2F"/>
    <w:rsid w:val="00157156"/>
    <w:rsid w:val="001572CF"/>
    <w:rsid w:val="0015785B"/>
    <w:rsid w:val="001613E5"/>
    <w:rsid w:val="00162DAD"/>
    <w:rsid w:val="00163A19"/>
    <w:rsid w:val="00165F1D"/>
    <w:rsid w:val="00171657"/>
    <w:rsid w:val="00172626"/>
    <w:rsid w:val="00177221"/>
    <w:rsid w:val="00177375"/>
    <w:rsid w:val="00180667"/>
    <w:rsid w:val="00181917"/>
    <w:rsid w:val="00184A3B"/>
    <w:rsid w:val="00187436"/>
    <w:rsid w:val="00190C6A"/>
    <w:rsid w:val="0019164E"/>
    <w:rsid w:val="00193417"/>
    <w:rsid w:val="00193E7E"/>
    <w:rsid w:val="00194E44"/>
    <w:rsid w:val="00195384"/>
    <w:rsid w:val="00196062"/>
    <w:rsid w:val="00196EB0"/>
    <w:rsid w:val="001A0258"/>
    <w:rsid w:val="001A0309"/>
    <w:rsid w:val="001A06E4"/>
    <w:rsid w:val="001A12EB"/>
    <w:rsid w:val="001A217B"/>
    <w:rsid w:val="001A23D5"/>
    <w:rsid w:val="001A31FC"/>
    <w:rsid w:val="001A3DF0"/>
    <w:rsid w:val="001A3F20"/>
    <w:rsid w:val="001A4549"/>
    <w:rsid w:val="001A4CE2"/>
    <w:rsid w:val="001A5145"/>
    <w:rsid w:val="001A5505"/>
    <w:rsid w:val="001A7515"/>
    <w:rsid w:val="001B03C1"/>
    <w:rsid w:val="001B089E"/>
    <w:rsid w:val="001B0A6A"/>
    <w:rsid w:val="001B116D"/>
    <w:rsid w:val="001B1336"/>
    <w:rsid w:val="001B192F"/>
    <w:rsid w:val="001B3488"/>
    <w:rsid w:val="001B3F03"/>
    <w:rsid w:val="001B4F68"/>
    <w:rsid w:val="001B5C21"/>
    <w:rsid w:val="001C0825"/>
    <w:rsid w:val="001C1152"/>
    <w:rsid w:val="001C2DD5"/>
    <w:rsid w:val="001C4291"/>
    <w:rsid w:val="001C4A7F"/>
    <w:rsid w:val="001C76F3"/>
    <w:rsid w:val="001C7F03"/>
    <w:rsid w:val="001D2583"/>
    <w:rsid w:val="001D2BD4"/>
    <w:rsid w:val="001D3119"/>
    <w:rsid w:val="001D4725"/>
    <w:rsid w:val="001D4BEE"/>
    <w:rsid w:val="001D72AD"/>
    <w:rsid w:val="001E019E"/>
    <w:rsid w:val="001E4A7D"/>
    <w:rsid w:val="001E58F0"/>
    <w:rsid w:val="001E6C3F"/>
    <w:rsid w:val="001E6D73"/>
    <w:rsid w:val="001F00D1"/>
    <w:rsid w:val="001F0835"/>
    <w:rsid w:val="001F0A03"/>
    <w:rsid w:val="001F2747"/>
    <w:rsid w:val="001F3AB8"/>
    <w:rsid w:val="001F4D95"/>
    <w:rsid w:val="001F50B3"/>
    <w:rsid w:val="001F52BA"/>
    <w:rsid w:val="001F54B2"/>
    <w:rsid w:val="001F5CDF"/>
    <w:rsid w:val="001F7C14"/>
    <w:rsid w:val="00200537"/>
    <w:rsid w:val="00201839"/>
    <w:rsid w:val="00201B88"/>
    <w:rsid w:val="00206127"/>
    <w:rsid w:val="00207725"/>
    <w:rsid w:val="00207DE1"/>
    <w:rsid w:val="002121D3"/>
    <w:rsid w:val="00212C06"/>
    <w:rsid w:val="00214978"/>
    <w:rsid w:val="00215965"/>
    <w:rsid w:val="00215B39"/>
    <w:rsid w:val="00216240"/>
    <w:rsid w:val="002170CE"/>
    <w:rsid w:val="0021784A"/>
    <w:rsid w:val="0022012E"/>
    <w:rsid w:val="002211CC"/>
    <w:rsid w:val="00222DF5"/>
    <w:rsid w:val="0022387E"/>
    <w:rsid w:val="0023115A"/>
    <w:rsid w:val="00232297"/>
    <w:rsid w:val="00232DD5"/>
    <w:rsid w:val="00232DF0"/>
    <w:rsid w:val="00233139"/>
    <w:rsid w:val="0023408B"/>
    <w:rsid w:val="0023525F"/>
    <w:rsid w:val="0023628A"/>
    <w:rsid w:val="00236938"/>
    <w:rsid w:val="002376E6"/>
    <w:rsid w:val="00237EF9"/>
    <w:rsid w:val="002431D5"/>
    <w:rsid w:val="002438F7"/>
    <w:rsid w:val="002439C6"/>
    <w:rsid w:val="002446C3"/>
    <w:rsid w:val="00244983"/>
    <w:rsid w:val="002456E3"/>
    <w:rsid w:val="00246013"/>
    <w:rsid w:val="00250979"/>
    <w:rsid w:val="0025185E"/>
    <w:rsid w:val="00251DD7"/>
    <w:rsid w:val="00261ED1"/>
    <w:rsid w:val="0026296F"/>
    <w:rsid w:val="00262ABD"/>
    <w:rsid w:val="00264683"/>
    <w:rsid w:val="00264FB3"/>
    <w:rsid w:val="00265EF6"/>
    <w:rsid w:val="0026638A"/>
    <w:rsid w:val="00270240"/>
    <w:rsid w:val="00270450"/>
    <w:rsid w:val="00272048"/>
    <w:rsid w:val="002723A6"/>
    <w:rsid w:val="002727CD"/>
    <w:rsid w:val="0027575A"/>
    <w:rsid w:val="00275979"/>
    <w:rsid w:val="00277905"/>
    <w:rsid w:val="00281565"/>
    <w:rsid w:val="00281A2C"/>
    <w:rsid w:val="00281E44"/>
    <w:rsid w:val="00286892"/>
    <w:rsid w:val="00291381"/>
    <w:rsid w:val="002931F1"/>
    <w:rsid w:val="00293401"/>
    <w:rsid w:val="002941FB"/>
    <w:rsid w:val="00294BA5"/>
    <w:rsid w:val="00296F13"/>
    <w:rsid w:val="002A0975"/>
    <w:rsid w:val="002A32CD"/>
    <w:rsid w:val="002A4A7A"/>
    <w:rsid w:val="002A5F78"/>
    <w:rsid w:val="002A69F7"/>
    <w:rsid w:val="002A7AC3"/>
    <w:rsid w:val="002B4173"/>
    <w:rsid w:val="002B679E"/>
    <w:rsid w:val="002B6837"/>
    <w:rsid w:val="002B75B6"/>
    <w:rsid w:val="002C14C8"/>
    <w:rsid w:val="002C3BB8"/>
    <w:rsid w:val="002D2FFE"/>
    <w:rsid w:val="002D512D"/>
    <w:rsid w:val="002D57F1"/>
    <w:rsid w:val="002D5E3F"/>
    <w:rsid w:val="002D61A7"/>
    <w:rsid w:val="002D63EF"/>
    <w:rsid w:val="002D7855"/>
    <w:rsid w:val="002E1DE1"/>
    <w:rsid w:val="002E220B"/>
    <w:rsid w:val="002E22D2"/>
    <w:rsid w:val="002E2EB0"/>
    <w:rsid w:val="002E5811"/>
    <w:rsid w:val="002F0957"/>
    <w:rsid w:val="002F24FB"/>
    <w:rsid w:val="002F3136"/>
    <w:rsid w:val="002F467C"/>
    <w:rsid w:val="002F4972"/>
    <w:rsid w:val="002F54DF"/>
    <w:rsid w:val="002F5551"/>
    <w:rsid w:val="002F6ED3"/>
    <w:rsid w:val="002F7863"/>
    <w:rsid w:val="0030208B"/>
    <w:rsid w:val="003021C9"/>
    <w:rsid w:val="003028F1"/>
    <w:rsid w:val="00303036"/>
    <w:rsid w:val="00303DB5"/>
    <w:rsid w:val="0030572C"/>
    <w:rsid w:val="00305EFF"/>
    <w:rsid w:val="0030702C"/>
    <w:rsid w:val="00307C3A"/>
    <w:rsid w:val="00311311"/>
    <w:rsid w:val="00311322"/>
    <w:rsid w:val="003168A8"/>
    <w:rsid w:val="00317862"/>
    <w:rsid w:val="00317AC2"/>
    <w:rsid w:val="00320E69"/>
    <w:rsid w:val="00321382"/>
    <w:rsid w:val="00321935"/>
    <w:rsid w:val="00321BB5"/>
    <w:rsid w:val="00322894"/>
    <w:rsid w:val="00322E43"/>
    <w:rsid w:val="003240B4"/>
    <w:rsid w:val="00324FB4"/>
    <w:rsid w:val="00325D4C"/>
    <w:rsid w:val="0033705C"/>
    <w:rsid w:val="00337399"/>
    <w:rsid w:val="003373EB"/>
    <w:rsid w:val="003414D6"/>
    <w:rsid w:val="00342EB8"/>
    <w:rsid w:val="003442BB"/>
    <w:rsid w:val="00344500"/>
    <w:rsid w:val="003468AB"/>
    <w:rsid w:val="00350A49"/>
    <w:rsid w:val="0035218A"/>
    <w:rsid w:val="00352694"/>
    <w:rsid w:val="003543AE"/>
    <w:rsid w:val="00354A8F"/>
    <w:rsid w:val="00354AEB"/>
    <w:rsid w:val="0035776B"/>
    <w:rsid w:val="003577EF"/>
    <w:rsid w:val="00357D7E"/>
    <w:rsid w:val="00357DB8"/>
    <w:rsid w:val="00362AFA"/>
    <w:rsid w:val="003634D3"/>
    <w:rsid w:val="00364ADB"/>
    <w:rsid w:val="00366E2A"/>
    <w:rsid w:val="00367BC4"/>
    <w:rsid w:val="00367D09"/>
    <w:rsid w:val="00370C27"/>
    <w:rsid w:val="003717F7"/>
    <w:rsid w:val="0037410E"/>
    <w:rsid w:val="003755DA"/>
    <w:rsid w:val="003764DE"/>
    <w:rsid w:val="003768E8"/>
    <w:rsid w:val="00376A13"/>
    <w:rsid w:val="00380225"/>
    <w:rsid w:val="00382320"/>
    <w:rsid w:val="003833A1"/>
    <w:rsid w:val="00383A5E"/>
    <w:rsid w:val="00385771"/>
    <w:rsid w:val="00385DAA"/>
    <w:rsid w:val="00386258"/>
    <w:rsid w:val="00386E45"/>
    <w:rsid w:val="00387185"/>
    <w:rsid w:val="00387ED0"/>
    <w:rsid w:val="00390261"/>
    <w:rsid w:val="0039137C"/>
    <w:rsid w:val="0039191E"/>
    <w:rsid w:val="00392E48"/>
    <w:rsid w:val="00395B7B"/>
    <w:rsid w:val="00397126"/>
    <w:rsid w:val="003A4873"/>
    <w:rsid w:val="003A592C"/>
    <w:rsid w:val="003A5B76"/>
    <w:rsid w:val="003B0170"/>
    <w:rsid w:val="003B0928"/>
    <w:rsid w:val="003B0E4F"/>
    <w:rsid w:val="003B24CB"/>
    <w:rsid w:val="003B2579"/>
    <w:rsid w:val="003B2DFD"/>
    <w:rsid w:val="003B367D"/>
    <w:rsid w:val="003B3835"/>
    <w:rsid w:val="003B42BC"/>
    <w:rsid w:val="003B4787"/>
    <w:rsid w:val="003B56E9"/>
    <w:rsid w:val="003B614C"/>
    <w:rsid w:val="003B62EA"/>
    <w:rsid w:val="003B64D2"/>
    <w:rsid w:val="003B7374"/>
    <w:rsid w:val="003C0306"/>
    <w:rsid w:val="003C0EDD"/>
    <w:rsid w:val="003C1321"/>
    <w:rsid w:val="003C19EE"/>
    <w:rsid w:val="003D0A15"/>
    <w:rsid w:val="003D3F10"/>
    <w:rsid w:val="003D58AB"/>
    <w:rsid w:val="003D7BF9"/>
    <w:rsid w:val="003E02D4"/>
    <w:rsid w:val="003E02F4"/>
    <w:rsid w:val="003E0B50"/>
    <w:rsid w:val="003E13D9"/>
    <w:rsid w:val="003E2AE0"/>
    <w:rsid w:val="003E2F53"/>
    <w:rsid w:val="003E395B"/>
    <w:rsid w:val="003E515C"/>
    <w:rsid w:val="003F05D8"/>
    <w:rsid w:val="003F2F0A"/>
    <w:rsid w:val="003F31EF"/>
    <w:rsid w:val="003F351C"/>
    <w:rsid w:val="003F3695"/>
    <w:rsid w:val="003F3730"/>
    <w:rsid w:val="003F3E7B"/>
    <w:rsid w:val="003F4B11"/>
    <w:rsid w:val="003F551E"/>
    <w:rsid w:val="003F55C0"/>
    <w:rsid w:val="00400537"/>
    <w:rsid w:val="00400864"/>
    <w:rsid w:val="004017DF"/>
    <w:rsid w:val="00404016"/>
    <w:rsid w:val="00404681"/>
    <w:rsid w:val="00406653"/>
    <w:rsid w:val="004069E5"/>
    <w:rsid w:val="00410FE2"/>
    <w:rsid w:val="0041179B"/>
    <w:rsid w:val="004147C6"/>
    <w:rsid w:val="00414D41"/>
    <w:rsid w:val="00414F20"/>
    <w:rsid w:val="004235F7"/>
    <w:rsid w:val="00423C40"/>
    <w:rsid w:val="00424CD9"/>
    <w:rsid w:val="00426F69"/>
    <w:rsid w:val="00430099"/>
    <w:rsid w:val="00432378"/>
    <w:rsid w:val="00433814"/>
    <w:rsid w:val="004345C4"/>
    <w:rsid w:val="0043485C"/>
    <w:rsid w:val="00434A76"/>
    <w:rsid w:val="00435CEB"/>
    <w:rsid w:val="00436848"/>
    <w:rsid w:val="00437B5F"/>
    <w:rsid w:val="00440443"/>
    <w:rsid w:val="00440939"/>
    <w:rsid w:val="00440BE0"/>
    <w:rsid w:val="00441EB4"/>
    <w:rsid w:val="00443BED"/>
    <w:rsid w:val="004456C1"/>
    <w:rsid w:val="0044574C"/>
    <w:rsid w:val="00446537"/>
    <w:rsid w:val="004471BE"/>
    <w:rsid w:val="004474F9"/>
    <w:rsid w:val="00451447"/>
    <w:rsid w:val="004518D7"/>
    <w:rsid w:val="004548D3"/>
    <w:rsid w:val="00454F0A"/>
    <w:rsid w:val="00456A2F"/>
    <w:rsid w:val="00457DCD"/>
    <w:rsid w:val="00463CFF"/>
    <w:rsid w:val="004641AC"/>
    <w:rsid w:val="0046654B"/>
    <w:rsid w:val="00466986"/>
    <w:rsid w:val="00466F11"/>
    <w:rsid w:val="00467965"/>
    <w:rsid w:val="00470376"/>
    <w:rsid w:val="0047051D"/>
    <w:rsid w:val="004714B1"/>
    <w:rsid w:val="00472846"/>
    <w:rsid w:val="004761C6"/>
    <w:rsid w:val="00476F94"/>
    <w:rsid w:val="004773AA"/>
    <w:rsid w:val="0048057D"/>
    <w:rsid w:val="004812B1"/>
    <w:rsid w:val="00483A50"/>
    <w:rsid w:val="00483C17"/>
    <w:rsid w:val="0048435A"/>
    <w:rsid w:val="00484C80"/>
    <w:rsid w:val="00484F14"/>
    <w:rsid w:val="004851D1"/>
    <w:rsid w:val="004855EA"/>
    <w:rsid w:val="00485E4E"/>
    <w:rsid w:val="00486D0B"/>
    <w:rsid w:val="00490BEE"/>
    <w:rsid w:val="00491631"/>
    <w:rsid w:val="00492400"/>
    <w:rsid w:val="0049320C"/>
    <w:rsid w:val="00494138"/>
    <w:rsid w:val="00497F91"/>
    <w:rsid w:val="004A0339"/>
    <w:rsid w:val="004A0DF6"/>
    <w:rsid w:val="004A1298"/>
    <w:rsid w:val="004A3659"/>
    <w:rsid w:val="004A433F"/>
    <w:rsid w:val="004A4AD3"/>
    <w:rsid w:val="004A5535"/>
    <w:rsid w:val="004A5C70"/>
    <w:rsid w:val="004A6650"/>
    <w:rsid w:val="004A7420"/>
    <w:rsid w:val="004B0124"/>
    <w:rsid w:val="004B05D8"/>
    <w:rsid w:val="004B06E4"/>
    <w:rsid w:val="004B24D6"/>
    <w:rsid w:val="004B30E3"/>
    <w:rsid w:val="004B38F3"/>
    <w:rsid w:val="004B4284"/>
    <w:rsid w:val="004B5036"/>
    <w:rsid w:val="004B7917"/>
    <w:rsid w:val="004C23BA"/>
    <w:rsid w:val="004C3A62"/>
    <w:rsid w:val="004C50B4"/>
    <w:rsid w:val="004C6ECA"/>
    <w:rsid w:val="004D00BC"/>
    <w:rsid w:val="004D433F"/>
    <w:rsid w:val="004D7E13"/>
    <w:rsid w:val="004E03C7"/>
    <w:rsid w:val="004E07E0"/>
    <w:rsid w:val="004E0914"/>
    <w:rsid w:val="004E5EDB"/>
    <w:rsid w:val="004F1196"/>
    <w:rsid w:val="004F1753"/>
    <w:rsid w:val="004F231C"/>
    <w:rsid w:val="004F2C12"/>
    <w:rsid w:val="004F4847"/>
    <w:rsid w:val="004F75C4"/>
    <w:rsid w:val="004F7760"/>
    <w:rsid w:val="00500D43"/>
    <w:rsid w:val="0050105A"/>
    <w:rsid w:val="0050245E"/>
    <w:rsid w:val="00504168"/>
    <w:rsid w:val="0050579A"/>
    <w:rsid w:val="005070C6"/>
    <w:rsid w:val="00507B95"/>
    <w:rsid w:val="00511101"/>
    <w:rsid w:val="0051565F"/>
    <w:rsid w:val="00515B65"/>
    <w:rsid w:val="00515C7E"/>
    <w:rsid w:val="00516CFA"/>
    <w:rsid w:val="00516F42"/>
    <w:rsid w:val="00520162"/>
    <w:rsid w:val="00520E60"/>
    <w:rsid w:val="005214A6"/>
    <w:rsid w:val="005227E9"/>
    <w:rsid w:val="005246F5"/>
    <w:rsid w:val="00532BA6"/>
    <w:rsid w:val="00533B99"/>
    <w:rsid w:val="00534164"/>
    <w:rsid w:val="005343C2"/>
    <w:rsid w:val="00534A6A"/>
    <w:rsid w:val="00535202"/>
    <w:rsid w:val="005352AB"/>
    <w:rsid w:val="00543D0B"/>
    <w:rsid w:val="00544278"/>
    <w:rsid w:val="005466FA"/>
    <w:rsid w:val="00547118"/>
    <w:rsid w:val="00547C83"/>
    <w:rsid w:val="00547F6A"/>
    <w:rsid w:val="005502CC"/>
    <w:rsid w:val="005510B6"/>
    <w:rsid w:val="005512C0"/>
    <w:rsid w:val="00551603"/>
    <w:rsid w:val="00552456"/>
    <w:rsid w:val="0055344B"/>
    <w:rsid w:val="00553BE4"/>
    <w:rsid w:val="0055753A"/>
    <w:rsid w:val="0056019D"/>
    <w:rsid w:val="00562879"/>
    <w:rsid w:val="00562E7D"/>
    <w:rsid w:val="00564133"/>
    <w:rsid w:val="005665B3"/>
    <w:rsid w:val="00567105"/>
    <w:rsid w:val="00570675"/>
    <w:rsid w:val="00571A06"/>
    <w:rsid w:val="0057258F"/>
    <w:rsid w:val="00572A98"/>
    <w:rsid w:val="0057300E"/>
    <w:rsid w:val="005761B9"/>
    <w:rsid w:val="005768D4"/>
    <w:rsid w:val="005769DB"/>
    <w:rsid w:val="0057793D"/>
    <w:rsid w:val="00577CD5"/>
    <w:rsid w:val="00580808"/>
    <w:rsid w:val="00580E7B"/>
    <w:rsid w:val="00581046"/>
    <w:rsid w:val="00581AD0"/>
    <w:rsid w:val="00582A92"/>
    <w:rsid w:val="00582B8E"/>
    <w:rsid w:val="00582E41"/>
    <w:rsid w:val="00583F76"/>
    <w:rsid w:val="00587173"/>
    <w:rsid w:val="00587BC6"/>
    <w:rsid w:val="00592548"/>
    <w:rsid w:val="00593307"/>
    <w:rsid w:val="005948E5"/>
    <w:rsid w:val="00594CE0"/>
    <w:rsid w:val="005964CE"/>
    <w:rsid w:val="005964FE"/>
    <w:rsid w:val="005A0B91"/>
    <w:rsid w:val="005A1710"/>
    <w:rsid w:val="005A1907"/>
    <w:rsid w:val="005A2CAA"/>
    <w:rsid w:val="005A5260"/>
    <w:rsid w:val="005A7050"/>
    <w:rsid w:val="005A7DDF"/>
    <w:rsid w:val="005B1BFD"/>
    <w:rsid w:val="005B1C31"/>
    <w:rsid w:val="005B1E11"/>
    <w:rsid w:val="005B5D95"/>
    <w:rsid w:val="005B5FA3"/>
    <w:rsid w:val="005B70D8"/>
    <w:rsid w:val="005C32FE"/>
    <w:rsid w:val="005C47DA"/>
    <w:rsid w:val="005C6BF7"/>
    <w:rsid w:val="005C7A32"/>
    <w:rsid w:val="005C7F84"/>
    <w:rsid w:val="005D19D7"/>
    <w:rsid w:val="005D2EB7"/>
    <w:rsid w:val="005D7E51"/>
    <w:rsid w:val="005E28AA"/>
    <w:rsid w:val="005E4B4F"/>
    <w:rsid w:val="005E4F29"/>
    <w:rsid w:val="005E50A9"/>
    <w:rsid w:val="005E548E"/>
    <w:rsid w:val="005E6B61"/>
    <w:rsid w:val="005E7287"/>
    <w:rsid w:val="005E73DE"/>
    <w:rsid w:val="005F4F5B"/>
    <w:rsid w:val="005F5222"/>
    <w:rsid w:val="005F62C3"/>
    <w:rsid w:val="005F6E62"/>
    <w:rsid w:val="005F7908"/>
    <w:rsid w:val="00600396"/>
    <w:rsid w:val="00600704"/>
    <w:rsid w:val="00600A02"/>
    <w:rsid w:val="00602A32"/>
    <w:rsid w:val="00605588"/>
    <w:rsid w:val="006055A4"/>
    <w:rsid w:val="00606797"/>
    <w:rsid w:val="00606A09"/>
    <w:rsid w:val="0061026C"/>
    <w:rsid w:val="0061178F"/>
    <w:rsid w:val="00614116"/>
    <w:rsid w:val="00615960"/>
    <w:rsid w:val="006165F3"/>
    <w:rsid w:val="00622379"/>
    <w:rsid w:val="00622DE2"/>
    <w:rsid w:val="006268B4"/>
    <w:rsid w:val="00626AC5"/>
    <w:rsid w:val="00630EAF"/>
    <w:rsid w:val="00630EE6"/>
    <w:rsid w:val="0063178B"/>
    <w:rsid w:val="006332F2"/>
    <w:rsid w:val="00633E4E"/>
    <w:rsid w:val="0063431B"/>
    <w:rsid w:val="00637324"/>
    <w:rsid w:val="006419F0"/>
    <w:rsid w:val="00642735"/>
    <w:rsid w:val="00646E72"/>
    <w:rsid w:val="00647209"/>
    <w:rsid w:val="00651A5C"/>
    <w:rsid w:val="00651B8B"/>
    <w:rsid w:val="00651E85"/>
    <w:rsid w:val="00653241"/>
    <w:rsid w:val="0065719A"/>
    <w:rsid w:val="00662809"/>
    <w:rsid w:val="00662884"/>
    <w:rsid w:val="006645E1"/>
    <w:rsid w:val="00664F40"/>
    <w:rsid w:val="00665060"/>
    <w:rsid w:val="00666C0A"/>
    <w:rsid w:val="006676FB"/>
    <w:rsid w:val="00667944"/>
    <w:rsid w:val="0067099B"/>
    <w:rsid w:val="00672984"/>
    <w:rsid w:val="0067325D"/>
    <w:rsid w:val="006755E6"/>
    <w:rsid w:val="0067699D"/>
    <w:rsid w:val="00676CF3"/>
    <w:rsid w:val="006810F0"/>
    <w:rsid w:val="0068442B"/>
    <w:rsid w:val="00684A7B"/>
    <w:rsid w:val="00686054"/>
    <w:rsid w:val="00686B81"/>
    <w:rsid w:val="006939E5"/>
    <w:rsid w:val="00693D97"/>
    <w:rsid w:val="006965D2"/>
    <w:rsid w:val="006968A9"/>
    <w:rsid w:val="00697321"/>
    <w:rsid w:val="006A08EC"/>
    <w:rsid w:val="006A1CBB"/>
    <w:rsid w:val="006A2FD4"/>
    <w:rsid w:val="006A3813"/>
    <w:rsid w:val="006A6FEA"/>
    <w:rsid w:val="006A75F7"/>
    <w:rsid w:val="006B2695"/>
    <w:rsid w:val="006B42DF"/>
    <w:rsid w:val="006B48CB"/>
    <w:rsid w:val="006B7208"/>
    <w:rsid w:val="006B77FC"/>
    <w:rsid w:val="006C2E98"/>
    <w:rsid w:val="006C4048"/>
    <w:rsid w:val="006C410A"/>
    <w:rsid w:val="006C4CC7"/>
    <w:rsid w:val="006C4F61"/>
    <w:rsid w:val="006C5BE3"/>
    <w:rsid w:val="006C744D"/>
    <w:rsid w:val="006D1C0C"/>
    <w:rsid w:val="006D3A8E"/>
    <w:rsid w:val="006D616F"/>
    <w:rsid w:val="006D6B8F"/>
    <w:rsid w:val="006D73DA"/>
    <w:rsid w:val="006E0C3E"/>
    <w:rsid w:val="006E0D4C"/>
    <w:rsid w:val="006E20E3"/>
    <w:rsid w:val="006E215D"/>
    <w:rsid w:val="006E454D"/>
    <w:rsid w:val="006E5BA2"/>
    <w:rsid w:val="006E6CD6"/>
    <w:rsid w:val="006E7965"/>
    <w:rsid w:val="006F1E1F"/>
    <w:rsid w:val="006F2762"/>
    <w:rsid w:val="006F6804"/>
    <w:rsid w:val="006F6FEF"/>
    <w:rsid w:val="00700C9A"/>
    <w:rsid w:val="0070201C"/>
    <w:rsid w:val="007033E5"/>
    <w:rsid w:val="00703BDE"/>
    <w:rsid w:val="007066DC"/>
    <w:rsid w:val="0071024B"/>
    <w:rsid w:val="00710E3B"/>
    <w:rsid w:val="00711236"/>
    <w:rsid w:val="007125CE"/>
    <w:rsid w:val="00713899"/>
    <w:rsid w:val="00716BFF"/>
    <w:rsid w:val="0071702E"/>
    <w:rsid w:val="007216E3"/>
    <w:rsid w:val="00723104"/>
    <w:rsid w:val="007232B1"/>
    <w:rsid w:val="00724434"/>
    <w:rsid w:val="00725101"/>
    <w:rsid w:val="007260CE"/>
    <w:rsid w:val="00730CE8"/>
    <w:rsid w:val="007321AF"/>
    <w:rsid w:val="007326A1"/>
    <w:rsid w:val="0073280F"/>
    <w:rsid w:val="00732B3D"/>
    <w:rsid w:val="00734B56"/>
    <w:rsid w:val="00734F62"/>
    <w:rsid w:val="0073763D"/>
    <w:rsid w:val="00737A33"/>
    <w:rsid w:val="00740471"/>
    <w:rsid w:val="00740C30"/>
    <w:rsid w:val="007410B6"/>
    <w:rsid w:val="00741735"/>
    <w:rsid w:val="00741A1C"/>
    <w:rsid w:val="00743A95"/>
    <w:rsid w:val="00743CC8"/>
    <w:rsid w:val="00745233"/>
    <w:rsid w:val="00746675"/>
    <w:rsid w:val="00747670"/>
    <w:rsid w:val="0074786A"/>
    <w:rsid w:val="00747B05"/>
    <w:rsid w:val="007529CC"/>
    <w:rsid w:val="00754E9F"/>
    <w:rsid w:val="007565B2"/>
    <w:rsid w:val="007571A7"/>
    <w:rsid w:val="007578AE"/>
    <w:rsid w:val="00760E03"/>
    <w:rsid w:val="007628C2"/>
    <w:rsid w:val="00763A7E"/>
    <w:rsid w:val="0076581F"/>
    <w:rsid w:val="007665DE"/>
    <w:rsid w:val="007671D9"/>
    <w:rsid w:val="00767310"/>
    <w:rsid w:val="0077180B"/>
    <w:rsid w:val="0077275A"/>
    <w:rsid w:val="00774101"/>
    <w:rsid w:val="007746FE"/>
    <w:rsid w:val="00774CF7"/>
    <w:rsid w:val="00777889"/>
    <w:rsid w:val="00777B04"/>
    <w:rsid w:val="00777D9D"/>
    <w:rsid w:val="007810EA"/>
    <w:rsid w:val="00781485"/>
    <w:rsid w:val="00781B85"/>
    <w:rsid w:val="00782316"/>
    <w:rsid w:val="0078454A"/>
    <w:rsid w:val="00785387"/>
    <w:rsid w:val="00787F28"/>
    <w:rsid w:val="0079025F"/>
    <w:rsid w:val="007938A5"/>
    <w:rsid w:val="00795053"/>
    <w:rsid w:val="007970CA"/>
    <w:rsid w:val="00797939"/>
    <w:rsid w:val="007A0255"/>
    <w:rsid w:val="007A0695"/>
    <w:rsid w:val="007A122A"/>
    <w:rsid w:val="007A16A9"/>
    <w:rsid w:val="007A16EB"/>
    <w:rsid w:val="007A1818"/>
    <w:rsid w:val="007A1D88"/>
    <w:rsid w:val="007A2BE7"/>
    <w:rsid w:val="007A35D7"/>
    <w:rsid w:val="007A3A18"/>
    <w:rsid w:val="007A4C18"/>
    <w:rsid w:val="007B12AB"/>
    <w:rsid w:val="007B18CA"/>
    <w:rsid w:val="007B452F"/>
    <w:rsid w:val="007B479B"/>
    <w:rsid w:val="007B5AC3"/>
    <w:rsid w:val="007B710E"/>
    <w:rsid w:val="007B7851"/>
    <w:rsid w:val="007C1126"/>
    <w:rsid w:val="007C1A12"/>
    <w:rsid w:val="007C313C"/>
    <w:rsid w:val="007C40A7"/>
    <w:rsid w:val="007C53FE"/>
    <w:rsid w:val="007C58FB"/>
    <w:rsid w:val="007C5C12"/>
    <w:rsid w:val="007C7BB8"/>
    <w:rsid w:val="007D0184"/>
    <w:rsid w:val="007D37BB"/>
    <w:rsid w:val="007D4B80"/>
    <w:rsid w:val="007D5640"/>
    <w:rsid w:val="007D5DC6"/>
    <w:rsid w:val="007D6C1A"/>
    <w:rsid w:val="007D6F0E"/>
    <w:rsid w:val="007E0282"/>
    <w:rsid w:val="007E15C8"/>
    <w:rsid w:val="007E2A45"/>
    <w:rsid w:val="007E3419"/>
    <w:rsid w:val="007E5E68"/>
    <w:rsid w:val="007E6EE3"/>
    <w:rsid w:val="007E74BF"/>
    <w:rsid w:val="007E7AA4"/>
    <w:rsid w:val="007F102C"/>
    <w:rsid w:val="007F193E"/>
    <w:rsid w:val="007F680E"/>
    <w:rsid w:val="007F6964"/>
    <w:rsid w:val="007F6BE2"/>
    <w:rsid w:val="00800AC8"/>
    <w:rsid w:val="00804981"/>
    <w:rsid w:val="00804D0D"/>
    <w:rsid w:val="00805625"/>
    <w:rsid w:val="00806212"/>
    <w:rsid w:val="00806E74"/>
    <w:rsid w:val="008121DC"/>
    <w:rsid w:val="0081232D"/>
    <w:rsid w:val="0081381D"/>
    <w:rsid w:val="00814752"/>
    <w:rsid w:val="008155BE"/>
    <w:rsid w:val="00815FA9"/>
    <w:rsid w:val="00816262"/>
    <w:rsid w:val="00817067"/>
    <w:rsid w:val="00817862"/>
    <w:rsid w:val="00817909"/>
    <w:rsid w:val="00817DF4"/>
    <w:rsid w:val="008207B2"/>
    <w:rsid w:val="00820896"/>
    <w:rsid w:val="00822D1D"/>
    <w:rsid w:val="008232CE"/>
    <w:rsid w:val="00824041"/>
    <w:rsid w:val="008247E5"/>
    <w:rsid w:val="00827402"/>
    <w:rsid w:val="00827D55"/>
    <w:rsid w:val="0083391D"/>
    <w:rsid w:val="00833C69"/>
    <w:rsid w:val="00834727"/>
    <w:rsid w:val="00836827"/>
    <w:rsid w:val="00837B21"/>
    <w:rsid w:val="008415CD"/>
    <w:rsid w:val="0084252E"/>
    <w:rsid w:val="00842AA9"/>
    <w:rsid w:val="0084323F"/>
    <w:rsid w:val="00843979"/>
    <w:rsid w:val="00843AC7"/>
    <w:rsid w:val="00843E9A"/>
    <w:rsid w:val="0084428F"/>
    <w:rsid w:val="0084457B"/>
    <w:rsid w:val="008452E7"/>
    <w:rsid w:val="00845CB5"/>
    <w:rsid w:val="00845FA8"/>
    <w:rsid w:val="00851062"/>
    <w:rsid w:val="00851449"/>
    <w:rsid w:val="0085299E"/>
    <w:rsid w:val="00853586"/>
    <w:rsid w:val="00856C58"/>
    <w:rsid w:val="00857BC3"/>
    <w:rsid w:val="00860141"/>
    <w:rsid w:val="00860145"/>
    <w:rsid w:val="00861BF6"/>
    <w:rsid w:val="00863F02"/>
    <w:rsid w:val="00865435"/>
    <w:rsid w:val="00865B24"/>
    <w:rsid w:val="00865C76"/>
    <w:rsid w:val="00871FF5"/>
    <w:rsid w:val="00873169"/>
    <w:rsid w:val="00873AF1"/>
    <w:rsid w:val="00874FA0"/>
    <w:rsid w:val="00875075"/>
    <w:rsid w:val="0087608F"/>
    <w:rsid w:val="00881580"/>
    <w:rsid w:val="00881C45"/>
    <w:rsid w:val="00882DC2"/>
    <w:rsid w:val="00882F81"/>
    <w:rsid w:val="008862A0"/>
    <w:rsid w:val="00886F94"/>
    <w:rsid w:val="008871FD"/>
    <w:rsid w:val="00893318"/>
    <w:rsid w:val="00894F8C"/>
    <w:rsid w:val="00896395"/>
    <w:rsid w:val="00896D6A"/>
    <w:rsid w:val="0089762E"/>
    <w:rsid w:val="008976EC"/>
    <w:rsid w:val="00897D77"/>
    <w:rsid w:val="008A4E8B"/>
    <w:rsid w:val="008A5CD5"/>
    <w:rsid w:val="008B01CF"/>
    <w:rsid w:val="008B1506"/>
    <w:rsid w:val="008B2680"/>
    <w:rsid w:val="008B51B0"/>
    <w:rsid w:val="008B5536"/>
    <w:rsid w:val="008B6ECB"/>
    <w:rsid w:val="008B73DC"/>
    <w:rsid w:val="008B7C2D"/>
    <w:rsid w:val="008C03DD"/>
    <w:rsid w:val="008C145A"/>
    <w:rsid w:val="008C17D5"/>
    <w:rsid w:val="008C2155"/>
    <w:rsid w:val="008C2264"/>
    <w:rsid w:val="008C4126"/>
    <w:rsid w:val="008C5805"/>
    <w:rsid w:val="008C600A"/>
    <w:rsid w:val="008D071D"/>
    <w:rsid w:val="008D0A67"/>
    <w:rsid w:val="008D1138"/>
    <w:rsid w:val="008D12BB"/>
    <w:rsid w:val="008D285B"/>
    <w:rsid w:val="008D3649"/>
    <w:rsid w:val="008D6DE8"/>
    <w:rsid w:val="008D7658"/>
    <w:rsid w:val="008D7AF0"/>
    <w:rsid w:val="008E01D6"/>
    <w:rsid w:val="008E02D4"/>
    <w:rsid w:val="008E0D00"/>
    <w:rsid w:val="008E153B"/>
    <w:rsid w:val="008E1932"/>
    <w:rsid w:val="008E3215"/>
    <w:rsid w:val="008E35AE"/>
    <w:rsid w:val="008E3859"/>
    <w:rsid w:val="008E4030"/>
    <w:rsid w:val="008F1B57"/>
    <w:rsid w:val="008F3155"/>
    <w:rsid w:val="008F54A5"/>
    <w:rsid w:val="008F5587"/>
    <w:rsid w:val="008F763E"/>
    <w:rsid w:val="008F7F72"/>
    <w:rsid w:val="0090147D"/>
    <w:rsid w:val="00902DDE"/>
    <w:rsid w:val="00903CD6"/>
    <w:rsid w:val="00904754"/>
    <w:rsid w:val="00904A51"/>
    <w:rsid w:val="00906896"/>
    <w:rsid w:val="0090776A"/>
    <w:rsid w:val="00907D48"/>
    <w:rsid w:val="009116C6"/>
    <w:rsid w:val="0091353A"/>
    <w:rsid w:val="0091378D"/>
    <w:rsid w:val="0091422B"/>
    <w:rsid w:val="00915076"/>
    <w:rsid w:val="009153C9"/>
    <w:rsid w:val="009162FD"/>
    <w:rsid w:val="00916494"/>
    <w:rsid w:val="0091795A"/>
    <w:rsid w:val="009206BB"/>
    <w:rsid w:val="00921D55"/>
    <w:rsid w:val="00922C57"/>
    <w:rsid w:val="00924D60"/>
    <w:rsid w:val="009277A4"/>
    <w:rsid w:val="009278DD"/>
    <w:rsid w:val="00927E11"/>
    <w:rsid w:val="00933CA2"/>
    <w:rsid w:val="00934638"/>
    <w:rsid w:val="009347B9"/>
    <w:rsid w:val="00934CC7"/>
    <w:rsid w:val="009352E8"/>
    <w:rsid w:val="009365A6"/>
    <w:rsid w:val="0094069F"/>
    <w:rsid w:val="00941200"/>
    <w:rsid w:val="00942296"/>
    <w:rsid w:val="00942F50"/>
    <w:rsid w:val="009454C6"/>
    <w:rsid w:val="009454E0"/>
    <w:rsid w:val="00945DA5"/>
    <w:rsid w:val="0094616C"/>
    <w:rsid w:val="0095015D"/>
    <w:rsid w:val="009504A9"/>
    <w:rsid w:val="00951164"/>
    <w:rsid w:val="00952FD2"/>
    <w:rsid w:val="00953B4D"/>
    <w:rsid w:val="00955B79"/>
    <w:rsid w:val="009564A6"/>
    <w:rsid w:val="00960852"/>
    <w:rsid w:val="00960C28"/>
    <w:rsid w:val="00963267"/>
    <w:rsid w:val="00963AB8"/>
    <w:rsid w:val="009652BC"/>
    <w:rsid w:val="00965F17"/>
    <w:rsid w:val="0097012E"/>
    <w:rsid w:val="00971198"/>
    <w:rsid w:val="00971CCF"/>
    <w:rsid w:val="00973187"/>
    <w:rsid w:val="00973A12"/>
    <w:rsid w:val="00975941"/>
    <w:rsid w:val="00977350"/>
    <w:rsid w:val="00980A65"/>
    <w:rsid w:val="00980E4D"/>
    <w:rsid w:val="009814BA"/>
    <w:rsid w:val="009815EC"/>
    <w:rsid w:val="00981ECD"/>
    <w:rsid w:val="009827B9"/>
    <w:rsid w:val="00982B60"/>
    <w:rsid w:val="00983249"/>
    <w:rsid w:val="00983B5C"/>
    <w:rsid w:val="00983F14"/>
    <w:rsid w:val="0098534B"/>
    <w:rsid w:val="00986949"/>
    <w:rsid w:val="00990217"/>
    <w:rsid w:val="00991F0D"/>
    <w:rsid w:val="00993D38"/>
    <w:rsid w:val="009958F4"/>
    <w:rsid w:val="00997FD1"/>
    <w:rsid w:val="009A1425"/>
    <w:rsid w:val="009A1E99"/>
    <w:rsid w:val="009A201D"/>
    <w:rsid w:val="009A25C8"/>
    <w:rsid w:val="009A47EF"/>
    <w:rsid w:val="009A5738"/>
    <w:rsid w:val="009A7F39"/>
    <w:rsid w:val="009B0F08"/>
    <w:rsid w:val="009B2009"/>
    <w:rsid w:val="009B277A"/>
    <w:rsid w:val="009B3F74"/>
    <w:rsid w:val="009B43AF"/>
    <w:rsid w:val="009B4898"/>
    <w:rsid w:val="009B5643"/>
    <w:rsid w:val="009B71AA"/>
    <w:rsid w:val="009B741C"/>
    <w:rsid w:val="009C082A"/>
    <w:rsid w:val="009C1B58"/>
    <w:rsid w:val="009C26D7"/>
    <w:rsid w:val="009C276C"/>
    <w:rsid w:val="009C287E"/>
    <w:rsid w:val="009C3C07"/>
    <w:rsid w:val="009C4570"/>
    <w:rsid w:val="009C5223"/>
    <w:rsid w:val="009C577C"/>
    <w:rsid w:val="009C6EE5"/>
    <w:rsid w:val="009C6FC4"/>
    <w:rsid w:val="009C7290"/>
    <w:rsid w:val="009D0295"/>
    <w:rsid w:val="009D0B16"/>
    <w:rsid w:val="009D390E"/>
    <w:rsid w:val="009D3EE0"/>
    <w:rsid w:val="009D68CB"/>
    <w:rsid w:val="009D68F0"/>
    <w:rsid w:val="009D69AD"/>
    <w:rsid w:val="009E012D"/>
    <w:rsid w:val="009E17B5"/>
    <w:rsid w:val="009E2EF6"/>
    <w:rsid w:val="009E30B1"/>
    <w:rsid w:val="009E39CB"/>
    <w:rsid w:val="009E4B83"/>
    <w:rsid w:val="009E4F66"/>
    <w:rsid w:val="009E5E2E"/>
    <w:rsid w:val="009E609B"/>
    <w:rsid w:val="009E625E"/>
    <w:rsid w:val="009E6373"/>
    <w:rsid w:val="009F151C"/>
    <w:rsid w:val="009F25B6"/>
    <w:rsid w:val="009F38DF"/>
    <w:rsid w:val="009F537E"/>
    <w:rsid w:val="009F770D"/>
    <w:rsid w:val="00A007EA"/>
    <w:rsid w:val="00A008B8"/>
    <w:rsid w:val="00A01C3F"/>
    <w:rsid w:val="00A01CDC"/>
    <w:rsid w:val="00A01FB9"/>
    <w:rsid w:val="00A023BA"/>
    <w:rsid w:val="00A03D06"/>
    <w:rsid w:val="00A048FF"/>
    <w:rsid w:val="00A04BAE"/>
    <w:rsid w:val="00A04C5C"/>
    <w:rsid w:val="00A05BE6"/>
    <w:rsid w:val="00A07AF7"/>
    <w:rsid w:val="00A115F0"/>
    <w:rsid w:val="00A1489F"/>
    <w:rsid w:val="00A154AA"/>
    <w:rsid w:val="00A15643"/>
    <w:rsid w:val="00A16B45"/>
    <w:rsid w:val="00A16D7B"/>
    <w:rsid w:val="00A201AD"/>
    <w:rsid w:val="00A20698"/>
    <w:rsid w:val="00A20919"/>
    <w:rsid w:val="00A20CE6"/>
    <w:rsid w:val="00A213D1"/>
    <w:rsid w:val="00A21445"/>
    <w:rsid w:val="00A21CBD"/>
    <w:rsid w:val="00A249E3"/>
    <w:rsid w:val="00A267E3"/>
    <w:rsid w:val="00A31EEB"/>
    <w:rsid w:val="00A34716"/>
    <w:rsid w:val="00A3568E"/>
    <w:rsid w:val="00A36A4E"/>
    <w:rsid w:val="00A41A8B"/>
    <w:rsid w:val="00A42DAF"/>
    <w:rsid w:val="00A456CE"/>
    <w:rsid w:val="00A472B3"/>
    <w:rsid w:val="00A47501"/>
    <w:rsid w:val="00A47AEC"/>
    <w:rsid w:val="00A509F6"/>
    <w:rsid w:val="00A514E2"/>
    <w:rsid w:val="00A51570"/>
    <w:rsid w:val="00A529F2"/>
    <w:rsid w:val="00A52B10"/>
    <w:rsid w:val="00A52F5A"/>
    <w:rsid w:val="00A536AA"/>
    <w:rsid w:val="00A53FF4"/>
    <w:rsid w:val="00A565B3"/>
    <w:rsid w:val="00A60A10"/>
    <w:rsid w:val="00A6292A"/>
    <w:rsid w:val="00A63CDA"/>
    <w:rsid w:val="00A6574F"/>
    <w:rsid w:val="00A702E7"/>
    <w:rsid w:val="00A70F7D"/>
    <w:rsid w:val="00A722F2"/>
    <w:rsid w:val="00A72E2B"/>
    <w:rsid w:val="00A740F1"/>
    <w:rsid w:val="00A7435C"/>
    <w:rsid w:val="00A74ED7"/>
    <w:rsid w:val="00A76A30"/>
    <w:rsid w:val="00A80B76"/>
    <w:rsid w:val="00A81DB4"/>
    <w:rsid w:val="00A827F3"/>
    <w:rsid w:val="00A83C9D"/>
    <w:rsid w:val="00A843D3"/>
    <w:rsid w:val="00A86204"/>
    <w:rsid w:val="00A8701F"/>
    <w:rsid w:val="00A87A41"/>
    <w:rsid w:val="00A87A7A"/>
    <w:rsid w:val="00A90021"/>
    <w:rsid w:val="00A90050"/>
    <w:rsid w:val="00A91502"/>
    <w:rsid w:val="00A93636"/>
    <w:rsid w:val="00A941A0"/>
    <w:rsid w:val="00A94AC6"/>
    <w:rsid w:val="00A97100"/>
    <w:rsid w:val="00AA0E33"/>
    <w:rsid w:val="00AA5765"/>
    <w:rsid w:val="00AA5C52"/>
    <w:rsid w:val="00AA6E5B"/>
    <w:rsid w:val="00AB0B4B"/>
    <w:rsid w:val="00AB20AC"/>
    <w:rsid w:val="00AB33EF"/>
    <w:rsid w:val="00AB676B"/>
    <w:rsid w:val="00AB6DF0"/>
    <w:rsid w:val="00AB7A04"/>
    <w:rsid w:val="00AC0FDE"/>
    <w:rsid w:val="00AC188A"/>
    <w:rsid w:val="00AC1BB8"/>
    <w:rsid w:val="00AC7F6B"/>
    <w:rsid w:val="00AD0873"/>
    <w:rsid w:val="00AD194F"/>
    <w:rsid w:val="00AD2C90"/>
    <w:rsid w:val="00AD36AF"/>
    <w:rsid w:val="00AD3DF3"/>
    <w:rsid w:val="00AD4F12"/>
    <w:rsid w:val="00AD4F29"/>
    <w:rsid w:val="00AD67DD"/>
    <w:rsid w:val="00AE02F4"/>
    <w:rsid w:val="00AE16BB"/>
    <w:rsid w:val="00AE2CB2"/>
    <w:rsid w:val="00AE2F02"/>
    <w:rsid w:val="00AE3B1C"/>
    <w:rsid w:val="00AE4390"/>
    <w:rsid w:val="00AE43B9"/>
    <w:rsid w:val="00AE6116"/>
    <w:rsid w:val="00AE63D4"/>
    <w:rsid w:val="00AE73D8"/>
    <w:rsid w:val="00AE7530"/>
    <w:rsid w:val="00AF0B43"/>
    <w:rsid w:val="00AF36A7"/>
    <w:rsid w:val="00AF53FF"/>
    <w:rsid w:val="00AF5E11"/>
    <w:rsid w:val="00AF730E"/>
    <w:rsid w:val="00B007E4"/>
    <w:rsid w:val="00B02037"/>
    <w:rsid w:val="00B028EA"/>
    <w:rsid w:val="00B053BB"/>
    <w:rsid w:val="00B060F8"/>
    <w:rsid w:val="00B109A7"/>
    <w:rsid w:val="00B10C4F"/>
    <w:rsid w:val="00B11E8E"/>
    <w:rsid w:val="00B142AD"/>
    <w:rsid w:val="00B14B9D"/>
    <w:rsid w:val="00B1538B"/>
    <w:rsid w:val="00B17D2F"/>
    <w:rsid w:val="00B21862"/>
    <w:rsid w:val="00B22FBB"/>
    <w:rsid w:val="00B24EE1"/>
    <w:rsid w:val="00B25950"/>
    <w:rsid w:val="00B25955"/>
    <w:rsid w:val="00B25A3F"/>
    <w:rsid w:val="00B26C3E"/>
    <w:rsid w:val="00B30E4C"/>
    <w:rsid w:val="00B30EBD"/>
    <w:rsid w:val="00B30FCC"/>
    <w:rsid w:val="00B311A9"/>
    <w:rsid w:val="00B35C69"/>
    <w:rsid w:val="00B4458F"/>
    <w:rsid w:val="00B455C6"/>
    <w:rsid w:val="00B45AFA"/>
    <w:rsid w:val="00B46AC3"/>
    <w:rsid w:val="00B520E7"/>
    <w:rsid w:val="00B53A10"/>
    <w:rsid w:val="00B54F15"/>
    <w:rsid w:val="00B55769"/>
    <w:rsid w:val="00B646D5"/>
    <w:rsid w:val="00B65348"/>
    <w:rsid w:val="00B67BC1"/>
    <w:rsid w:val="00B71453"/>
    <w:rsid w:val="00B72120"/>
    <w:rsid w:val="00B73FD6"/>
    <w:rsid w:val="00B7419E"/>
    <w:rsid w:val="00B74659"/>
    <w:rsid w:val="00B7574D"/>
    <w:rsid w:val="00B76404"/>
    <w:rsid w:val="00B80A23"/>
    <w:rsid w:val="00B81CF7"/>
    <w:rsid w:val="00B82909"/>
    <w:rsid w:val="00B829B7"/>
    <w:rsid w:val="00B8311C"/>
    <w:rsid w:val="00B86768"/>
    <w:rsid w:val="00B87496"/>
    <w:rsid w:val="00B93BC6"/>
    <w:rsid w:val="00B94493"/>
    <w:rsid w:val="00B9614B"/>
    <w:rsid w:val="00B962D9"/>
    <w:rsid w:val="00B96CA6"/>
    <w:rsid w:val="00B974A5"/>
    <w:rsid w:val="00B97B7E"/>
    <w:rsid w:val="00BA0B98"/>
    <w:rsid w:val="00BA2738"/>
    <w:rsid w:val="00BA2BAD"/>
    <w:rsid w:val="00BA3804"/>
    <w:rsid w:val="00BA41C5"/>
    <w:rsid w:val="00BA4A15"/>
    <w:rsid w:val="00BA5D5C"/>
    <w:rsid w:val="00BA60EF"/>
    <w:rsid w:val="00BA7559"/>
    <w:rsid w:val="00BB171F"/>
    <w:rsid w:val="00BB2AC2"/>
    <w:rsid w:val="00BB3BA9"/>
    <w:rsid w:val="00BB714F"/>
    <w:rsid w:val="00BB73F1"/>
    <w:rsid w:val="00BC0329"/>
    <w:rsid w:val="00BC0603"/>
    <w:rsid w:val="00BC1880"/>
    <w:rsid w:val="00BC1F49"/>
    <w:rsid w:val="00BC278A"/>
    <w:rsid w:val="00BC2A76"/>
    <w:rsid w:val="00BC4716"/>
    <w:rsid w:val="00BC5101"/>
    <w:rsid w:val="00BC6683"/>
    <w:rsid w:val="00BC7B5B"/>
    <w:rsid w:val="00BC7F9C"/>
    <w:rsid w:val="00BD042D"/>
    <w:rsid w:val="00BD3BD5"/>
    <w:rsid w:val="00BD433A"/>
    <w:rsid w:val="00BD4DB4"/>
    <w:rsid w:val="00BD4E4D"/>
    <w:rsid w:val="00BD608E"/>
    <w:rsid w:val="00BD79DA"/>
    <w:rsid w:val="00BE079E"/>
    <w:rsid w:val="00BE0F75"/>
    <w:rsid w:val="00BE1E61"/>
    <w:rsid w:val="00BE3BFD"/>
    <w:rsid w:val="00BE50B3"/>
    <w:rsid w:val="00BE6CA3"/>
    <w:rsid w:val="00BE6DA2"/>
    <w:rsid w:val="00BF03F7"/>
    <w:rsid w:val="00BF1E9F"/>
    <w:rsid w:val="00BF3464"/>
    <w:rsid w:val="00BF3C24"/>
    <w:rsid w:val="00BF4FCA"/>
    <w:rsid w:val="00BF51C6"/>
    <w:rsid w:val="00BF51F3"/>
    <w:rsid w:val="00BF5AB5"/>
    <w:rsid w:val="00BF6A5E"/>
    <w:rsid w:val="00BF6AB7"/>
    <w:rsid w:val="00BF6C7D"/>
    <w:rsid w:val="00BF6E14"/>
    <w:rsid w:val="00BF7A88"/>
    <w:rsid w:val="00BF7BEC"/>
    <w:rsid w:val="00C025E7"/>
    <w:rsid w:val="00C05D59"/>
    <w:rsid w:val="00C0636E"/>
    <w:rsid w:val="00C067D7"/>
    <w:rsid w:val="00C06A17"/>
    <w:rsid w:val="00C06AB0"/>
    <w:rsid w:val="00C079E2"/>
    <w:rsid w:val="00C1029E"/>
    <w:rsid w:val="00C10FBA"/>
    <w:rsid w:val="00C11FA1"/>
    <w:rsid w:val="00C159C7"/>
    <w:rsid w:val="00C1664C"/>
    <w:rsid w:val="00C2101A"/>
    <w:rsid w:val="00C2280C"/>
    <w:rsid w:val="00C240F3"/>
    <w:rsid w:val="00C252C9"/>
    <w:rsid w:val="00C25401"/>
    <w:rsid w:val="00C25BB5"/>
    <w:rsid w:val="00C26C21"/>
    <w:rsid w:val="00C270AA"/>
    <w:rsid w:val="00C277B3"/>
    <w:rsid w:val="00C315E6"/>
    <w:rsid w:val="00C339B5"/>
    <w:rsid w:val="00C33F37"/>
    <w:rsid w:val="00C35C5D"/>
    <w:rsid w:val="00C36418"/>
    <w:rsid w:val="00C37220"/>
    <w:rsid w:val="00C37388"/>
    <w:rsid w:val="00C4033E"/>
    <w:rsid w:val="00C4253D"/>
    <w:rsid w:val="00C4502D"/>
    <w:rsid w:val="00C46012"/>
    <w:rsid w:val="00C460C3"/>
    <w:rsid w:val="00C46744"/>
    <w:rsid w:val="00C46A91"/>
    <w:rsid w:val="00C46D73"/>
    <w:rsid w:val="00C47941"/>
    <w:rsid w:val="00C54091"/>
    <w:rsid w:val="00C54935"/>
    <w:rsid w:val="00C55A72"/>
    <w:rsid w:val="00C55DA5"/>
    <w:rsid w:val="00C560DF"/>
    <w:rsid w:val="00C600E6"/>
    <w:rsid w:val="00C62F9C"/>
    <w:rsid w:val="00C63A74"/>
    <w:rsid w:val="00C63F99"/>
    <w:rsid w:val="00C664A5"/>
    <w:rsid w:val="00C72D63"/>
    <w:rsid w:val="00C74174"/>
    <w:rsid w:val="00C74E85"/>
    <w:rsid w:val="00C75EED"/>
    <w:rsid w:val="00C76374"/>
    <w:rsid w:val="00C76E1C"/>
    <w:rsid w:val="00C7742D"/>
    <w:rsid w:val="00C77C38"/>
    <w:rsid w:val="00C80087"/>
    <w:rsid w:val="00C83A54"/>
    <w:rsid w:val="00C84611"/>
    <w:rsid w:val="00C84990"/>
    <w:rsid w:val="00C85E27"/>
    <w:rsid w:val="00C86138"/>
    <w:rsid w:val="00C87D69"/>
    <w:rsid w:val="00C903AE"/>
    <w:rsid w:val="00C91351"/>
    <w:rsid w:val="00C91487"/>
    <w:rsid w:val="00C92015"/>
    <w:rsid w:val="00C9244B"/>
    <w:rsid w:val="00C92AB1"/>
    <w:rsid w:val="00C96C41"/>
    <w:rsid w:val="00C977AB"/>
    <w:rsid w:val="00CA0E46"/>
    <w:rsid w:val="00CA2F1A"/>
    <w:rsid w:val="00CA3DA6"/>
    <w:rsid w:val="00CA45A4"/>
    <w:rsid w:val="00CA572B"/>
    <w:rsid w:val="00CA63A4"/>
    <w:rsid w:val="00CB040D"/>
    <w:rsid w:val="00CB3ADC"/>
    <w:rsid w:val="00CB4198"/>
    <w:rsid w:val="00CB456C"/>
    <w:rsid w:val="00CB474A"/>
    <w:rsid w:val="00CB5932"/>
    <w:rsid w:val="00CB6193"/>
    <w:rsid w:val="00CB61C7"/>
    <w:rsid w:val="00CB67A0"/>
    <w:rsid w:val="00CB6FB3"/>
    <w:rsid w:val="00CC0191"/>
    <w:rsid w:val="00CC0420"/>
    <w:rsid w:val="00CC101A"/>
    <w:rsid w:val="00CC1904"/>
    <w:rsid w:val="00CC5450"/>
    <w:rsid w:val="00CC670B"/>
    <w:rsid w:val="00CC6F7C"/>
    <w:rsid w:val="00CC7F62"/>
    <w:rsid w:val="00CD032F"/>
    <w:rsid w:val="00CD0D43"/>
    <w:rsid w:val="00CD1C24"/>
    <w:rsid w:val="00CD2613"/>
    <w:rsid w:val="00CD2702"/>
    <w:rsid w:val="00CD4053"/>
    <w:rsid w:val="00CD477C"/>
    <w:rsid w:val="00CD4FEE"/>
    <w:rsid w:val="00CD50EB"/>
    <w:rsid w:val="00CD534D"/>
    <w:rsid w:val="00CD6403"/>
    <w:rsid w:val="00CE029B"/>
    <w:rsid w:val="00CE0866"/>
    <w:rsid w:val="00CE134E"/>
    <w:rsid w:val="00CE38D4"/>
    <w:rsid w:val="00CE466D"/>
    <w:rsid w:val="00CE61ED"/>
    <w:rsid w:val="00CE7833"/>
    <w:rsid w:val="00CE7FEF"/>
    <w:rsid w:val="00CF15EF"/>
    <w:rsid w:val="00CF2F0F"/>
    <w:rsid w:val="00CF363E"/>
    <w:rsid w:val="00CF37EC"/>
    <w:rsid w:val="00CF63E4"/>
    <w:rsid w:val="00CF66BB"/>
    <w:rsid w:val="00D0011E"/>
    <w:rsid w:val="00D0419B"/>
    <w:rsid w:val="00D048D3"/>
    <w:rsid w:val="00D1194A"/>
    <w:rsid w:val="00D125E6"/>
    <w:rsid w:val="00D13B6C"/>
    <w:rsid w:val="00D14996"/>
    <w:rsid w:val="00D15973"/>
    <w:rsid w:val="00D20264"/>
    <w:rsid w:val="00D20505"/>
    <w:rsid w:val="00D20852"/>
    <w:rsid w:val="00D21B65"/>
    <w:rsid w:val="00D22D0B"/>
    <w:rsid w:val="00D230B5"/>
    <w:rsid w:val="00D239AE"/>
    <w:rsid w:val="00D24907"/>
    <w:rsid w:val="00D24E20"/>
    <w:rsid w:val="00D251BC"/>
    <w:rsid w:val="00D26BB0"/>
    <w:rsid w:val="00D27CDA"/>
    <w:rsid w:val="00D32079"/>
    <w:rsid w:val="00D35759"/>
    <w:rsid w:val="00D35C02"/>
    <w:rsid w:val="00D36964"/>
    <w:rsid w:val="00D411D6"/>
    <w:rsid w:val="00D42B4B"/>
    <w:rsid w:val="00D50BB9"/>
    <w:rsid w:val="00D528A3"/>
    <w:rsid w:val="00D52BC2"/>
    <w:rsid w:val="00D540C2"/>
    <w:rsid w:val="00D545D7"/>
    <w:rsid w:val="00D54634"/>
    <w:rsid w:val="00D55159"/>
    <w:rsid w:val="00D5630B"/>
    <w:rsid w:val="00D5695C"/>
    <w:rsid w:val="00D56E8F"/>
    <w:rsid w:val="00D56F07"/>
    <w:rsid w:val="00D579D2"/>
    <w:rsid w:val="00D62752"/>
    <w:rsid w:val="00D6349D"/>
    <w:rsid w:val="00D654D0"/>
    <w:rsid w:val="00D66852"/>
    <w:rsid w:val="00D672E7"/>
    <w:rsid w:val="00D67748"/>
    <w:rsid w:val="00D6784E"/>
    <w:rsid w:val="00D67EE1"/>
    <w:rsid w:val="00D72590"/>
    <w:rsid w:val="00D746B1"/>
    <w:rsid w:val="00D76B37"/>
    <w:rsid w:val="00D76E29"/>
    <w:rsid w:val="00D77B1B"/>
    <w:rsid w:val="00D80D9B"/>
    <w:rsid w:val="00D82E68"/>
    <w:rsid w:val="00D87C6F"/>
    <w:rsid w:val="00D90296"/>
    <w:rsid w:val="00D911EC"/>
    <w:rsid w:val="00D91981"/>
    <w:rsid w:val="00D9209E"/>
    <w:rsid w:val="00D94CE2"/>
    <w:rsid w:val="00D95CC0"/>
    <w:rsid w:val="00D95EAB"/>
    <w:rsid w:val="00D96035"/>
    <w:rsid w:val="00D962E0"/>
    <w:rsid w:val="00D976A0"/>
    <w:rsid w:val="00DA0080"/>
    <w:rsid w:val="00DA02DF"/>
    <w:rsid w:val="00DA0B12"/>
    <w:rsid w:val="00DA0F1B"/>
    <w:rsid w:val="00DA17BB"/>
    <w:rsid w:val="00DA1CB1"/>
    <w:rsid w:val="00DA1D7C"/>
    <w:rsid w:val="00DA4822"/>
    <w:rsid w:val="00DA5946"/>
    <w:rsid w:val="00DA7902"/>
    <w:rsid w:val="00DB3883"/>
    <w:rsid w:val="00DB3BA2"/>
    <w:rsid w:val="00DB419D"/>
    <w:rsid w:val="00DB48BE"/>
    <w:rsid w:val="00DB4E89"/>
    <w:rsid w:val="00DB509D"/>
    <w:rsid w:val="00DB5822"/>
    <w:rsid w:val="00DB5D53"/>
    <w:rsid w:val="00DB71EB"/>
    <w:rsid w:val="00DC2D35"/>
    <w:rsid w:val="00DC3C35"/>
    <w:rsid w:val="00DC439B"/>
    <w:rsid w:val="00DC44C4"/>
    <w:rsid w:val="00DC4A38"/>
    <w:rsid w:val="00DC6A99"/>
    <w:rsid w:val="00DC784E"/>
    <w:rsid w:val="00DC7B9E"/>
    <w:rsid w:val="00DD117D"/>
    <w:rsid w:val="00DD2499"/>
    <w:rsid w:val="00DD2B1F"/>
    <w:rsid w:val="00DD4E14"/>
    <w:rsid w:val="00DD5BB2"/>
    <w:rsid w:val="00DD6CC5"/>
    <w:rsid w:val="00DD6E67"/>
    <w:rsid w:val="00DD7749"/>
    <w:rsid w:val="00DE17BC"/>
    <w:rsid w:val="00DE5F34"/>
    <w:rsid w:val="00DE6857"/>
    <w:rsid w:val="00DE7FC6"/>
    <w:rsid w:val="00DF0C0C"/>
    <w:rsid w:val="00DF1C49"/>
    <w:rsid w:val="00DF2648"/>
    <w:rsid w:val="00DF3385"/>
    <w:rsid w:val="00DF4C00"/>
    <w:rsid w:val="00DF65DB"/>
    <w:rsid w:val="00DF6DC2"/>
    <w:rsid w:val="00E00C81"/>
    <w:rsid w:val="00E03987"/>
    <w:rsid w:val="00E03BEA"/>
    <w:rsid w:val="00E03CFC"/>
    <w:rsid w:val="00E05359"/>
    <w:rsid w:val="00E0596F"/>
    <w:rsid w:val="00E06360"/>
    <w:rsid w:val="00E07D4A"/>
    <w:rsid w:val="00E117A2"/>
    <w:rsid w:val="00E13502"/>
    <w:rsid w:val="00E144C9"/>
    <w:rsid w:val="00E16B47"/>
    <w:rsid w:val="00E17FE1"/>
    <w:rsid w:val="00E2041E"/>
    <w:rsid w:val="00E218A7"/>
    <w:rsid w:val="00E21AC0"/>
    <w:rsid w:val="00E22095"/>
    <w:rsid w:val="00E2226F"/>
    <w:rsid w:val="00E22C91"/>
    <w:rsid w:val="00E23DBA"/>
    <w:rsid w:val="00E2739B"/>
    <w:rsid w:val="00E30984"/>
    <w:rsid w:val="00E30AE5"/>
    <w:rsid w:val="00E326EE"/>
    <w:rsid w:val="00E32855"/>
    <w:rsid w:val="00E32C5B"/>
    <w:rsid w:val="00E32D97"/>
    <w:rsid w:val="00E345B6"/>
    <w:rsid w:val="00E362A6"/>
    <w:rsid w:val="00E37EC2"/>
    <w:rsid w:val="00E414B7"/>
    <w:rsid w:val="00E417D5"/>
    <w:rsid w:val="00E430B5"/>
    <w:rsid w:val="00E43FE3"/>
    <w:rsid w:val="00E44766"/>
    <w:rsid w:val="00E46407"/>
    <w:rsid w:val="00E4751B"/>
    <w:rsid w:val="00E47729"/>
    <w:rsid w:val="00E47760"/>
    <w:rsid w:val="00E50409"/>
    <w:rsid w:val="00E51F14"/>
    <w:rsid w:val="00E53730"/>
    <w:rsid w:val="00E5438A"/>
    <w:rsid w:val="00E5564E"/>
    <w:rsid w:val="00E57561"/>
    <w:rsid w:val="00E57EAF"/>
    <w:rsid w:val="00E65303"/>
    <w:rsid w:val="00E66586"/>
    <w:rsid w:val="00E675A9"/>
    <w:rsid w:val="00E700C1"/>
    <w:rsid w:val="00E7017B"/>
    <w:rsid w:val="00E7122E"/>
    <w:rsid w:val="00E71C98"/>
    <w:rsid w:val="00E71F68"/>
    <w:rsid w:val="00E73000"/>
    <w:rsid w:val="00E73D33"/>
    <w:rsid w:val="00E75240"/>
    <w:rsid w:val="00E83472"/>
    <w:rsid w:val="00E83FB0"/>
    <w:rsid w:val="00E84BF6"/>
    <w:rsid w:val="00E84E0B"/>
    <w:rsid w:val="00E85B92"/>
    <w:rsid w:val="00E85F6F"/>
    <w:rsid w:val="00E90832"/>
    <w:rsid w:val="00E9191E"/>
    <w:rsid w:val="00E92337"/>
    <w:rsid w:val="00E94798"/>
    <w:rsid w:val="00EA1401"/>
    <w:rsid w:val="00EA24E9"/>
    <w:rsid w:val="00EA2989"/>
    <w:rsid w:val="00EA3352"/>
    <w:rsid w:val="00EA3B0C"/>
    <w:rsid w:val="00EA4866"/>
    <w:rsid w:val="00EB0A64"/>
    <w:rsid w:val="00EB10F4"/>
    <w:rsid w:val="00EB1710"/>
    <w:rsid w:val="00EB277F"/>
    <w:rsid w:val="00EB3CAC"/>
    <w:rsid w:val="00EB6CFD"/>
    <w:rsid w:val="00EC0401"/>
    <w:rsid w:val="00EC0432"/>
    <w:rsid w:val="00EC0BB3"/>
    <w:rsid w:val="00EC1192"/>
    <w:rsid w:val="00EC21E5"/>
    <w:rsid w:val="00EC2456"/>
    <w:rsid w:val="00EC37FD"/>
    <w:rsid w:val="00EC7538"/>
    <w:rsid w:val="00ED0D2F"/>
    <w:rsid w:val="00ED0EAD"/>
    <w:rsid w:val="00ED4319"/>
    <w:rsid w:val="00ED46E7"/>
    <w:rsid w:val="00ED4772"/>
    <w:rsid w:val="00EE10D1"/>
    <w:rsid w:val="00EE30AC"/>
    <w:rsid w:val="00EE39E3"/>
    <w:rsid w:val="00EE5608"/>
    <w:rsid w:val="00EE7B2D"/>
    <w:rsid w:val="00EE7B95"/>
    <w:rsid w:val="00EF19C2"/>
    <w:rsid w:val="00EF4279"/>
    <w:rsid w:val="00EF61FB"/>
    <w:rsid w:val="00F024EC"/>
    <w:rsid w:val="00F0294B"/>
    <w:rsid w:val="00F03C36"/>
    <w:rsid w:val="00F05758"/>
    <w:rsid w:val="00F058C7"/>
    <w:rsid w:val="00F114A5"/>
    <w:rsid w:val="00F1178D"/>
    <w:rsid w:val="00F12143"/>
    <w:rsid w:val="00F1285B"/>
    <w:rsid w:val="00F14A22"/>
    <w:rsid w:val="00F14E00"/>
    <w:rsid w:val="00F15F56"/>
    <w:rsid w:val="00F16882"/>
    <w:rsid w:val="00F177F8"/>
    <w:rsid w:val="00F2028F"/>
    <w:rsid w:val="00F21483"/>
    <w:rsid w:val="00F21AD7"/>
    <w:rsid w:val="00F25A01"/>
    <w:rsid w:val="00F26E45"/>
    <w:rsid w:val="00F32B9E"/>
    <w:rsid w:val="00F32E39"/>
    <w:rsid w:val="00F32FEC"/>
    <w:rsid w:val="00F333F1"/>
    <w:rsid w:val="00F33CA5"/>
    <w:rsid w:val="00F3418D"/>
    <w:rsid w:val="00F353C5"/>
    <w:rsid w:val="00F3543D"/>
    <w:rsid w:val="00F36456"/>
    <w:rsid w:val="00F367D2"/>
    <w:rsid w:val="00F36FC0"/>
    <w:rsid w:val="00F37F1A"/>
    <w:rsid w:val="00F41134"/>
    <w:rsid w:val="00F42564"/>
    <w:rsid w:val="00F42A4E"/>
    <w:rsid w:val="00F438E7"/>
    <w:rsid w:val="00F43F08"/>
    <w:rsid w:val="00F442EE"/>
    <w:rsid w:val="00F44966"/>
    <w:rsid w:val="00F44CC0"/>
    <w:rsid w:val="00F459F6"/>
    <w:rsid w:val="00F46179"/>
    <w:rsid w:val="00F4659E"/>
    <w:rsid w:val="00F46904"/>
    <w:rsid w:val="00F4724E"/>
    <w:rsid w:val="00F511CF"/>
    <w:rsid w:val="00F53E13"/>
    <w:rsid w:val="00F54261"/>
    <w:rsid w:val="00F54C6C"/>
    <w:rsid w:val="00F60272"/>
    <w:rsid w:val="00F61708"/>
    <w:rsid w:val="00F6291A"/>
    <w:rsid w:val="00F6344E"/>
    <w:rsid w:val="00F6373B"/>
    <w:rsid w:val="00F639F2"/>
    <w:rsid w:val="00F66A27"/>
    <w:rsid w:val="00F67B71"/>
    <w:rsid w:val="00F70B86"/>
    <w:rsid w:val="00F713AA"/>
    <w:rsid w:val="00F71E65"/>
    <w:rsid w:val="00F7362F"/>
    <w:rsid w:val="00F7396E"/>
    <w:rsid w:val="00F73D0C"/>
    <w:rsid w:val="00F749B3"/>
    <w:rsid w:val="00F75137"/>
    <w:rsid w:val="00F76277"/>
    <w:rsid w:val="00F807E0"/>
    <w:rsid w:val="00F83B23"/>
    <w:rsid w:val="00F84207"/>
    <w:rsid w:val="00F84B4E"/>
    <w:rsid w:val="00F865F1"/>
    <w:rsid w:val="00F938C9"/>
    <w:rsid w:val="00F93E06"/>
    <w:rsid w:val="00F9495A"/>
    <w:rsid w:val="00F95110"/>
    <w:rsid w:val="00F96690"/>
    <w:rsid w:val="00FA14CB"/>
    <w:rsid w:val="00FA2420"/>
    <w:rsid w:val="00FA275A"/>
    <w:rsid w:val="00FA2F3C"/>
    <w:rsid w:val="00FA5DD4"/>
    <w:rsid w:val="00FA6B25"/>
    <w:rsid w:val="00FA758A"/>
    <w:rsid w:val="00FB0543"/>
    <w:rsid w:val="00FB1B2E"/>
    <w:rsid w:val="00FB2286"/>
    <w:rsid w:val="00FB2CC6"/>
    <w:rsid w:val="00FB37E4"/>
    <w:rsid w:val="00FB4582"/>
    <w:rsid w:val="00FB4594"/>
    <w:rsid w:val="00FB470C"/>
    <w:rsid w:val="00FB4785"/>
    <w:rsid w:val="00FB47B6"/>
    <w:rsid w:val="00FB4AB0"/>
    <w:rsid w:val="00FB5847"/>
    <w:rsid w:val="00FC1244"/>
    <w:rsid w:val="00FC2A56"/>
    <w:rsid w:val="00FC2F8A"/>
    <w:rsid w:val="00FC3B4D"/>
    <w:rsid w:val="00FC40F7"/>
    <w:rsid w:val="00FC4887"/>
    <w:rsid w:val="00FC6C26"/>
    <w:rsid w:val="00FC7E60"/>
    <w:rsid w:val="00FD151F"/>
    <w:rsid w:val="00FD1706"/>
    <w:rsid w:val="00FD4337"/>
    <w:rsid w:val="00FD47CF"/>
    <w:rsid w:val="00FD4F90"/>
    <w:rsid w:val="00FD5AFE"/>
    <w:rsid w:val="00FD6C99"/>
    <w:rsid w:val="00FE25D3"/>
    <w:rsid w:val="00FE305E"/>
    <w:rsid w:val="00FE625F"/>
    <w:rsid w:val="00FE6E7F"/>
    <w:rsid w:val="00FE735F"/>
    <w:rsid w:val="00FF15C0"/>
    <w:rsid w:val="00FF1605"/>
    <w:rsid w:val="00FF1E7F"/>
    <w:rsid w:val="00FF596B"/>
    <w:rsid w:val="00FF6F7D"/>
    <w:rsid w:val="00FF7EEB"/>
    <w:rsid w:val="01661CB9"/>
    <w:rsid w:val="0176D4E1"/>
    <w:rsid w:val="02E18AA0"/>
    <w:rsid w:val="04B13CA0"/>
    <w:rsid w:val="059FBED5"/>
    <w:rsid w:val="05A098D3"/>
    <w:rsid w:val="06313388"/>
    <w:rsid w:val="0834DF60"/>
    <w:rsid w:val="090EDC0A"/>
    <w:rsid w:val="092CD868"/>
    <w:rsid w:val="094396C0"/>
    <w:rsid w:val="0946CB6A"/>
    <w:rsid w:val="097982BC"/>
    <w:rsid w:val="0A54A063"/>
    <w:rsid w:val="0ADE742F"/>
    <w:rsid w:val="0B36F577"/>
    <w:rsid w:val="0BC511A7"/>
    <w:rsid w:val="0C5DE46F"/>
    <w:rsid w:val="0E67360F"/>
    <w:rsid w:val="0ECA3781"/>
    <w:rsid w:val="10701C98"/>
    <w:rsid w:val="10B7114D"/>
    <w:rsid w:val="1148870F"/>
    <w:rsid w:val="122BA80B"/>
    <w:rsid w:val="1419ED7D"/>
    <w:rsid w:val="14E05719"/>
    <w:rsid w:val="153DD125"/>
    <w:rsid w:val="15F2F137"/>
    <w:rsid w:val="1627769D"/>
    <w:rsid w:val="1695D987"/>
    <w:rsid w:val="19DB2465"/>
    <w:rsid w:val="1AC7215A"/>
    <w:rsid w:val="1BE8ECA6"/>
    <w:rsid w:val="1CE5CACD"/>
    <w:rsid w:val="1DFD6BA4"/>
    <w:rsid w:val="1E4988B4"/>
    <w:rsid w:val="1EBA13C9"/>
    <w:rsid w:val="20A993A1"/>
    <w:rsid w:val="230BBF00"/>
    <w:rsid w:val="24CCFFFB"/>
    <w:rsid w:val="261DE251"/>
    <w:rsid w:val="281C65C9"/>
    <w:rsid w:val="29FD9570"/>
    <w:rsid w:val="2A8A2959"/>
    <w:rsid w:val="2B9483F8"/>
    <w:rsid w:val="2C729F0E"/>
    <w:rsid w:val="2CCD5683"/>
    <w:rsid w:val="2CF8CFC1"/>
    <w:rsid w:val="2D89741D"/>
    <w:rsid w:val="2DE7322B"/>
    <w:rsid w:val="2E9F9F94"/>
    <w:rsid w:val="2EE14846"/>
    <w:rsid w:val="2F3B404F"/>
    <w:rsid w:val="2F44A5AF"/>
    <w:rsid w:val="327CF9A6"/>
    <w:rsid w:val="32B48E37"/>
    <w:rsid w:val="335CC664"/>
    <w:rsid w:val="35E971D3"/>
    <w:rsid w:val="36AC610F"/>
    <w:rsid w:val="36CF1743"/>
    <w:rsid w:val="36FF8F41"/>
    <w:rsid w:val="37ADA350"/>
    <w:rsid w:val="3835CEAB"/>
    <w:rsid w:val="38907EA4"/>
    <w:rsid w:val="3B3B6A1B"/>
    <w:rsid w:val="3CEF8B6D"/>
    <w:rsid w:val="3FA7CD96"/>
    <w:rsid w:val="40E485F2"/>
    <w:rsid w:val="41439DF7"/>
    <w:rsid w:val="414B8B7D"/>
    <w:rsid w:val="42E75BDE"/>
    <w:rsid w:val="4566B021"/>
    <w:rsid w:val="460C576E"/>
    <w:rsid w:val="46297D22"/>
    <w:rsid w:val="46D9DE2E"/>
    <w:rsid w:val="470AD20D"/>
    <w:rsid w:val="4829BA43"/>
    <w:rsid w:val="49166DA1"/>
    <w:rsid w:val="49569D62"/>
    <w:rsid w:val="4CF5B073"/>
    <w:rsid w:val="4E849AE8"/>
    <w:rsid w:val="507D2EED"/>
    <w:rsid w:val="52805813"/>
    <w:rsid w:val="5291F712"/>
    <w:rsid w:val="52B8AC2F"/>
    <w:rsid w:val="5398FB4F"/>
    <w:rsid w:val="53D81A3E"/>
    <w:rsid w:val="55149A61"/>
    <w:rsid w:val="555A82E3"/>
    <w:rsid w:val="56C70BB5"/>
    <w:rsid w:val="570FBB00"/>
    <w:rsid w:val="57AD1CA8"/>
    <w:rsid w:val="57C55A52"/>
    <w:rsid w:val="58C3FACB"/>
    <w:rsid w:val="59A73647"/>
    <w:rsid w:val="5A812ACC"/>
    <w:rsid w:val="5B1CC70A"/>
    <w:rsid w:val="5B8AEC64"/>
    <w:rsid w:val="5CAC72A9"/>
    <w:rsid w:val="614D799B"/>
    <w:rsid w:val="63D6A9E4"/>
    <w:rsid w:val="64F138C4"/>
    <w:rsid w:val="6540DA69"/>
    <w:rsid w:val="66BD413B"/>
    <w:rsid w:val="66CE7C12"/>
    <w:rsid w:val="670899F7"/>
    <w:rsid w:val="691B0881"/>
    <w:rsid w:val="6B88C4D8"/>
    <w:rsid w:val="6CB0D8E9"/>
    <w:rsid w:val="6D12421F"/>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EDE76EA"/>
    <w:rsid w:val="7F497DD8"/>
    <w:rsid w:val="7F9FE3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ABA5DC64-BEC2-4878-94EF-71AA1D5E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Bullets"/>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paragraph" w:styleId="NormalWeb">
    <w:name w:val="Normal (Web)"/>
    <w:basedOn w:val="Normal"/>
    <w:uiPriority w:val="99"/>
    <w:unhideWhenUsed/>
    <w:rsid w:val="00D579D2"/>
    <w:pPr>
      <w:spacing w:before="100" w:beforeAutospacing="1" w:after="100" w:afterAutospacing="1"/>
    </w:pPr>
    <w:rPr>
      <w:rFonts w:ascii="Times New Roman" w:eastAsia="Times New Roman" w:hAnsi="Times New Roman" w:cs="Times New Roman"/>
      <w:sz w:val="24"/>
      <w:lang w:eastAsia="en-AU"/>
    </w:rPr>
  </w:style>
  <w:style w:type="table" w:customStyle="1" w:styleId="TableGrid6">
    <w:name w:val="Table Grid6"/>
    <w:basedOn w:val="TableNormal"/>
    <w:next w:val="TableGrid"/>
    <w:uiPriority w:val="39"/>
    <w:rsid w:val="00D579D2"/>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7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101655318">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 w:id="17855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annonwater.sharepoint.com/:w:/r/sites/cdms/Published%20Documents/Zero%20Harm%20Policy.DOCX?d=w28a88858bc424da988df5d4ce744b530&amp;csf=1&amp;web=1&amp;e=LI0fqJ"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222D20"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222D20"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222D20"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222D20"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222D20"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44FAD"/>
    <w:rsid w:val="000523A2"/>
    <w:rsid w:val="00064088"/>
    <w:rsid w:val="000D1F69"/>
    <w:rsid w:val="001216BC"/>
    <w:rsid w:val="00222D20"/>
    <w:rsid w:val="002910F8"/>
    <w:rsid w:val="002F215D"/>
    <w:rsid w:val="00315839"/>
    <w:rsid w:val="00350D0A"/>
    <w:rsid w:val="0044135E"/>
    <w:rsid w:val="00483C17"/>
    <w:rsid w:val="0049300C"/>
    <w:rsid w:val="004E3C9E"/>
    <w:rsid w:val="00593307"/>
    <w:rsid w:val="005E1FF8"/>
    <w:rsid w:val="006C047E"/>
    <w:rsid w:val="006D2FE2"/>
    <w:rsid w:val="007E6D83"/>
    <w:rsid w:val="008873E9"/>
    <w:rsid w:val="00974604"/>
    <w:rsid w:val="009A1E02"/>
    <w:rsid w:val="009B2009"/>
    <w:rsid w:val="00B1100A"/>
    <w:rsid w:val="00BC7DF5"/>
    <w:rsid w:val="00BE729B"/>
    <w:rsid w:val="00C01FFB"/>
    <w:rsid w:val="00C03107"/>
    <w:rsid w:val="00C11FA1"/>
    <w:rsid w:val="00C24521"/>
    <w:rsid w:val="00C252C9"/>
    <w:rsid w:val="00C90687"/>
    <w:rsid w:val="00CC54AD"/>
    <w:rsid w:val="00D52CD0"/>
    <w:rsid w:val="00DC784E"/>
    <w:rsid w:val="00DD4E14"/>
    <w:rsid w:val="00E435CE"/>
    <w:rsid w:val="00E52434"/>
    <w:rsid w:val="00EA6C67"/>
    <w:rsid w:val="00F03E31"/>
    <w:rsid w:val="00F147F7"/>
    <w:rsid w:val="00F177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K a p i s h F i l e n a m e T o U r i M a p p i n g s   x m l n s : x s d = " h t t p : / / w w w . w 3 . o r g / 2 0 0 1 / X M L S c h e m a "   x m l n s : x s i = " h t t p : / / w w w . w 3 . o r g / 2 0 0 1 / X M L S c h e m a - i n s t a n c 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962CA-1904-45C2-80C0-8F7D87F22AE6}">
  <ds:schemaRefs>
    <ds:schemaRef ds:uri="http://www.w3.org/2001/XMLSchema"/>
  </ds:schemaRefs>
</ds:datastoreItem>
</file>

<file path=customXml/itemProps2.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4.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1601</Words>
  <Characters>9606</Characters>
  <Application>Microsoft Office Word</Application>
  <DocSecurity>0</DocSecurity>
  <Lines>738</Lines>
  <Paragraphs>466</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Sharon Rowe</cp:lastModifiedBy>
  <cp:revision>220</cp:revision>
  <cp:lastPrinted>2024-05-09T01:12:00Z</cp:lastPrinted>
  <dcterms:created xsi:type="dcterms:W3CDTF">2023-07-23T09:21:00Z</dcterms:created>
  <dcterms:modified xsi:type="dcterms:W3CDTF">2024-07-02T04:12:00Z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