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34B56" w:rsidR="009C1B58" w:rsidP="00D24E20" w:rsidRDefault="009C1B58" w14:paraId="432A0B4E" w14:textId="4FFBA2E2">
      <w:pPr>
        <w:pStyle w:val="Heading1"/>
      </w:pPr>
      <w:r w:rsidRPr="00734B56">
        <w:t>Purpose</w:t>
      </w:r>
    </w:p>
    <w:p w:rsidR="00734F05" w:rsidP="002D61A7" w:rsidRDefault="00734F05" w14:paraId="146E3CD9" w14:textId="26F1795D">
      <w:r>
        <w:t xml:space="preserve">The purpose of this standard is to provide a </w:t>
      </w:r>
      <w:r w:rsidR="00B710D0">
        <w:t>Wannon Water</w:t>
      </w:r>
      <w:r>
        <w:t xml:space="preserve"> framework and guidance for the management of </w:t>
      </w:r>
      <w:r w:rsidR="00E16F53">
        <w:t xml:space="preserve">hazards and </w:t>
      </w:r>
      <w:r>
        <w:t>risks</w:t>
      </w:r>
      <w:r w:rsidR="003C6432">
        <w:t xml:space="preserve"> to reduce </w:t>
      </w:r>
      <w:r w:rsidR="00B710D0">
        <w:t xml:space="preserve">the </w:t>
      </w:r>
      <w:r w:rsidR="00E0771A">
        <w:t>risk</w:t>
      </w:r>
      <w:r w:rsidR="00B710D0">
        <w:t>s</w:t>
      </w:r>
      <w:r w:rsidR="00E0771A">
        <w:t xml:space="preserve"> associated with our activities and ensure compliance with </w:t>
      </w:r>
      <w:r w:rsidR="00C023F4">
        <w:t xml:space="preserve">our </w:t>
      </w:r>
      <w:r w:rsidR="00E0771A">
        <w:t>obligations</w:t>
      </w:r>
      <w:r>
        <w:t>.</w:t>
      </w:r>
    </w:p>
    <w:p w:rsidR="00734F05" w:rsidP="002D61A7" w:rsidRDefault="00734F05" w14:paraId="02ED6C57" w14:textId="77777777"/>
    <w:p w:rsidR="002D61A7" w:rsidP="002D61A7" w:rsidRDefault="000379E8" w14:paraId="76C5F141" w14:textId="2E2F90D4">
      <w:r>
        <w:t>We are</w:t>
      </w:r>
      <w:r w:rsidRPr="00912E69" w:rsidR="00912E69">
        <w:t xml:space="preserve"> exposed to a variety of hazards, risks and opportunities associated with </w:t>
      </w:r>
      <w:r>
        <w:t>our</w:t>
      </w:r>
      <w:r w:rsidRPr="00912E69">
        <w:t xml:space="preserve"> </w:t>
      </w:r>
      <w:r w:rsidRPr="00912E69" w:rsidR="00912E69">
        <w:t xml:space="preserve">activities, products, and services </w:t>
      </w:r>
      <w:r w:rsidR="00BE0185">
        <w:t>we provid</w:t>
      </w:r>
      <w:r w:rsidR="00AB5C14">
        <w:t>e</w:t>
      </w:r>
      <w:r w:rsidR="0056254C">
        <w:t xml:space="preserve">. </w:t>
      </w:r>
      <w:r w:rsidRPr="00912E69" w:rsidR="00912E69">
        <w:t>Failure to identify</w:t>
      </w:r>
      <w:r w:rsidR="008143A8">
        <w:t xml:space="preserve"> </w:t>
      </w:r>
      <w:r w:rsidRPr="00912E69" w:rsidR="00912E69">
        <w:t>hazards</w:t>
      </w:r>
      <w:r w:rsidR="0061750C">
        <w:t>,</w:t>
      </w:r>
      <w:r w:rsidRPr="00912E69" w:rsidR="00912E69">
        <w:t xml:space="preserve"> </w:t>
      </w:r>
      <w:r w:rsidR="00BE0185">
        <w:t xml:space="preserve">and </w:t>
      </w:r>
      <w:r w:rsidRPr="00912E69" w:rsidR="00912E69">
        <w:t xml:space="preserve">effectively manage risks </w:t>
      </w:r>
      <w:r w:rsidR="0061750C">
        <w:t xml:space="preserve">or take advantage of </w:t>
      </w:r>
      <w:r w:rsidR="00AB5C14">
        <w:t>potential</w:t>
      </w:r>
      <w:r w:rsidR="0061750C">
        <w:t xml:space="preserve"> opportunities </w:t>
      </w:r>
      <w:r w:rsidRPr="00912E69" w:rsidR="00912E69">
        <w:t xml:space="preserve">can cause harm to our people / community, the environment and </w:t>
      </w:r>
      <w:r w:rsidR="00AB5C14">
        <w:t xml:space="preserve">may </w:t>
      </w:r>
      <w:r w:rsidRPr="00912E69" w:rsidR="00912E69">
        <w:t xml:space="preserve">adversely impact </w:t>
      </w:r>
      <w:r w:rsidR="006367E6">
        <w:t xml:space="preserve">our Strategic Direction and our </w:t>
      </w:r>
      <w:r w:rsidRPr="00487B78" w:rsidR="005A5358">
        <w:rPr>
          <w:b/>
        </w:rPr>
        <w:t>Zero Harm</w:t>
      </w:r>
      <w:r w:rsidR="005A5358">
        <w:t xml:space="preserve"> ambition</w:t>
      </w:r>
      <w:r w:rsidRPr="00912E69" w:rsidR="0056254C">
        <w:t xml:space="preserve">. </w:t>
      </w:r>
    </w:p>
    <w:p w:rsidRPr="002D61A7" w:rsidR="00D865D2" w:rsidP="002D61A7" w:rsidRDefault="00D865D2" w14:paraId="7C14033B" w14:textId="5282EF37">
      <w:pPr>
        <w:rPr>
          <w:noProof/>
          <w:shd w:val="clear" w:color="auto" w:fill="FFFFFF"/>
        </w:rPr>
      </w:pPr>
    </w:p>
    <w:p w:rsidRPr="005D2EB7" w:rsidR="005B1C31" w:rsidP="005D2EB7" w:rsidRDefault="009C1B58" w14:paraId="1E5D636D" w14:textId="35C92B65">
      <w:pPr>
        <w:pStyle w:val="Heading1"/>
      </w:pPr>
      <w:r w:rsidRPr="005D2EB7">
        <w:t>Sco</w:t>
      </w:r>
      <w:r w:rsidRPr="005D2EB7" w:rsidR="005B1C31">
        <w:t>pe</w:t>
      </w:r>
    </w:p>
    <w:p w:rsidRPr="00735959" w:rsidR="00735959" w:rsidP="00735959" w:rsidRDefault="00735959" w14:paraId="000736BB" w14:textId="77777777">
      <w:pPr>
        <w:rPr>
          <w:noProof/>
          <w:shd w:val="clear" w:color="auto" w:fill="FFFFFF"/>
        </w:rPr>
      </w:pPr>
      <w:r w:rsidRPr="00735959">
        <w:rPr>
          <w:noProof/>
          <w:shd w:val="clear" w:color="auto" w:fill="FFFFFF"/>
        </w:rPr>
        <w:t>This framework applies to:</w:t>
      </w:r>
    </w:p>
    <w:p w:rsidRPr="00542CA8" w:rsidR="006D7763" w:rsidP="00542CA8" w:rsidRDefault="00542CA8" w14:paraId="412A949A" w14:textId="2E2094EA">
      <w:pPr>
        <w:pStyle w:val="ListParagraph"/>
        <w:numPr>
          <w:ilvl w:val="0"/>
          <w:numId w:val="26"/>
        </w:numPr>
        <w:rPr>
          <w:noProof/>
          <w:shd w:val="clear" w:color="auto" w:fill="FFFFFF"/>
        </w:rPr>
      </w:pPr>
      <w:r w:rsidRPr="00542CA8">
        <w:rPr>
          <w:noProof/>
          <w:shd w:val="clear" w:color="auto" w:fill="FFFFFF"/>
        </w:rPr>
        <w:t>All employees, contractors or other persons (e.g., volunteers) engaged in our activies who are under our direct super</w:t>
      </w:r>
      <w:r w:rsidRPr="00B94B3D">
        <w:rPr>
          <w:noProof/>
          <w:shd w:val="clear" w:color="auto" w:fill="FFFFFF"/>
        </w:rPr>
        <w:t>vision</w:t>
      </w:r>
      <w:r w:rsidRPr="00B94B3D">
        <w:rPr>
          <w:rStyle w:val="FootnoteReference"/>
          <w:noProof/>
          <w:shd w:val="clear" w:color="auto" w:fill="FFFFFF"/>
        </w:rPr>
        <w:footnoteReference w:id="2"/>
      </w:r>
    </w:p>
    <w:p w:rsidRPr="00735959" w:rsidR="00735959" w:rsidP="00735959" w:rsidRDefault="00735959" w14:paraId="2FCB5C81" w14:textId="7BBDF345">
      <w:pPr>
        <w:pStyle w:val="ListParagraph"/>
        <w:numPr>
          <w:ilvl w:val="0"/>
          <w:numId w:val="26"/>
        </w:numPr>
        <w:rPr>
          <w:noProof/>
          <w:shd w:val="clear" w:color="auto" w:fill="FFFFFF"/>
        </w:rPr>
      </w:pPr>
      <w:r w:rsidRPr="00735959">
        <w:rPr>
          <w:noProof/>
          <w:shd w:val="clear" w:color="auto" w:fill="FFFFFF"/>
        </w:rPr>
        <w:t xml:space="preserve">All sites owned or managed by Wannon Water </w:t>
      </w:r>
    </w:p>
    <w:p w:rsidRPr="00735959" w:rsidR="00735959" w:rsidP="00735959" w:rsidRDefault="00735959" w14:paraId="27A8A007" w14:textId="44630528">
      <w:pPr>
        <w:pStyle w:val="ListParagraph"/>
        <w:numPr>
          <w:ilvl w:val="0"/>
          <w:numId w:val="26"/>
        </w:numPr>
        <w:rPr>
          <w:noProof/>
          <w:shd w:val="clear" w:color="auto" w:fill="FFFFFF"/>
        </w:rPr>
      </w:pPr>
      <w:r w:rsidRPr="00735959">
        <w:rPr>
          <w:noProof/>
          <w:shd w:val="clear" w:color="auto" w:fill="FFFFFF"/>
        </w:rPr>
        <w:t>All activites performed by any employee, contractor or person for Wannon Water</w:t>
      </w:r>
    </w:p>
    <w:p w:rsidRPr="00735959" w:rsidR="00735959" w:rsidP="00735959" w:rsidRDefault="00735959" w14:paraId="0B0FE185" w14:textId="63059F17">
      <w:pPr>
        <w:pStyle w:val="ListParagraph"/>
        <w:numPr>
          <w:ilvl w:val="0"/>
          <w:numId w:val="26"/>
        </w:numPr>
        <w:rPr>
          <w:noProof/>
          <w:shd w:val="clear" w:color="auto" w:fill="FFFFFF"/>
        </w:rPr>
      </w:pPr>
      <w:r w:rsidRPr="00735959">
        <w:rPr>
          <w:noProof/>
          <w:shd w:val="clear" w:color="auto" w:fill="FFFFFF"/>
        </w:rPr>
        <w:t>Planned and unplanned (e.g. incidents and emergency events) activites</w:t>
      </w:r>
    </w:p>
    <w:p w:rsidRPr="00735959" w:rsidR="00E2041E" w:rsidP="00735959" w:rsidRDefault="00735959" w14:paraId="04AC7787" w14:textId="4164232F">
      <w:pPr>
        <w:pStyle w:val="ListParagraph"/>
        <w:numPr>
          <w:ilvl w:val="0"/>
          <w:numId w:val="26"/>
        </w:numPr>
        <w:rPr>
          <w:noProof/>
          <w:shd w:val="clear" w:color="auto" w:fill="FFFFFF"/>
        </w:rPr>
      </w:pPr>
      <w:r w:rsidRPr="00735959">
        <w:rPr>
          <w:noProof/>
          <w:shd w:val="clear" w:color="auto" w:fill="FFFFFF"/>
        </w:rPr>
        <w:t>All products and equipment introduced or used within Wannon Water</w:t>
      </w:r>
    </w:p>
    <w:p w:rsidRPr="002A0E89" w:rsidR="00857805" w:rsidP="00857805" w:rsidRDefault="00857805" w14:paraId="05D5CF01" w14:textId="6FAAE29E">
      <w:pPr>
        <w:rPr>
          <w:b/>
          <w:shd w:val="clear" w:color="auto" w:fill="FFFFFF"/>
        </w:rPr>
      </w:pPr>
      <w:r w:rsidRPr="002A0E89">
        <w:rPr>
          <w:b/>
          <w:shd w:val="clear" w:color="auto" w:fill="FFFFFF"/>
        </w:rPr>
        <w:t>Out of scope:</w:t>
      </w:r>
    </w:p>
    <w:p w:rsidRPr="00191A30" w:rsidR="00857805" w:rsidP="001A477E" w:rsidRDefault="0017066D" w14:paraId="518A91AA" w14:textId="400BCA16">
      <w:pPr>
        <w:pStyle w:val="ListParagraph"/>
        <w:numPr>
          <w:ilvl w:val="0"/>
          <w:numId w:val="32"/>
        </w:numPr>
        <w:rPr>
          <w:noProof/>
          <w:shd w:val="clear" w:color="auto" w:fill="FFFFFF"/>
        </w:rPr>
      </w:pPr>
      <w:r w:rsidRPr="00191A30">
        <w:rPr>
          <w:noProof/>
          <w:shd w:val="clear" w:color="auto" w:fill="FFFFFF"/>
        </w:rPr>
        <w:t xml:space="preserve">When a principal contractor </w:t>
      </w:r>
      <w:r w:rsidRPr="00D316AE" w:rsidR="00746056">
        <w:rPr>
          <w:noProof/>
        </w:rPr>
        <w:t xml:space="preserve">has been granted formal possession </w:t>
      </w:r>
      <w:r w:rsidRPr="00191A30">
        <w:rPr>
          <w:noProof/>
          <w:shd w:val="clear" w:color="auto" w:fill="FFFFFF"/>
        </w:rPr>
        <w:t xml:space="preserve">of a Wannon Water site whilst carrying out contracted work. It is the responsibility of the principal contractor to comply with the relevant </w:t>
      </w:r>
      <w:r w:rsidRPr="00191A30" w:rsidR="007078C9">
        <w:rPr>
          <w:noProof/>
          <w:shd w:val="clear" w:color="auto" w:fill="FFFFFF"/>
        </w:rPr>
        <w:t xml:space="preserve">hazard and risk </w:t>
      </w:r>
      <w:r w:rsidRPr="00191A30">
        <w:rPr>
          <w:noProof/>
          <w:shd w:val="clear" w:color="auto" w:fill="FFFFFF"/>
        </w:rPr>
        <w:t>management requir</w:t>
      </w:r>
      <w:r w:rsidR="00865BD7">
        <w:rPr>
          <w:noProof/>
          <w:shd w:val="clear" w:color="auto" w:fill="FFFFFF"/>
        </w:rPr>
        <w:t>e</w:t>
      </w:r>
      <w:r w:rsidRPr="00191A30">
        <w:rPr>
          <w:noProof/>
          <w:shd w:val="clear" w:color="auto" w:fill="FFFFFF"/>
        </w:rPr>
        <w:t>ments and consult with the Engaging Officer</w:t>
      </w:r>
      <w:r w:rsidRPr="00191A30" w:rsidR="00BF67AD">
        <w:rPr>
          <w:noProof/>
          <w:shd w:val="clear" w:color="auto" w:fill="FFFFFF"/>
        </w:rPr>
        <w:t>. We still have a duty to communicate and collaborate to manage any hazards and risks relevant to each party.</w:t>
      </w:r>
    </w:p>
    <w:p w:rsidRPr="00817862" w:rsidR="00817862" w:rsidP="005D2EB7" w:rsidRDefault="00EB10F4" w14:paraId="565EB3FB" w14:textId="52600DDB">
      <w:pPr>
        <w:pStyle w:val="Heading1"/>
      </w:pPr>
      <w:r>
        <w:t xml:space="preserve">Standard </w:t>
      </w:r>
      <w:r w:rsidR="00AD3DF3">
        <w:t>r</w:t>
      </w:r>
      <w:r>
        <w:t>equirements</w:t>
      </w:r>
      <w:r w:rsidR="00011B92">
        <w:t xml:space="preserve"> </w:t>
      </w:r>
    </w:p>
    <w:tbl>
      <w:tblPr>
        <w:tblStyle w:val="TableGrid"/>
        <w:tblW w:w="10149" w:type="dxa"/>
        <w:tblLook w:val="04A0" w:firstRow="1" w:lastRow="0" w:firstColumn="1" w:lastColumn="0" w:noHBand="0" w:noVBand="1"/>
      </w:tblPr>
      <w:tblGrid>
        <w:gridCol w:w="5613"/>
        <w:gridCol w:w="2268"/>
        <w:gridCol w:w="2268"/>
      </w:tblGrid>
      <w:tr w:rsidRPr="00CE7833" w:rsidR="00817862" w:rsidTr="0098534B" w14:paraId="13F76835" w14:textId="77777777">
        <w:trPr>
          <w:trHeight w:val="567"/>
          <w:tblHeader/>
        </w:trPr>
        <w:tc>
          <w:tcPr>
            <w:tcW w:w="5613" w:type="dxa"/>
            <w:tcBorders>
              <w:bottom w:val="single" w:color="auto" w:sz="4" w:space="0"/>
            </w:tcBorders>
            <w:shd w:val="clear" w:color="auto" w:fill="00B4D0" w:themeFill="accent1"/>
            <w:vAlign w:val="center"/>
          </w:tcPr>
          <w:p w:rsidRPr="00CE7833" w:rsidR="00817862" w:rsidP="0098534B" w:rsidRDefault="00191A30" w14:paraId="0A2B806D" w14:textId="1A0400DA">
            <w:pPr>
              <w:rPr>
                <w:b/>
                <w:bCs/>
                <w:color w:val="FFFFFF" w:themeColor="background1"/>
              </w:rPr>
            </w:pPr>
            <w:r>
              <w:rPr>
                <w:b/>
                <w:bCs/>
                <w:color w:val="FFFFFF" w:themeColor="background1"/>
              </w:rPr>
              <w:t>Requirements</w:t>
            </w:r>
          </w:p>
        </w:tc>
        <w:tc>
          <w:tcPr>
            <w:tcW w:w="2268" w:type="dxa"/>
            <w:tcBorders>
              <w:bottom w:val="single" w:color="auto" w:sz="4" w:space="0"/>
            </w:tcBorders>
            <w:shd w:val="clear" w:color="auto" w:fill="00B4D0" w:themeFill="accent1"/>
            <w:vAlign w:val="center"/>
          </w:tcPr>
          <w:p w:rsidRPr="00CE7833" w:rsidR="00817862" w:rsidP="0098534B" w:rsidRDefault="00817862" w14:paraId="41EA79B7" w14:textId="5AE15772">
            <w:pPr>
              <w:jc w:val="center"/>
              <w:rPr>
                <w:b/>
                <w:bCs/>
                <w:color w:val="FFFFFF" w:themeColor="background1"/>
              </w:rPr>
            </w:pPr>
            <w:r w:rsidRPr="00CE7833">
              <w:rPr>
                <w:b/>
                <w:bCs/>
                <w:color w:val="FFFFFF" w:themeColor="background1"/>
              </w:rPr>
              <w:t>Responsibility</w:t>
            </w:r>
            <w:r w:rsidR="005F015C">
              <w:rPr>
                <w:rStyle w:val="FootnoteReference"/>
                <w:b/>
                <w:bCs/>
                <w:color w:val="FFFFFF" w:themeColor="background1"/>
              </w:rPr>
              <w:footnoteReference w:id="3"/>
            </w:r>
          </w:p>
        </w:tc>
        <w:tc>
          <w:tcPr>
            <w:tcW w:w="2268" w:type="dxa"/>
            <w:tcBorders>
              <w:bottom w:val="single" w:color="auto" w:sz="4" w:space="0"/>
            </w:tcBorders>
            <w:shd w:val="clear" w:color="auto" w:fill="00B4D0" w:themeFill="accent1"/>
            <w:vAlign w:val="center"/>
          </w:tcPr>
          <w:p w:rsidRPr="00CE7833" w:rsidR="00817862" w:rsidP="0098534B" w:rsidRDefault="00817862" w14:paraId="5B4C2A16" w14:textId="7849453C">
            <w:pPr>
              <w:jc w:val="center"/>
              <w:rPr>
                <w:b/>
                <w:bCs/>
                <w:color w:val="FFFFFF" w:themeColor="background1"/>
              </w:rPr>
            </w:pPr>
            <w:r>
              <w:rPr>
                <w:b/>
                <w:bCs/>
                <w:color w:val="FFFFFF" w:themeColor="background1"/>
              </w:rPr>
              <w:t>Accountability</w:t>
            </w:r>
            <w:r w:rsidR="006E454D">
              <w:rPr>
                <w:rStyle w:val="FootnoteReference"/>
                <w:b/>
                <w:bCs/>
                <w:color w:val="FFFFFF" w:themeColor="background1"/>
              </w:rPr>
              <w:footnoteReference w:id="4"/>
            </w:r>
          </w:p>
        </w:tc>
      </w:tr>
      <w:tr w:rsidRPr="00594CE0" w:rsidR="00055F0E" w:rsidTr="007956D3" w14:paraId="6437E652" w14:textId="77777777">
        <w:trPr>
          <w:trHeight w:val="454"/>
        </w:trPr>
        <w:tc>
          <w:tcPr>
            <w:tcW w:w="5613" w:type="dxa"/>
            <w:vAlign w:val="center"/>
          </w:tcPr>
          <w:p w:rsidRPr="0059224A" w:rsidR="00055F0E" w:rsidP="00055F0E" w:rsidRDefault="000C6287" w14:paraId="4C71FBFF" w14:textId="0A46AE1D">
            <w:pPr>
              <w:rPr>
                <w:b/>
                <w:bCs/>
              </w:rPr>
            </w:pPr>
            <w:r>
              <w:t>Training an</w:t>
            </w:r>
            <w:r w:rsidR="000B2537">
              <w:t>d</w:t>
            </w:r>
            <w:r>
              <w:t xml:space="preserve"> guidance</w:t>
            </w:r>
            <w:r w:rsidR="000B2537">
              <w:t xml:space="preserve"> information</w:t>
            </w:r>
            <w:r>
              <w:t xml:space="preserve"> must be</w:t>
            </w:r>
            <w:r w:rsidR="000B2537">
              <w:t xml:space="preserve"> provided </w:t>
            </w:r>
            <w:r w:rsidR="008B277F">
              <w:t xml:space="preserve">and made accessible </w:t>
            </w:r>
            <w:r w:rsidR="000B2537">
              <w:t xml:space="preserve">to employees </w:t>
            </w:r>
            <w:r w:rsidR="00F94D9C">
              <w:t xml:space="preserve">completing </w:t>
            </w:r>
            <w:r w:rsidRPr="00D42952" w:rsidR="00055F0E">
              <w:t>risk management</w:t>
            </w:r>
            <w:r w:rsidR="00F94D9C">
              <w:t xml:space="preserve"> activities within our framework.</w:t>
            </w:r>
          </w:p>
        </w:tc>
        <w:tc>
          <w:tcPr>
            <w:tcW w:w="2268" w:type="dxa"/>
            <w:vAlign w:val="center"/>
          </w:tcPr>
          <w:p w:rsidR="003E52D5" w:rsidP="00055F0E" w:rsidRDefault="00055F0E" w14:paraId="559C1317" w14:textId="4DC17241">
            <w:r w:rsidRPr="00280DA7">
              <w:rPr>
                <w:b/>
                <w:bCs/>
              </w:rPr>
              <w:t>Executive People &amp; Resilience</w:t>
            </w:r>
          </w:p>
          <w:p w:rsidRPr="0059224A" w:rsidR="00055F0E" w:rsidP="00055F0E" w:rsidRDefault="003E52D5" w14:paraId="4BDD4791" w14:textId="1980DCFD">
            <w:pPr>
              <w:rPr>
                <w:b/>
                <w:bCs/>
              </w:rPr>
            </w:pPr>
            <w:r>
              <w:t xml:space="preserve">All </w:t>
            </w:r>
            <w:r w:rsidR="00053708">
              <w:t>BM</w:t>
            </w:r>
          </w:p>
        </w:tc>
        <w:tc>
          <w:tcPr>
            <w:tcW w:w="2268" w:type="dxa"/>
            <w:vAlign w:val="center"/>
          </w:tcPr>
          <w:p w:rsidRPr="0059224A" w:rsidR="00055F0E" w:rsidP="00055F0E" w:rsidRDefault="00055F0E" w14:paraId="60096A17" w14:textId="2BE1C40B">
            <w:pPr>
              <w:rPr>
                <w:b/>
                <w:bCs/>
              </w:rPr>
            </w:pPr>
            <w:r>
              <w:t xml:space="preserve">GM People &amp; Business Services </w:t>
            </w:r>
          </w:p>
        </w:tc>
      </w:tr>
      <w:tr w:rsidRPr="00594CE0" w:rsidR="0059224A" w:rsidTr="007956D3" w14:paraId="494529D2" w14:textId="77777777">
        <w:trPr>
          <w:trHeight w:val="454"/>
        </w:trPr>
        <w:tc>
          <w:tcPr>
            <w:tcW w:w="10149" w:type="dxa"/>
            <w:gridSpan w:val="3"/>
            <w:tcBorders>
              <w:top w:val="nil"/>
              <w:left w:val="nil"/>
              <w:right w:val="nil"/>
            </w:tcBorders>
            <w:vAlign w:val="center"/>
          </w:tcPr>
          <w:p w:rsidRPr="007E3419" w:rsidR="0059224A" w:rsidP="0098534B" w:rsidRDefault="0059224A" w14:paraId="762D7743" w14:textId="21436DF7">
            <w:r w:rsidRPr="0059224A">
              <w:rPr>
                <w:b/>
                <w:bCs/>
              </w:rPr>
              <w:t xml:space="preserve">Hazard </w:t>
            </w:r>
            <w:r w:rsidR="00F86D54">
              <w:rPr>
                <w:b/>
                <w:bCs/>
              </w:rPr>
              <w:t>and</w:t>
            </w:r>
            <w:r w:rsidRPr="0059224A">
              <w:rPr>
                <w:b/>
                <w:bCs/>
              </w:rPr>
              <w:t xml:space="preserve"> Risk Identification </w:t>
            </w:r>
          </w:p>
        </w:tc>
      </w:tr>
      <w:tr w:rsidRPr="00594CE0" w:rsidR="0053583A" w:rsidTr="0098534B" w14:paraId="1E29F157" w14:textId="77777777">
        <w:trPr>
          <w:trHeight w:val="454"/>
        </w:trPr>
        <w:tc>
          <w:tcPr>
            <w:tcW w:w="5613" w:type="dxa"/>
            <w:vAlign w:val="center"/>
          </w:tcPr>
          <w:p w:rsidRPr="00043E07" w:rsidR="0053583A" w:rsidP="0053583A" w:rsidRDefault="0053583A" w14:paraId="50DF5840" w14:textId="4BB16D6D">
            <w:r w:rsidRPr="00043E07">
              <w:t xml:space="preserve">A </w:t>
            </w:r>
            <w:r w:rsidRPr="00326E74">
              <w:rPr>
                <w:b/>
                <w:bCs/>
              </w:rPr>
              <w:t>Risk Management Framework</w:t>
            </w:r>
            <w:r w:rsidRPr="00043E07">
              <w:t xml:space="preserve"> must be developed </w:t>
            </w:r>
            <w:r w:rsidR="00E52642">
              <w:t xml:space="preserve">and </w:t>
            </w:r>
            <w:r w:rsidRPr="00043E07">
              <w:t xml:space="preserve">meet the requirements of </w:t>
            </w:r>
            <w:r w:rsidRPr="007956D3">
              <w:rPr>
                <w:b/>
                <w:bCs/>
              </w:rPr>
              <w:t>the Statement of Obligations</w:t>
            </w:r>
            <w:r w:rsidRPr="00043E07">
              <w:t xml:space="preserve"> and the </w:t>
            </w:r>
            <w:r w:rsidRPr="007956D3">
              <w:rPr>
                <w:b/>
                <w:bCs/>
              </w:rPr>
              <w:t>Victorian Government Risk Management Framework</w:t>
            </w:r>
            <w:r w:rsidRPr="007956D3" w:rsidR="00D70149">
              <w:rPr>
                <w:b/>
                <w:bCs/>
              </w:rPr>
              <w:t>.</w:t>
            </w:r>
          </w:p>
        </w:tc>
        <w:tc>
          <w:tcPr>
            <w:tcW w:w="2268" w:type="dxa"/>
            <w:vAlign w:val="center"/>
          </w:tcPr>
          <w:p w:rsidRPr="007956D3" w:rsidR="0053583A" w:rsidP="0053583A" w:rsidRDefault="0053583A" w14:paraId="23496771" w14:textId="794282AB">
            <w:pPr>
              <w:rPr>
                <w:b/>
                <w:bCs/>
              </w:rPr>
            </w:pPr>
            <w:r w:rsidRPr="007956D3">
              <w:rPr>
                <w:b/>
                <w:bCs/>
              </w:rPr>
              <w:t xml:space="preserve">Executive People &amp; Resilience </w:t>
            </w:r>
          </w:p>
        </w:tc>
        <w:tc>
          <w:tcPr>
            <w:tcW w:w="2268" w:type="dxa"/>
            <w:vAlign w:val="center"/>
          </w:tcPr>
          <w:p w:rsidR="0053583A" w:rsidP="0053583A" w:rsidRDefault="0053583A" w14:paraId="52122BDF" w14:textId="079BD7EF">
            <w:r>
              <w:t xml:space="preserve">GM People &amp; Business Services </w:t>
            </w:r>
          </w:p>
        </w:tc>
      </w:tr>
      <w:tr w:rsidRPr="00594CE0" w:rsidR="00EC2B24" w:rsidTr="0098534B" w14:paraId="13B96235" w14:textId="77777777">
        <w:trPr>
          <w:trHeight w:val="454"/>
        </w:trPr>
        <w:tc>
          <w:tcPr>
            <w:tcW w:w="5613" w:type="dxa"/>
            <w:vAlign w:val="center"/>
          </w:tcPr>
          <w:p w:rsidRPr="00043E07" w:rsidR="004B17A5" w:rsidP="00EC2B24" w:rsidRDefault="00863CF6" w14:paraId="729645DD" w14:textId="7D1C83E0">
            <w:r w:rsidRPr="00043E07">
              <w:t xml:space="preserve">The </w:t>
            </w:r>
            <w:r w:rsidRPr="00043E07" w:rsidR="00C8568E">
              <w:rPr>
                <w:b/>
                <w:bCs/>
              </w:rPr>
              <w:t xml:space="preserve">Hazard Reporting </w:t>
            </w:r>
            <w:r w:rsidRPr="00043E07" w:rsidR="00C8568E">
              <w:t xml:space="preserve">and </w:t>
            </w:r>
            <w:r w:rsidRPr="00043E07" w:rsidR="00C8568E">
              <w:rPr>
                <w:b/>
                <w:bCs/>
              </w:rPr>
              <w:t>Risk Management Procedure</w:t>
            </w:r>
            <w:r w:rsidRPr="00043E07" w:rsidR="003A5A31">
              <w:rPr>
                <w:b/>
                <w:bCs/>
              </w:rPr>
              <w:t>s</w:t>
            </w:r>
            <w:r w:rsidRPr="00043E07" w:rsidR="00C8568E">
              <w:t xml:space="preserve"> </w:t>
            </w:r>
            <w:r w:rsidR="00362E15">
              <w:t xml:space="preserve">must </w:t>
            </w:r>
            <w:r w:rsidRPr="00043E07" w:rsidR="006B7C98">
              <w:t>define our processe</w:t>
            </w:r>
            <w:r w:rsidRPr="00043E07" w:rsidR="0015265E">
              <w:t>s</w:t>
            </w:r>
            <w:r w:rsidRPr="00043E07" w:rsidR="006B7C98">
              <w:t xml:space="preserve"> to</w:t>
            </w:r>
            <w:r w:rsidRPr="00043E07" w:rsidR="00EC2B24">
              <w:t xml:space="preserve"> identif</w:t>
            </w:r>
            <w:r w:rsidRPr="00043E07" w:rsidR="006B7C98">
              <w:t>y</w:t>
            </w:r>
            <w:r w:rsidRPr="00043E07" w:rsidR="00A353C1">
              <w:rPr>
                <w:rStyle w:val="FootnoteReference"/>
              </w:rPr>
              <w:footnoteReference w:id="5"/>
            </w:r>
            <w:r w:rsidRPr="00043E07" w:rsidR="00EC2B24">
              <w:t>, assess and manage</w:t>
            </w:r>
            <w:r w:rsidRPr="00043E07" w:rsidR="0015265E">
              <w:t xml:space="preserve"> hazards</w:t>
            </w:r>
            <w:r w:rsidRPr="00043E07" w:rsidR="00D6002D">
              <w:t xml:space="preserve">, </w:t>
            </w:r>
            <w:r w:rsidRPr="00043E07" w:rsidR="0015265E">
              <w:t>risks</w:t>
            </w:r>
            <w:r w:rsidRPr="00043E07" w:rsidR="00D6002D">
              <w:t xml:space="preserve"> and opportunities</w:t>
            </w:r>
            <w:r w:rsidRPr="00043E07" w:rsidR="004B17A5">
              <w:t>.</w:t>
            </w:r>
          </w:p>
          <w:p w:rsidRPr="00043E07" w:rsidR="004B17A5" w:rsidP="00EC2B24" w:rsidRDefault="004B17A5" w14:paraId="7AD79E6F" w14:textId="77777777"/>
          <w:p w:rsidRPr="00043E07" w:rsidR="00EC2B24" w:rsidP="00EC2B24" w:rsidRDefault="004B17A5" w14:paraId="7C4B3CCB" w14:textId="088F215D">
            <w:r w:rsidRPr="00043E07">
              <w:t xml:space="preserve">This includes </w:t>
            </w:r>
            <w:r w:rsidRPr="00043E07" w:rsidR="00B61A8F">
              <w:t xml:space="preserve">shared (previously inter-agency) and </w:t>
            </w:r>
            <w:r w:rsidRPr="00043E07" w:rsidR="0011384E">
              <w:t xml:space="preserve">state </w:t>
            </w:r>
            <w:r w:rsidRPr="00043E07" w:rsidR="009063C5">
              <w:t>significant</w:t>
            </w:r>
            <w:r w:rsidRPr="00043E07" w:rsidR="0011384E">
              <w:t xml:space="preserve"> </w:t>
            </w:r>
            <w:r w:rsidRPr="00043E07" w:rsidR="007E520E">
              <w:t>risks.</w:t>
            </w:r>
            <w:r w:rsidRPr="00043E07" w:rsidR="0015265E">
              <w:t xml:space="preserve"> </w:t>
            </w:r>
          </w:p>
        </w:tc>
        <w:tc>
          <w:tcPr>
            <w:tcW w:w="2268" w:type="dxa"/>
            <w:vAlign w:val="center"/>
          </w:tcPr>
          <w:p w:rsidR="00EC2B24" w:rsidP="00EC2B24" w:rsidRDefault="00EC2B24" w14:paraId="15348025" w14:textId="3DAA0A83">
            <w:pPr>
              <w:rPr>
                <w:b/>
                <w:bCs/>
              </w:rPr>
            </w:pPr>
            <w:r w:rsidRPr="00280DA7">
              <w:rPr>
                <w:b/>
                <w:bCs/>
              </w:rPr>
              <w:lastRenderedPageBreak/>
              <w:t xml:space="preserve">Executive People &amp; Resilience </w:t>
            </w:r>
          </w:p>
          <w:p w:rsidR="00B93458" w:rsidP="00EC2B24" w:rsidRDefault="00DC23D2" w14:paraId="6D6834CD" w14:textId="4F1CB259">
            <w:r>
              <w:t xml:space="preserve">All </w:t>
            </w:r>
            <w:r w:rsidR="000A7DA6">
              <w:t>BM</w:t>
            </w:r>
          </w:p>
        </w:tc>
        <w:tc>
          <w:tcPr>
            <w:tcW w:w="2268" w:type="dxa"/>
            <w:vAlign w:val="center"/>
          </w:tcPr>
          <w:p w:rsidR="00EC2B24" w:rsidP="00EC2B24" w:rsidRDefault="00EC2B24" w14:paraId="51BE7C74" w14:textId="4E378684">
            <w:r>
              <w:t xml:space="preserve">GM People &amp; Business Services </w:t>
            </w:r>
          </w:p>
        </w:tc>
      </w:tr>
      <w:tr w:rsidRPr="00594CE0" w:rsidR="00E03D25" w:rsidTr="0098534B" w14:paraId="33D24379" w14:textId="77777777">
        <w:trPr>
          <w:trHeight w:val="454"/>
        </w:trPr>
        <w:tc>
          <w:tcPr>
            <w:tcW w:w="5613" w:type="dxa"/>
            <w:vAlign w:val="center"/>
          </w:tcPr>
          <w:p w:rsidRPr="00043E07" w:rsidR="00E03D25" w:rsidP="00E03D25" w:rsidRDefault="00E03D25" w14:paraId="6B05AB1F" w14:textId="70BFD77F">
            <w:r w:rsidRPr="00043E07">
              <w:t>Hazards and risks</w:t>
            </w:r>
            <w:r w:rsidR="000A7DA6">
              <w:t>,</w:t>
            </w:r>
            <w:r w:rsidRPr="00043E07">
              <w:t xml:space="preserve"> and their impacts</w:t>
            </w:r>
            <w:r w:rsidR="000A7DA6">
              <w:t>,</w:t>
            </w:r>
            <w:r w:rsidRPr="00043E07">
              <w:t xml:space="preserve"> must be identified taking into consideration information or knowledge that is known or ought to be reasonably known about our activities (e.g., </w:t>
            </w:r>
            <w:r w:rsidR="009F0835">
              <w:t>i</w:t>
            </w:r>
            <w:r w:rsidRPr="00043E07">
              <w:t>ndustry, regulator, government or scientific knowledge).</w:t>
            </w:r>
          </w:p>
        </w:tc>
        <w:tc>
          <w:tcPr>
            <w:tcW w:w="2268" w:type="dxa"/>
            <w:vAlign w:val="center"/>
          </w:tcPr>
          <w:p w:rsidR="00E03D25" w:rsidP="00E03D25" w:rsidRDefault="00E03D25" w14:paraId="1996D456" w14:textId="5A5314FF">
            <w:pPr>
              <w:rPr>
                <w:b/>
                <w:bCs/>
              </w:rPr>
            </w:pPr>
            <w:r w:rsidRPr="00280DA7">
              <w:rPr>
                <w:b/>
                <w:bCs/>
              </w:rPr>
              <w:t xml:space="preserve">Executive People &amp; Resilience </w:t>
            </w:r>
          </w:p>
          <w:p w:rsidRPr="00280DA7" w:rsidR="00E03D25" w:rsidP="00E03D25" w:rsidRDefault="00E03D25" w14:paraId="5382A1FF" w14:textId="73170084">
            <w:pPr>
              <w:rPr>
                <w:b/>
                <w:bCs/>
              </w:rPr>
            </w:pPr>
            <w:r>
              <w:t xml:space="preserve">All </w:t>
            </w:r>
            <w:r w:rsidR="009F0835">
              <w:t>BM</w:t>
            </w:r>
          </w:p>
        </w:tc>
        <w:tc>
          <w:tcPr>
            <w:tcW w:w="2268" w:type="dxa"/>
            <w:vAlign w:val="center"/>
          </w:tcPr>
          <w:p w:rsidR="00E03D25" w:rsidP="00E03D25" w:rsidRDefault="00E03D25" w14:paraId="558D9677" w14:textId="5FD5FD6D">
            <w:r>
              <w:t xml:space="preserve">GM People &amp; Business Services </w:t>
            </w:r>
          </w:p>
        </w:tc>
      </w:tr>
      <w:tr w:rsidRPr="00594CE0" w:rsidR="00A25538" w:rsidTr="0098534B" w14:paraId="5F582961" w14:textId="77777777">
        <w:trPr>
          <w:trHeight w:val="454"/>
        </w:trPr>
        <w:tc>
          <w:tcPr>
            <w:tcW w:w="5613" w:type="dxa"/>
            <w:vAlign w:val="center"/>
          </w:tcPr>
          <w:p w:rsidRPr="00043E07" w:rsidR="00A25538" w:rsidP="00A25538" w:rsidRDefault="00A25538" w14:paraId="334DAEA0" w14:textId="17A3B652">
            <w:r w:rsidRPr="00043E07">
              <w:t xml:space="preserve">Risk identification must consider current and emerging risks which might impact our activities </w:t>
            </w:r>
            <w:r w:rsidR="0007782E">
              <w:t>and/</w:t>
            </w:r>
            <w:r w:rsidRPr="00043E07">
              <w:t>or Strategic Direction</w:t>
            </w:r>
            <w:r w:rsidRPr="007956D3" w:rsidR="00D70149">
              <w:t>.</w:t>
            </w:r>
          </w:p>
        </w:tc>
        <w:tc>
          <w:tcPr>
            <w:tcW w:w="2268" w:type="dxa"/>
            <w:vAlign w:val="center"/>
          </w:tcPr>
          <w:p w:rsidR="00D36188" w:rsidP="00A25538" w:rsidRDefault="00A25538" w14:paraId="3EB5EC16" w14:textId="26833F73">
            <w:pPr>
              <w:rPr>
                <w:b/>
                <w:bCs/>
              </w:rPr>
            </w:pPr>
            <w:r w:rsidRPr="00280DA7">
              <w:rPr>
                <w:b/>
                <w:bCs/>
              </w:rPr>
              <w:t xml:space="preserve">Executive People &amp; Resilience </w:t>
            </w:r>
          </w:p>
          <w:p w:rsidRPr="00280DA7" w:rsidR="00D36188" w:rsidP="00A25538" w:rsidRDefault="00D36188" w14:paraId="46310159" w14:textId="29872599">
            <w:pPr>
              <w:rPr>
                <w:b/>
                <w:bCs/>
              </w:rPr>
            </w:pPr>
            <w:r>
              <w:t xml:space="preserve">All </w:t>
            </w:r>
            <w:r w:rsidR="0007782E">
              <w:t>BM</w:t>
            </w:r>
          </w:p>
        </w:tc>
        <w:tc>
          <w:tcPr>
            <w:tcW w:w="2268" w:type="dxa"/>
            <w:vAlign w:val="center"/>
          </w:tcPr>
          <w:p w:rsidR="00A25538" w:rsidP="00A25538" w:rsidRDefault="00A25538" w14:paraId="610D8946" w14:textId="327C428E">
            <w:r>
              <w:t xml:space="preserve">GM People &amp; Business Services </w:t>
            </w:r>
          </w:p>
        </w:tc>
      </w:tr>
      <w:tr w:rsidRPr="00594CE0" w:rsidR="00596730" w:rsidTr="0098534B" w14:paraId="5F79DFFF" w14:textId="77777777">
        <w:trPr>
          <w:trHeight w:val="454"/>
        </w:trPr>
        <w:tc>
          <w:tcPr>
            <w:tcW w:w="5613" w:type="dxa"/>
            <w:vAlign w:val="center"/>
          </w:tcPr>
          <w:p w:rsidRPr="00043E07" w:rsidR="00596730" w:rsidP="00EC2B24" w:rsidRDefault="00452BC3" w14:paraId="7C244B4C" w14:textId="5CE7649F">
            <w:r w:rsidRPr="00043E07">
              <w:t xml:space="preserve">A </w:t>
            </w:r>
            <w:r w:rsidRPr="007956D3">
              <w:rPr>
                <w:b/>
                <w:bCs/>
              </w:rPr>
              <w:t xml:space="preserve">Risk Management Plan </w:t>
            </w:r>
            <w:r w:rsidRPr="002A0E89" w:rsidR="000A7555">
              <w:t>(</w:t>
            </w:r>
            <w:r w:rsidRPr="002A0E89" w:rsidR="003E6D8F">
              <w:t xml:space="preserve">in relation to the supply of drinking water and regulated </w:t>
            </w:r>
            <w:r w:rsidRPr="002A0E89" w:rsidR="000A7555">
              <w:t>water to the public)</w:t>
            </w:r>
            <w:r w:rsidRPr="00043E07" w:rsidR="000A7555">
              <w:t xml:space="preserve"> must be developed and implemented to meet the requirements of the </w:t>
            </w:r>
            <w:r w:rsidRPr="007956D3" w:rsidR="000A7555">
              <w:rPr>
                <w:b/>
                <w:bCs/>
              </w:rPr>
              <w:t>Safe Drinking Water Act</w:t>
            </w:r>
            <w:r w:rsidRPr="007956D3" w:rsidR="00D70149">
              <w:rPr>
                <w:b/>
                <w:bCs/>
              </w:rPr>
              <w:t>.</w:t>
            </w:r>
          </w:p>
        </w:tc>
        <w:tc>
          <w:tcPr>
            <w:tcW w:w="2268" w:type="dxa"/>
            <w:vAlign w:val="center"/>
          </w:tcPr>
          <w:p w:rsidRPr="00280DA7" w:rsidR="00596730" w:rsidP="00EC2B24" w:rsidRDefault="000A7555" w14:paraId="1769A9B5" w14:textId="5227007C">
            <w:pPr>
              <w:rPr>
                <w:b/>
                <w:bCs/>
              </w:rPr>
            </w:pPr>
            <w:r>
              <w:rPr>
                <w:b/>
                <w:bCs/>
              </w:rPr>
              <w:t>Br</w:t>
            </w:r>
            <w:r w:rsidR="00330948">
              <w:rPr>
                <w:b/>
                <w:bCs/>
              </w:rPr>
              <w:t>anch Manager Operations</w:t>
            </w:r>
          </w:p>
        </w:tc>
        <w:tc>
          <w:tcPr>
            <w:tcW w:w="2268" w:type="dxa"/>
            <w:vAlign w:val="center"/>
          </w:tcPr>
          <w:p w:rsidR="00596730" w:rsidP="00EC2B24" w:rsidRDefault="00330948" w14:paraId="4BA04B69" w14:textId="59492536">
            <w:r>
              <w:t>GM Assets &amp; Service Delivery</w:t>
            </w:r>
          </w:p>
        </w:tc>
      </w:tr>
      <w:tr w:rsidRPr="00594CE0" w:rsidR="00B04F48" w:rsidTr="007956D3" w14:paraId="7E95E813" w14:textId="77777777">
        <w:trPr>
          <w:trHeight w:val="454"/>
        </w:trPr>
        <w:tc>
          <w:tcPr>
            <w:tcW w:w="10149" w:type="dxa"/>
            <w:gridSpan w:val="3"/>
            <w:tcBorders>
              <w:left w:val="nil"/>
              <w:right w:val="nil"/>
            </w:tcBorders>
            <w:vAlign w:val="center"/>
          </w:tcPr>
          <w:p w:rsidRPr="00BD07D0" w:rsidR="00B04F48" w:rsidP="00B04F48" w:rsidRDefault="00B04F48" w14:paraId="513BCF8B" w14:textId="579E471D">
            <w:pPr>
              <w:rPr>
                <w:b/>
                <w:bCs/>
              </w:rPr>
            </w:pPr>
            <w:r w:rsidRPr="00BD07D0">
              <w:rPr>
                <w:b/>
                <w:bCs/>
              </w:rPr>
              <w:t xml:space="preserve">Hazard </w:t>
            </w:r>
            <w:r w:rsidR="00F86D54">
              <w:rPr>
                <w:b/>
                <w:bCs/>
              </w:rPr>
              <w:t>and</w:t>
            </w:r>
            <w:r w:rsidRPr="00BD07D0">
              <w:rPr>
                <w:b/>
                <w:bCs/>
              </w:rPr>
              <w:t xml:space="preserve"> Risk </w:t>
            </w:r>
            <w:r w:rsidR="00F86D54">
              <w:rPr>
                <w:b/>
                <w:bCs/>
              </w:rPr>
              <w:t xml:space="preserve">Assessment and </w:t>
            </w:r>
            <w:r w:rsidRPr="00BD07D0">
              <w:rPr>
                <w:b/>
                <w:bCs/>
              </w:rPr>
              <w:t xml:space="preserve">Management </w:t>
            </w:r>
          </w:p>
        </w:tc>
      </w:tr>
      <w:tr w:rsidRPr="00594CE0" w:rsidR="003D5240" w:rsidTr="007956D3" w14:paraId="245CD271" w14:textId="77777777">
        <w:trPr>
          <w:trHeight w:val="454"/>
        </w:trPr>
        <w:tc>
          <w:tcPr>
            <w:tcW w:w="5613" w:type="dxa"/>
            <w:shd w:val="clear" w:color="auto" w:fill="FFFFFF" w:themeFill="background1"/>
            <w:vAlign w:val="center"/>
          </w:tcPr>
          <w:p w:rsidRPr="007956D3" w:rsidR="003D5240" w:rsidP="003D5240" w:rsidRDefault="003D5240" w14:paraId="5C056195" w14:textId="74F69413">
            <w:pPr>
              <w:rPr>
                <w:highlight w:val="green"/>
              </w:rPr>
            </w:pPr>
            <w:r w:rsidRPr="00D33AF0">
              <w:t>A</w:t>
            </w:r>
            <w:r w:rsidR="00DC5692">
              <w:t xml:space="preserve"> strategic</w:t>
            </w:r>
            <w:r w:rsidRPr="00D33AF0">
              <w:t xml:space="preserve"> risk profile and risk appetite must be developed and reviewed annually</w:t>
            </w:r>
            <w:r w:rsidRPr="007956D3" w:rsidR="00D70149">
              <w:t>.</w:t>
            </w:r>
            <w:r w:rsidRPr="00D33AF0">
              <w:t xml:space="preserve"> </w:t>
            </w:r>
          </w:p>
        </w:tc>
        <w:tc>
          <w:tcPr>
            <w:tcW w:w="2268" w:type="dxa"/>
            <w:vAlign w:val="center"/>
          </w:tcPr>
          <w:p w:rsidR="003D5240" w:rsidP="003D5240" w:rsidRDefault="003D5240" w14:paraId="2D7B75D8" w14:textId="52455F38">
            <w:pPr>
              <w:rPr>
                <w:b/>
                <w:bCs/>
              </w:rPr>
            </w:pPr>
            <w:r w:rsidRPr="00280DA7">
              <w:rPr>
                <w:b/>
                <w:bCs/>
              </w:rPr>
              <w:t xml:space="preserve">Executive People &amp; Resilience </w:t>
            </w:r>
          </w:p>
          <w:p w:rsidRPr="000A2FC2" w:rsidR="003D5240" w:rsidP="003D5240" w:rsidRDefault="009141E7" w14:paraId="557D729C" w14:textId="1AF57DA6">
            <w:pPr>
              <w:rPr>
                <w:b/>
                <w:bCs/>
              </w:rPr>
            </w:pPr>
            <w:r w:rsidRPr="009141E7">
              <w:t>Executive Strategy &amp; Innovation</w:t>
            </w:r>
          </w:p>
        </w:tc>
        <w:tc>
          <w:tcPr>
            <w:tcW w:w="2268" w:type="dxa"/>
            <w:vAlign w:val="center"/>
          </w:tcPr>
          <w:p w:rsidR="003D5240" w:rsidP="003D5240" w:rsidRDefault="003D5240" w14:paraId="48A2B093" w14:textId="56BFD1F6">
            <w:r>
              <w:t xml:space="preserve">GM People &amp; Business Services </w:t>
            </w:r>
          </w:p>
        </w:tc>
      </w:tr>
      <w:tr w:rsidRPr="00594CE0" w:rsidR="007161E3" w:rsidTr="0098534B" w14:paraId="6D0C7A39" w14:textId="77777777">
        <w:trPr>
          <w:trHeight w:val="454"/>
        </w:trPr>
        <w:tc>
          <w:tcPr>
            <w:tcW w:w="5613" w:type="dxa"/>
            <w:vAlign w:val="center"/>
          </w:tcPr>
          <w:p w:rsidRPr="00D33AF0" w:rsidR="007161E3" w:rsidP="007161E3" w:rsidRDefault="007161E3" w14:paraId="7B652B0E" w14:textId="54B5166F">
            <w:r w:rsidRPr="00D33AF0">
              <w:t>Strategic</w:t>
            </w:r>
            <w:r w:rsidR="00E75011">
              <w:t>,</w:t>
            </w:r>
            <w:r w:rsidRPr="00D33AF0">
              <w:t xml:space="preserve"> business planning and decision-making processes must embed risk management and </w:t>
            </w:r>
          </w:p>
          <w:p w:rsidRPr="00D33AF0" w:rsidR="007161E3" w:rsidDel="00DB7388" w:rsidP="007161E3" w:rsidRDefault="007161E3" w14:paraId="39742A0F" w14:textId="6E05B1FF">
            <w:r w:rsidRPr="00D33AF0">
              <w:t>demonstrate consideration of our material risks</w:t>
            </w:r>
            <w:r w:rsidRPr="007956D3" w:rsidR="00D70149">
              <w:t>.</w:t>
            </w:r>
          </w:p>
        </w:tc>
        <w:tc>
          <w:tcPr>
            <w:tcW w:w="2268" w:type="dxa"/>
            <w:vAlign w:val="center"/>
          </w:tcPr>
          <w:p w:rsidR="005C560C" w:rsidP="007161E3" w:rsidRDefault="00B91966" w14:paraId="68FBC594" w14:textId="3FE909FD">
            <w:r w:rsidRPr="007956D3">
              <w:rPr>
                <w:b/>
                <w:bCs/>
              </w:rPr>
              <w:t xml:space="preserve">Executive Strategy </w:t>
            </w:r>
            <w:r w:rsidRPr="007956D3" w:rsidR="005C560C">
              <w:rPr>
                <w:b/>
                <w:bCs/>
              </w:rPr>
              <w:t>&amp; Innovation</w:t>
            </w:r>
            <w:r w:rsidRPr="007956D3" w:rsidR="007161E3">
              <w:rPr>
                <w:b/>
                <w:bCs/>
              </w:rPr>
              <w:t xml:space="preserve"> </w:t>
            </w:r>
          </w:p>
          <w:p w:rsidR="005C560C" w:rsidDel="00DB7388" w:rsidP="007161E3" w:rsidRDefault="005C560C" w14:paraId="387E5C7D" w14:textId="452EBCC2">
            <w:r>
              <w:t xml:space="preserve">All </w:t>
            </w:r>
            <w:r w:rsidR="001A7843">
              <w:t>BM</w:t>
            </w:r>
          </w:p>
        </w:tc>
        <w:tc>
          <w:tcPr>
            <w:tcW w:w="2268" w:type="dxa"/>
            <w:vAlign w:val="center"/>
          </w:tcPr>
          <w:p w:rsidR="007161E3" w:rsidDel="00DB7388" w:rsidP="007161E3" w:rsidRDefault="007161E3" w14:paraId="62AEF57C" w14:textId="712A553C">
            <w:r>
              <w:t xml:space="preserve">GM </w:t>
            </w:r>
            <w:r w:rsidR="005C560C">
              <w:t>Strategic</w:t>
            </w:r>
            <w:r>
              <w:t xml:space="preserve"> Services </w:t>
            </w:r>
          </w:p>
        </w:tc>
      </w:tr>
      <w:tr w:rsidRPr="00594CE0" w:rsidR="005B4E46" w:rsidTr="0098534B" w14:paraId="4BBD9A8C" w14:textId="77777777">
        <w:trPr>
          <w:trHeight w:val="454"/>
        </w:trPr>
        <w:tc>
          <w:tcPr>
            <w:tcW w:w="5613" w:type="dxa"/>
            <w:vAlign w:val="center"/>
          </w:tcPr>
          <w:p w:rsidRPr="00D33AF0" w:rsidR="005B4E46" w:rsidP="005B4E46" w:rsidRDefault="005B4E46" w14:paraId="259C9A39" w14:textId="50ABF57E">
            <w:r w:rsidRPr="00D33AF0">
              <w:t>Where practicable, extra risk frameworks required by legislation and other obligations must align with and be integrated into our risk management framework</w:t>
            </w:r>
            <w:r w:rsidRPr="007956D3" w:rsidR="00D70149">
              <w:t xml:space="preserve"> and processes/procedures</w:t>
            </w:r>
            <w:r w:rsidRPr="00D33AF0">
              <w:t xml:space="preserve"> (e.g., </w:t>
            </w:r>
            <w:r w:rsidR="001A7843">
              <w:t>d</w:t>
            </w:r>
            <w:r w:rsidRPr="00D33AF0">
              <w:t>am safety risk management)</w:t>
            </w:r>
            <w:r w:rsidRPr="007956D3" w:rsidR="00D70149">
              <w:t>.</w:t>
            </w:r>
          </w:p>
        </w:tc>
        <w:tc>
          <w:tcPr>
            <w:tcW w:w="2268" w:type="dxa"/>
            <w:vAlign w:val="center"/>
          </w:tcPr>
          <w:p w:rsidRPr="002A0E89" w:rsidR="00F10E0F" w:rsidP="005B4E46" w:rsidRDefault="00F10E0F" w14:paraId="415ABC1C" w14:textId="26F3F1E7">
            <w:pPr>
              <w:rPr>
                <w:b/>
                <w:bCs/>
              </w:rPr>
            </w:pPr>
            <w:r>
              <w:rPr>
                <w:b/>
                <w:bCs/>
              </w:rPr>
              <w:t>Executive People &amp; Resilience</w:t>
            </w:r>
          </w:p>
          <w:p w:rsidRPr="00CF78DB" w:rsidR="005B4E46" w:rsidP="005B4E46" w:rsidRDefault="005B4E46" w14:paraId="03D53E0C" w14:textId="7E21A8EC">
            <w:pPr>
              <w:rPr>
                <w:b/>
                <w:bCs/>
              </w:rPr>
            </w:pPr>
            <w:r>
              <w:t xml:space="preserve">All </w:t>
            </w:r>
            <w:r w:rsidR="00F10E0F">
              <w:t>BM</w:t>
            </w:r>
            <w:r>
              <w:t xml:space="preserve"> </w:t>
            </w:r>
          </w:p>
        </w:tc>
        <w:tc>
          <w:tcPr>
            <w:tcW w:w="2268" w:type="dxa"/>
            <w:vAlign w:val="center"/>
          </w:tcPr>
          <w:p w:rsidR="005B4E46" w:rsidP="005B4E46" w:rsidRDefault="005B4E46" w14:paraId="26BA14D3" w14:textId="561AB8E4">
            <w:r>
              <w:t xml:space="preserve">GM People &amp; Business Services </w:t>
            </w:r>
          </w:p>
        </w:tc>
      </w:tr>
      <w:tr w:rsidRPr="00594CE0" w:rsidR="00B04F48" w:rsidTr="0098534B" w14:paraId="53BF7728" w14:textId="77777777">
        <w:trPr>
          <w:trHeight w:val="454"/>
        </w:trPr>
        <w:tc>
          <w:tcPr>
            <w:tcW w:w="5613" w:type="dxa"/>
            <w:vAlign w:val="center"/>
          </w:tcPr>
          <w:p w:rsidR="00B04F48" w:rsidP="00B04F48" w:rsidRDefault="00826350" w14:paraId="19A3058E" w14:textId="3975F743">
            <w:r w:rsidRPr="007956D3">
              <w:t xml:space="preserve">The </w:t>
            </w:r>
            <w:r w:rsidRPr="007956D3">
              <w:rPr>
                <w:b/>
                <w:bCs/>
              </w:rPr>
              <w:t>Risk Management Procedure</w:t>
            </w:r>
            <w:r w:rsidRPr="007956D3">
              <w:t xml:space="preserve"> </w:t>
            </w:r>
            <w:r w:rsidR="006A3D5E">
              <w:t xml:space="preserve">must </w:t>
            </w:r>
            <w:r w:rsidRPr="007956D3">
              <w:t>define the process for documenting and assessing our hazard/risks and accountabilities/responsibilities for owning and managing them.</w:t>
            </w:r>
            <w:r w:rsidRPr="00D33AF0">
              <w:t xml:space="preserve"> </w:t>
            </w:r>
          </w:p>
        </w:tc>
        <w:tc>
          <w:tcPr>
            <w:tcW w:w="2268" w:type="dxa"/>
            <w:vAlign w:val="center"/>
          </w:tcPr>
          <w:p w:rsidRPr="007956D3" w:rsidR="00B04F48" w:rsidP="00B04F48" w:rsidRDefault="00B04F48" w14:paraId="1E18D31B" w14:textId="70B468D9">
            <w:pPr>
              <w:rPr>
                <w:b/>
              </w:rPr>
            </w:pPr>
            <w:r w:rsidRPr="007956D3">
              <w:rPr>
                <w:b/>
              </w:rPr>
              <w:t xml:space="preserve">Executive People &amp; Resilience </w:t>
            </w:r>
          </w:p>
        </w:tc>
        <w:tc>
          <w:tcPr>
            <w:tcW w:w="2268" w:type="dxa"/>
            <w:vAlign w:val="center"/>
          </w:tcPr>
          <w:p w:rsidRPr="007E3419" w:rsidR="00B04F48" w:rsidP="00B04F48" w:rsidRDefault="00B04F48" w14:paraId="39678754" w14:textId="54274923">
            <w:r>
              <w:t xml:space="preserve">GM People &amp; Business Services </w:t>
            </w:r>
          </w:p>
        </w:tc>
      </w:tr>
      <w:tr w:rsidRPr="00594CE0" w:rsidR="00E46F24" w:rsidTr="0098534B" w14:paraId="57ED290A" w14:textId="77777777">
        <w:trPr>
          <w:trHeight w:val="454"/>
        </w:trPr>
        <w:tc>
          <w:tcPr>
            <w:tcW w:w="5613" w:type="dxa"/>
            <w:vAlign w:val="center"/>
          </w:tcPr>
          <w:p w:rsidRPr="007956D3" w:rsidR="00E46F24" w:rsidDel="00F36B58" w:rsidP="00E46F24" w:rsidRDefault="00E46F24" w14:paraId="1ECC8B96" w14:textId="0B3FC5B2">
            <w:pPr>
              <w:rPr>
                <w:b/>
                <w:bCs/>
              </w:rPr>
            </w:pPr>
            <w:r w:rsidRPr="007956D3">
              <w:t>Hazards and risks must be analysed and assessed by people with the applicable knowledge</w:t>
            </w:r>
            <w:r w:rsidRPr="007956D3">
              <w:rPr>
                <w:rStyle w:val="FootnoteReference"/>
              </w:rPr>
              <w:footnoteReference w:id="6"/>
            </w:r>
            <w:r w:rsidRPr="007956D3">
              <w:t xml:space="preserve"> of the hazards and activities – as described in the </w:t>
            </w:r>
            <w:r w:rsidRPr="007956D3">
              <w:rPr>
                <w:b/>
                <w:bCs/>
              </w:rPr>
              <w:t>Risk Management Procedure.</w:t>
            </w:r>
          </w:p>
        </w:tc>
        <w:tc>
          <w:tcPr>
            <w:tcW w:w="2268" w:type="dxa"/>
            <w:vAlign w:val="center"/>
          </w:tcPr>
          <w:p w:rsidR="00E46F24" w:rsidP="00E46F24" w:rsidRDefault="00E46F24" w14:paraId="5E60232A" w14:textId="20852A89">
            <w:pPr>
              <w:rPr>
                <w:b/>
                <w:bCs/>
              </w:rPr>
            </w:pPr>
            <w:r w:rsidRPr="00280DA7">
              <w:rPr>
                <w:b/>
                <w:bCs/>
              </w:rPr>
              <w:t xml:space="preserve">Executive People &amp; Resilience </w:t>
            </w:r>
          </w:p>
          <w:p w:rsidRPr="00E46F24" w:rsidR="00E46F24" w:rsidP="00E46F24" w:rsidRDefault="00E46F24" w14:paraId="2813C4A6" w14:textId="5CAF8907">
            <w:r w:rsidRPr="007956D3">
              <w:t>Hazard and Risk Owners</w:t>
            </w:r>
          </w:p>
        </w:tc>
        <w:tc>
          <w:tcPr>
            <w:tcW w:w="2268" w:type="dxa"/>
            <w:vAlign w:val="center"/>
          </w:tcPr>
          <w:p w:rsidR="00E46F24" w:rsidP="00E46F24" w:rsidRDefault="00E46F24" w14:paraId="196BCEE7" w14:textId="27E38086">
            <w:r>
              <w:t xml:space="preserve">GM People &amp; Business Services </w:t>
            </w:r>
          </w:p>
        </w:tc>
      </w:tr>
      <w:tr w:rsidRPr="00594CE0" w:rsidR="00824376" w:rsidTr="0098534B" w14:paraId="01E2F06F" w14:textId="77777777">
        <w:trPr>
          <w:trHeight w:val="454"/>
        </w:trPr>
        <w:tc>
          <w:tcPr>
            <w:tcW w:w="5613" w:type="dxa"/>
            <w:vAlign w:val="center"/>
          </w:tcPr>
          <w:p w:rsidRPr="007956D3" w:rsidR="00824376" w:rsidP="00824376" w:rsidRDefault="00824376" w14:paraId="6DF0B46E" w14:textId="21F3E1B2">
            <w:r w:rsidRPr="00D33AF0">
              <w:t>Employees, contractors and stakeholders, impacted by hazards and risks must be informed of them and consulted on the most suitable methods to control them</w:t>
            </w:r>
            <w:r w:rsidR="008B41E1">
              <w:t xml:space="preserve"> (e.g., inclusion in risk workshops, information in proc</w:t>
            </w:r>
            <w:r w:rsidR="00095909">
              <w:t>edures, contractor inductions)</w:t>
            </w:r>
            <w:r w:rsidRPr="00D33AF0">
              <w:t>.</w:t>
            </w:r>
          </w:p>
        </w:tc>
        <w:tc>
          <w:tcPr>
            <w:tcW w:w="2268" w:type="dxa"/>
            <w:vAlign w:val="center"/>
          </w:tcPr>
          <w:p w:rsidR="00824376" w:rsidP="00824376" w:rsidRDefault="00824376" w14:paraId="199E1A16" w14:textId="3DDD0AA3">
            <w:pPr>
              <w:rPr>
                <w:b/>
                <w:bCs/>
              </w:rPr>
            </w:pPr>
            <w:r w:rsidRPr="00280DA7">
              <w:rPr>
                <w:b/>
                <w:bCs/>
              </w:rPr>
              <w:t xml:space="preserve">Executive People &amp; Resilience </w:t>
            </w:r>
          </w:p>
          <w:p w:rsidR="00824376" w:rsidP="00824376" w:rsidRDefault="00824376" w14:paraId="360792CE" w14:textId="77777777">
            <w:r w:rsidRPr="00280DA7">
              <w:t>Hazard and Risk Owners</w:t>
            </w:r>
          </w:p>
          <w:p w:rsidRPr="00280DA7" w:rsidR="00471B5F" w:rsidP="00824376" w:rsidRDefault="00471B5F" w14:paraId="4646E123" w14:textId="18899BCE">
            <w:pPr>
              <w:rPr>
                <w:b/>
                <w:bCs/>
              </w:rPr>
            </w:pPr>
            <w:r>
              <w:t>Engaging Officers</w:t>
            </w:r>
          </w:p>
        </w:tc>
        <w:tc>
          <w:tcPr>
            <w:tcW w:w="2268" w:type="dxa"/>
            <w:vAlign w:val="center"/>
          </w:tcPr>
          <w:p w:rsidR="00824376" w:rsidP="00824376" w:rsidRDefault="00824376" w14:paraId="2837DB40" w14:textId="0C1CDA45">
            <w:r>
              <w:t xml:space="preserve">GM People &amp; Business Services </w:t>
            </w:r>
          </w:p>
        </w:tc>
      </w:tr>
      <w:tr w:rsidRPr="00594CE0" w:rsidR="00B04F48" w:rsidTr="0098534B" w14:paraId="31B7A87B" w14:textId="77777777">
        <w:trPr>
          <w:trHeight w:val="454"/>
        </w:trPr>
        <w:tc>
          <w:tcPr>
            <w:tcW w:w="5613" w:type="dxa"/>
            <w:vAlign w:val="center"/>
          </w:tcPr>
          <w:p w:rsidR="00B04F48" w:rsidP="00B04F48" w:rsidRDefault="00B04F48" w14:paraId="73552BE7" w14:textId="678B88DC">
            <w:r>
              <w:t xml:space="preserve">Hazards and risks must be managed </w:t>
            </w:r>
            <w:r w:rsidR="00DE7153">
              <w:t>as per</w:t>
            </w:r>
            <w:r w:rsidR="00873DCE">
              <w:t xml:space="preserve"> our Risk Appetite</w:t>
            </w:r>
            <w:r w:rsidR="00EC2B24">
              <w:t xml:space="preserve"> </w:t>
            </w:r>
            <w:r>
              <w:t>using the following hierarchy of control as far as reasonably practicable</w:t>
            </w:r>
            <w:r w:rsidR="00A178B9">
              <w:rPr>
                <w:rStyle w:val="FootnoteReference"/>
              </w:rPr>
              <w:footnoteReference w:id="7"/>
            </w:r>
            <w:r>
              <w:t>:</w:t>
            </w:r>
          </w:p>
          <w:p w:rsidR="00B04F48" w:rsidP="00B04F48" w:rsidRDefault="00B04F48" w14:paraId="258222D3" w14:textId="77777777">
            <w:pPr>
              <w:pStyle w:val="ListParagraph"/>
              <w:numPr>
                <w:ilvl w:val="0"/>
                <w:numId w:val="28"/>
              </w:numPr>
              <w:spacing w:after="0" w:line="240" w:lineRule="auto"/>
            </w:pPr>
            <w:r>
              <w:lastRenderedPageBreak/>
              <w:t>Eliminate the risk</w:t>
            </w:r>
          </w:p>
          <w:p w:rsidR="00B04F48" w:rsidP="00B04F48" w:rsidRDefault="00B04F48" w14:paraId="0C7EAD55" w14:textId="77777777">
            <w:pPr>
              <w:pStyle w:val="ListParagraph"/>
              <w:numPr>
                <w:ilvl w:val="0"/>
                <w:numId w:val="28"/>
              </w:numPr>
              <w:spacing w:after="0" w:line="240" w:lineRule="auto"/>
            </w:pPr>
            <w:r>
              <w:t>Substitute for a less hazardous risk</w:t>
            </w:r>
          </w:p>
          <w:p w:rsidR="00B04F48" w:rsidP="00B04F48" w:rsidRDefault="00B04F48" w14:paraId="72CC3D97" w14:textId="77777777">
            <w:pPr>
              <w:pStyle w:val="ListParagraph"/>
              <w:numPr>
                <w:ilvl w:val="0"/>
                <w:numId w:val="28"/>
              </w:numPr>
              <w:spacing w:after="0" w:line="240" w:lineRule="auto"/>
            </w:pPr>
            <w:r>
              <w:t>Engineering control</w:t>
            </w:r>
          </w:p>
          <w:p w:rsidR="00B04F48" w:rsidP="00B04F48" w:rsidRDefault="00B04F48" w14:paraId="2063AE09" w14:textId="77777777">
            <w:pPr>
              <w:pStyle w:val="ListParagraph"/>
              <w:numPr>
                <w:ilvl w:val="0"/>
                <w:numId w:val="28"/>
              </w:numPr>
              <w:spacing w:after="0" w:line="240" w:lineRule="auto"/>
            </w:pPr>
            <w:r>
              <w:t>Administrative control</w:t>
            </w:r>
          </w:p>
          <w:p w:rsidR="00EC2B24" w:rsidP="00EC2B24" w:rsidRDefault="00B04F48" w14:paraId="449BB15D" w14:textId="77777777">
            <w:pPr>
              <w:pStyle w:val="ListParagraph"/>
              <w:numPr>
                <w:ilvl w:val="0"/>
                <w:numId w:val="28"/>
              </w:numPr>
            </w:pPr>
            <w:r>
              <w:t>Personal Protective Equipment (PPE)</w:t>
            </w:r>
          </w:p>
          <w:p w:rsidRPr="009B741C" w:rsidR="00B04F48" w:rsidP="007956D3" w:rsidRDefault="00776A98" w14:paraId="59279727" w14:textId="6A3DA39F">
            <w:r>
              <w:t xml:space="preserve">Where residual risk levels are higher than </w:t>
            </w:r>
            <w:r w:rsidR="006636E1">
              <w:t>our</w:t>
            </w:r>
            <w:r>
              <w:t xml:space="preserve"> </w:t>
            </w:r>
            <w:r w:rsidR="00117A92">
              <w:t>risk tolerance</w:t>
            </w:r>
            <w:r w:rsidRPr="00D4758D">
              <w:t xml:space="preserve">, </w:t>
            </w:r>
            <w:r>
              <w:t>treatments must be identified and implemented to manage them to the appropriate levels.</w:t>
            </w:r>
          </w:p>
        </w:tc>
        <w:tc>
          <w:tcPr>
            <w:tcW w:w="2268" w:type="dxa"/>
            <w:vAlign w:val="center"/>
          </w:tcPr>
          <w:p w:rsidRPr="007956D3" w:rsidR="0036557D" w:rsidP="0036557D" w:rsidRDefault="0036557D" w14:paraId="1C9BDB0F" w14:textId="57D1C009">
            <w:pPr>
              <w:rPr>
                <w:b/>
              </w:rPr>
            </w:pPr>
            <w:r w:rsidRPr="007956D3">
              <w:rPr>
                <w:b/>
              </w:rPr>
              <w:lastRenderedPageBreak/>
              <w:t xml:space="preserve">Executive People &amp; Resilience </w:t>
            </w:r>
          </w:p>
          <w:p w:rsidRPr="007E3419" w:rsidR="00B04F48" w:rsidP="0036557D" w:rsidRDefault="003558B0" w14:paraId="5EDE9326" w14:textId="76A8A84E">
            <w:r>
              <w:lastRenderedPageBreak/>
              <w:t xml:space="preserve">Hazard and </w:t>
            </w:r>
            <w:r w:rsidR="0036557D">
              <w:t>Risk Owners</w:t>
            </w:r>
          </w:p>
        </w:tc>
        <w:tc>
          <w:tcPr>
            <w:tcW w:w="2268" w:type="dxa"/>
            <w:vAlign w:val="center"/>
          </w:tcPr>
          <w:p w:rsidRPr="007E3419" w:rsidR="00B04F48" w:rsidP="00B04F48" w:rsidRDefault="0036557D" w14:paraId="1BC00CCC" w14:textId="10A15A2E">
            <w:r>
              <w:lastRenderedPageBreak/>
              <w:t>GM People &amp; Business Services</w:t>
            </w:r>
          </w:p>
        </w:tc>
      </w:tr>
      <w:tr w:rsidRPr="00594CE0" w:rsidR="00B93B59" w:rsidTr="0098534B" w14:paraId="0876F634" w14:textId="77777777">
        <w:trPr>
          <w:trHeight w:val="454"/>
        </w:trPr>
        <w:tc>
          <w:tcPr>
            <w:tcW w:w="5613" w:type="dxa"/>
            <w:vAlign w:val="center"/>
          </w:tcPr>
          <w:p w:rsidR="00B93B59" w:rsidP="00B93B59" w:rsidRDefault="00B93B59" w14:paraId="7967A2BA" w14:textId="77777777">
            <w:r>
              <w:t>Risk management requirements defined in legislation or other obligations must be implemented (e.g., OHS Regulation high-risk work licences, health monitoring).</w:t>
            </w:r>
          </w:p>
          <w:p w:rsidR="00B93B59" w:rsidP="00B93B59" w:rsidRDefault="00B93B59" w14:paraId="4BA23F99" w14:textId="77777777"/>
          <w:p w:rsidR="00B93B59" w:rsidP="00B93B59" w:rsidRDefault="00B93B59" w14:paraId="414DA18F" w14:textId="247B940D">
            <w:r>
              <w:t xml:space="preserve">Controls which aren’t legislated will be implemented based on the level of risk. </w:t>
            </w:r>
          </w:p>
        </w:tc>
        <w:tc>
          <w:tcPr>
            <w:tcW w:w="2268" w:type="dxa"/>
            <w:vAlign w:val="center"/>
          </w:tcPr>
          <w:p w:rsidR="00B93B59" w:rsidP="00B93B59" w:rsidRDefault="00B93B59" w14:paraId="313CD370" w14:textId="6AB776DE">
            <w:pPr>
              <w:rPr>
                <w:b/>
                <w:bCs/>
              </w:rPr>
            </w:pPr>
            <w:r w:rsidRPr="00280DA7">
              <w:rPr>
                <w:b/>
                <w:bCs/>
              </w:rPr>
              <w:t xml:space="preserve">Executive People &amp; Resilience </w:t>
            </w:r>
          </w:p>
          <w:p w:rsidRPr="00F05753" w:rsidR="00B93B59" w:rsidP="00B93B59" w:rsidRDefault="00201C7E" w14:paraId="5A3BAFBB" w14:textId="1984EE08">
            <w:pPr>
              <w:rPr>
                <w:b/>
                <w:bCs/>
              </w:rPr>
            </w:pPr>
            <w:r>
              <w:t>R</w:t>
            </w:r>
            <w:r w:rsidRPr="00280DA7" w:rsidR="00B93B59">
              <w:t>isk Owners</w:t>
            </w:r>
          </w:p>
        </w:tc>
        <w:tc>
          <w:tcPr>
            <w:tcW w:w="2268" w:type="dxa"/>
            <w:vAlign w:val="center"/>
          </w:tcPr>
          <w:p w:rsidR="00B93B59" w:rsidP="00B93B59" w:rsidRDefault="00B93B59" w14:paraId="3ED18F65" w14:textId="55493671">
            <w:r>
              <w:t xml:space="preserve">GM People &amp; Business Services </w:t>
            </w:r>
          </w:p>
        </w:tc>
      </w:tr>
      <w:tr w:rsidRPr="00594CE0" w:rsidR="005121FA" w:rsidTr="007956D3" w14:paraId="60CCD7D7" w14:textId="77777777">
        <w:trPr>
          <w:trHeight w:val="454"/>
        </w:trPr>
        <w:tc>
          <w:tcPr>
            <w:tcW w:w="5613" w:type="dxa"/>
            <w:shd w:val="clear" w:color="auto" w:fill="FFFFFF" w:themeFill="background1"/>
            <w:vAlign w:val="center"/>
          </w:tcPr>
          <w:p w:rsidR="005121FA" w:rsidP="005121FA" w:rsidRDefault="00F9138C" w14:paraId="57B2DDB2" w14:textId="24E8A24E">
            <w:r>
              <w:t>A</w:t>
            </w:r>
            <w:r w:rsidR="005121FA">
              <w:t xml:space="preserve"> </w:t>
            </w:r>
            <w:r w:rsidRPr="007956D3" w:rsidR="005121FA">
              <w:rPr>
                <w:b/>
                <w:bCs/>
              </w:rPr>
              <w:t>Hazard Report</w:t>
            </w:r>
            <w:r w:rsidR="005121FA">
              <w:t xml:space="preserve"> where there is a concern that we are not effectively controlling </w:t>
            </w:r>
            <w:r w:rsidR="00135B0F">
              <w:t xml:space="preserve">hazards or </w:t>
            </w:r>
            <w:r w:rsidR="005121FA">
              <w:t>risks associated with our activities</w:t>
            </w:r>
            <w:r>
              <w:t xml:space="preserve"> must be raised</w:t>
            </w:r>
            <w:r w:rsidR="0056254C">
              <w:t xml:space="preserve">. </w:t>
            </w:r>
          </w:p>
        </w:tc>
        <w:tc>
          <w:tcPr>
            <w:tcW w:w="2268" w:type="dxa"/>
            <w:vAlign w:val="center"/>
          </w:tcPr>
          <w:p w:rsidR="005121FA" w:rsidP="005121FA" w:rsidRDefault="005121FA" w14:paraId="55C6F6CA" w14:textId="42D6975B">
            <w:pPr>
              <w:rPr>
                <w:b/>
                <w:bCs/>
              </w:rPr>
            </w:pPr>
            <w:r w:rsidRPr="00280DA7">
              <w:rPr>
                <w:b/>
                <w:bCs/>
              </w:rPr>
              <w:t xml:space="preserve">Executive People &amp; Resilience </w:t>
            </w:r>
          </w:p>
          <w:p w:rsidR="005121FA" w:rsidP="005121FA" w:rsidRDefault="005121FA" w14:paraId="03EFE2EA" w14:textId="4CF69533">
            <w:r w:rsidRPr="00280DA7">
              <w:t>Hazard and Risk Owners</w:t>
            </w:r>
          </w:p>
        </w:tc>
        <w:tc>
          <w:tcPr>
            <w:tcW w:w="2268" w:type="dxa"/>
            <w:vAlign w:val="center"/>
          </w:tcPr>
          <w:p w:rsidR="005121FA" w:rsidP="005121FA" w:rsidRDefault="005121FA" w14:paraId="24E0D80B" w14:textId="2AC69BFF">
            <w:r>
              <w:t xml:space="preserve">GM People &amp; Business Services </w:t>
            </w:r>
          </w:p>
        </w:tc>
      </w:tr>
      <w:tr w:rsidRPr="00594CE0" w:rsidR="00B04F48" w:rsidTr="007956D3" w14:paraId="0EF54745" w14:textId="77777777">
        <w:trPr>
          <w:trHeight w:val="454"/>
        </w:trPr>
        <w:tc>
          <w:tcPr>
            <w:tcW w:w="10149" w:type="dxa"/>
            <w:gridSpan w:val="3"/>
            <w:tcBorders>
              <w:left w:val="nil"/>
              <w:right w:val="nil"/>
            </w:tcBorders>
            <w:vAlign w:val="center"/>
          </w:tcPr>
          <w:p w:rsidRPr="007E3419" w:rsidR="00B04F48" w:rsidP="00B04F48" w:rsidRDefault="00B04F48" w14:paraId="7855CF0E" w14:textId="239F3C54">
            <w:r w:rsidRPr="004A24E3">
              <w:rPr>
                <w:b/>
                <w:bCs/>
              </w:rPr>
              <w:t xml:space="preserve">Risk </w:t>
            </w:r>
            <w:r w:rsidR="00572650">
              <w:rPr>
                <w:b/>
                <w:bCs/>
              </w:rPr>
              <w:t xml:space="preserve">Monitoring and </w:t>
            </w:r>
            <w:r w:rsidRPr="004A24E3">
              <w:rPr>
                <w:b/>
                <w:bCs/>
              </w:rPr>
              <w:t xml:space="preserve">Review </w:t>
            </w:r>
          </w:p>
        </w:tc>
      </w:tr>
      <w:tr w:rsidRPr="00594CE0" w:rsidR="002C4FAF" w:rsidTr="001A477E" w14:paraId="2DC1B25E" w14:textId="77777777">
        <w:trPr>
          <w:trHeight w:val="454"/>
        </w:trPr>
        <w:tc>
          <w:tcPr>
            <w:tcW w:w="5613" w:type="dxa"/>
            <w:vAlign w:val="center"/>
          </w:tcPr>
          <w:p w:rsidRPr="00AB02B6" w:rsidR="002C4FAF" w:rsidP="002C4FAF" w:rsidRDefault="00B55175" w14:paraId="2C24EFDD" w14:textId="760A0D92">
            <w:pPr>
              <w:rPr>
                <w:rFonts w:cs="Times New Roman"/>
              </w:rPr>
            </w:pPr>
            <w:r w:rsidRPr="007956D3">
              <w:t xml:space="preserve">Risks must be </w:t>
            </w:r>
            <w:r w:rsidRPr="007956D3" w:rsidR="00474993">
              <w:t xml:space="preserve">reviewed </w:t>
            </w:r>
            <w:r w:rsidR="003961C3">
              <w:t>as per</w:t>
            </w:r>
            <w:r w:rsidRPr="007956D3" w:rsidR="00474993">
              <w:t xml:space="preserve"> the requirements in t</w:t>
            </w:r>
            <w:r w:rsidRPr="007956D3" w:rsidR="00AC22F0">
              <w:t xml:space="preserve">he </w:t>
            </w:r>
            <w:r w:rsidRPr="007956D3" w:rsidR="00AC22F0">
              <w:rPr>
                <w:b/>
                <w:bCs/>
              </w:rPr>
              <w:t>Risk Management Procedure</w:t>
            </w:r>
            <w:r w:rsidRPr="007956D3" w:rsidR="00AC22F0">
              <w:t xml:space="preserve"> </w:t>
            </w:r>
            <w:r w:rsidRPr="00D33AF0" w:rsidR="00474993">
              <w:t>and</w:t>
            </w:r>
            <w:r w:rsidR="00474993">
              <w:t xml:space="preserve"> when</w:t>
            </w:r>
            <w:r w:rsidR="003B2C39">
              <w:t xml:space="preserve"> there is</w:t>
            </w:r>
            <w:r w:rsidRPr="00AB02B6" w:rsidR="00EC2B24">
              <w:rPr>
                <w:rFonts w:cs="Times New Roman"/>
              </w:rPr>
              <w:t>:</w:t>
            </w:r>
          </w:p>
          <w:p w:rsidRPr="00AB02B6" w:rsidR="002C4FAF" w:rsidP="002C4FAF" w:rsidRDefault="00C6638F" w14:paraId="2012ABCF" w14:textId="4AE167AC">
            <w:pPr>
              <w:numPr>
                <w:ilvl w:val="0"/>
                <w:numId w:val="29"/>
              </w:numPr>
              <w:contextualSpacing/>
              <w:rPr>
                <w:rFonts w:cs="Arial"/>
                <w:szCs w:val="22"/>
                <w:lang w:val="en-US"/>
              </w:rPr>
            </w:pPr>
            <w:r>
              <w:rPr>
                <w:rFonts w:cs="Arial"/>
                <w:szCs w:val="22"/>
                <w:lang w:val="en-US"/>
              </w:rPr>
              <w:t>A c</w:t>
            </w:r>
            <w:r w:rsidRPr="00AB02B6" w:rsidR="00EC2B24">
              <w:rPr>
                <w:rFonts w:cs="Arial"/>
                <w:szCs w:val="22"/>
                <w:lang w:val="en-US"/>
              </w:rPr>
              <w:t>hange</w:t>
            </w:r>
            <w:r w:rsidRPr="00AB02B6" w:rsidR="002C4FAF">
              <w:rPr>
                <w:rFonts w:cs="Arial"/>
                <w:szCs w:val="22"/>
                <w:lang w:val="en-US"/>
              </w:rPr>
              <w:t xml:space="preserve"> to process (e.g., work method, equipment, materials)</w:t>
            </w:r>
          </w:p>
          <w:p w:rsidRPr="00AB02B6" w:rsidR="002C4FAF" w:rsidP="002C4FAF" w:rsidRDefault="00C6638F" w14:paraId="0755E95D" w14:textId="438122D2">
            <w:pPr>
              <w:numPr>
                <w:ilvl w:val="0"/>
                <w:numId w:val="29"/>
              </w:numPr>
              <w:contextualSpacing/>
              <w:rPr>
                <w:rFonts w:cs="Arial"/>
                <w:szCs w:val="22"/>
                <w:lang w:val="en-US"/>
              </w:rPr>
            </w:pPr>
            <w:r>
              <w:rPr>
                <w:rFonts w:cs="Arial"/>
                <w:szCs w:val="22"/>
                <w:lang w:val="en-US"/>
              </w:rPr>
              <w:t>A c</w:t>
            </w:r>
            <w:r w:rsidRPr="00AB02B6" w:rsidR="00EC2B24">
              <w:rPr>
                <w:rFonts w:cs="Arial"/>
                <w:szCs w:val="22"/>
                <w:lang w:val="en-US"/>
              </w:rPr>
              <w:t>hange</w:t>
            </w:r>
            <w:r w:rsidRPr="00AB02B6" w:rsidR="002C4FAF">
              <w:rPr>
                <w:rFonts w:cs="Arial"/>
                <w:szCs w:val="22"/>
                <w:lang w:val="en-US"/>
              </w:rPr>
              <w:t xml:space="preserve"> to legislation or other obligations</w:t>
            </w:r>
          </w:p>
          <w:p w:rsidRPr="00AB02B6" w:rsidR="002C4FAF" w:rsidP="002C4FAF" w:rsidRDefault="002C4FAF" w14:paraId="05E63B01" w14:textId="77777777">
            <w:pPr>
              <w:numPr>
                <w:ilvl w:val="0"/>
                <w:numId w:val="29"/>
              </w:numPr>
              <w:contextualSpacing/>
              <w:rPr>
                <w:rFonts w:cs="Arial"/>
                <w:szCs w:val="22"/>
                <w:lang w:val="en-US"/>
              </w:rPr>
            </w:pPr>
            <w:r w:rsidRPr="00AB02B6">
              <w:rPr>
                <w:rFonts w:cs="Arial"/>
                <w:szCs w:val="22"/>
                <w:lang w:val="en-US"/>
              </w:rPr>
              <w:t xml:space="preserve">New information about hazards or risks </w:t>
            </w:r>
          </w:p>
          <w:p w:rsidRPr="00AB02B6" w:rsidR="002C4FAF" w:rsidP="002C4FAF" w:rsidRDefault="002C4FAF" w14:paraId="6A76BF21" w14:textId="7CA50723">
            <w:pPr>
              <w:numPr>
                <w:ilvl w:val="0"/>
                <w:numId w:val="29"/>
              </w:numPr>
              <w:contextualSpacing/>
              <w:rPr>
                <w:rFonts w:cs="Arial"/>
                <w:szCs w:val="22"/>
                <w:lang w:val="en-US"/>
              </w:rPr>
            </w:pPr>
            <w:r w:rsidRPr="00AB02B6">
              <w:rPr>
                <w:rFonts w:cs="Arial"/>
                <w:szCs w:val="22"/>
                <w:lang w:val="en-US"/>
              </w:rPr>
              <w:t>In response to an incident or audit finding</w:t>
            </w:r>
          </w:p>
        </w:tc>
        <w:tc>
          <w:tcPr>
            <w:tcW w:w="2268" w:type="dxa"/>
            <w:vAlign w:val="center"/>
          </w:tcPr>
          <w:p w:rsidRPr="007956D3" w:rsidR="002C4FAF" w:rsidP="002C4FAF" w:rsidRDefault="002C4FAF" w14:paraId="00CA4C15" w14:textId="77777777">
            <w:pPr>
              <w:rPr>
                <w:b/>
              </w:rPr>
            </w:pPr>
            <w:r w:rsidRPr="007956D3">
              <w:rPr>
                <w:b/>
              </w:rPr>
              <w:t xml:space="preserve">Executive People &amp; Resilience </w:t>
            </w:r>
          </w:p>
          <w:p w:rsidRPr="007E3419" w:rsidR="002C4FAF" w:rsidP="002C4FAF" w:rsidRDefault="002C4FAF" w14:paraId="688F3E8F" w14:textId="7527EDEE">
            <w:r>
              <w:t xml:space="preserve">Risk Owners </w:t>
            </w:r>
          </w:p>
        </w:tc>
        <w:tc>
          <w:tcPr>
            <w:tcW w:w="2268" w:type="dxa"/>
            <w:vAlign w:val="center"/>
          </w:tcPr>
          <w:p w:rsidRPr="007E3419" w:rsidR="002C4FAF" w:rsidP="002C4FAF" w:rsidRDefault="002C4FAF" w14:paraId="5A5FF187" w14:textId="4F4A1231">
            <w:r>
              <w:t>GM People &amp; Business Services</w:t>
            </w:r>
          </w:p>
        </w:tc>
      </w:tr>
      <w:tr w:rsidRPr="00594CE0" w:rsidR="002C4FAF" w:rsidTr="0036554F" w14:paraId="06E38559" w14:textId="77777777">
        <w:trPr>
          <w:trHeight w:val="454"/>
        </w:trPr>
        <w:tc>
          <w:tcPr>
            <w:tcW w:w="5613" w:type="dxa"/>
            <w:vAlign w:val="center"/>
          </w:tcPr>
          <w:p w:rsidR="002C4FAF" w:rsidP="002C4FAF" w:rsidRDefault="00204F4D" w14:paraId="73075B41" w14:textId="6681BF15">
            <w:r>
              <w:t>Im</w:t>
            </w:r>
            <w:r w:rsidR="00EC2B24">
              <w:t>pacts</w:t>
            </w:r>
            <w:r w:rsidR="002C4FAF">
              <w:t xml:space="preserve"> from review and update of risks </w:t>
            </w:r>
            <w:r w:rsidR="00C76682">
              <w:t>mu</w:t>
            </w:r>
            <w:r w:rsidR="00A845DE">
              <w:t xml:space="preserve">st be </w:t>
            </w:r>
            <w:r w:rsidR="002C4FAF">
              <w:t>communicated to relevant stakeholders (e.g., change to causes, controls, treatments, increase/decrease to risk level</w:t>
            </w:r>
            <w:r w:rsidR="003F5923">
              <w:t>s</w:t>
            </w:r>
            <w:r w:rsidR="00EC2B24">
              <w:t>)</w:t>
            </w:r>
            <w:r w:rsidR="003B6B09">
              <w:t>.</w:t>
            </w:r>
          </w:p>
        </w:tc>
        <w:tc>
          <w:tcPr>
            <w:tcW w:w="2268" w:type="dxa"/>
            <w:vAlign w:val="center"/>
          </w:tcPr>
          <w:p w:rsidRPr="00201C7E" w:rsidR="002C4FAF" w:rsidP="002C4FAF" w:rsidRDefault="002C4FAF" w14:paraId="168A041B" w14:textId="77777777">
            <w:pPr>
              <w:rPr>
                <w:b/>
              </w:rPr>
            </w:pPr>
            <w:r w:rsidRPr="00201C7E">
              <w:rPr>
                <w:b/>
              </w:rPr>
              <w:t xml:space="preserve">Executive People &amp; Resilience </w:t>
            </w:r>
          </w:p>
          <w:p w:rsidRPr="007E3419" w:rsidR="002C4FAF" w:rsidP="002C4FAF" w:rsidRDefault="002C4FAF" w14:paraId="7C44B489" w14:textId="47CC2F2A">
            <w:r>
              <w:t xml:space="preserve">Risk Owners </w:t>
            </w:r>
          </w:p>
        </w:tc>
        <w:tc>
          <w:tcPr>
            <w:tcW w:w="2268" w:type="dxa"/>
            <w:vAlign w:val="center"/>
          </w:tcPr>
          <w:p w:rsidRPr="007E3419" w:rsidR="002C4FAF" w:rsidP="002C4FAF" w:rsidRDefault="002C4FAF" w14:paraId="72CEE992" w14:textId="765BF633">
            <w:r>
              <w:t>GM People &amp; Business Services</w:t>
            </w:r>
          </w:p>
        </w:tc>
      </w:tr>
      <w:tr w:rsidRPr="00594CE0" w:rsidR="004A16FD" w:rsidTr="0036554F" w14:paraId="68F69280" w14:textId="77777777">
        <w:trPr>
          <w:trHeight w:val="454"/>
        </w:trPr>
        <w:tc>
          <w:tcPr>
            <w:tcW w:w="5613" w:type="dxa"/>
            <w:vAlign w:val="center"/>
          </w:tcPr>
          <w:p w:rsidR="004A16FD" w:rsidDel="00204F4D" w:rsidP="004A16FD" w:rsidRDefault="00757C5F" w14:paraId="4BA3F4D2" w14:textId="7CD6A792">
            <w:r>
              <w:t>A</w:t>
            </w:r>
            <w:r w:rsidR="00EA6DE8">
              <w:t xml:space="preserve"> p</w:t>
            </w:r>
            <w:r w:rsidR="00B849F9">
              <w:t xml:space="preserve">rocess </w:t>
            </w:r>
            <w:r>
              <w:t>must be</w:t>
            </w:r>
            <w:r w:rsidR="00B849F9">
              <w:t xml:space="preserve"> in place to monitor </w:t>
            </w:r>
            <w:r w:rsidR="009D23AF">
              <w:t xml:space="preserve">the </w:t>
            </w:r>
            <w:r w:rsidR="00B849F9">
              <w:t>effectiveness of controls (e.g., self-checks,</w:t>
            </w:r>
            <w:r w:rsidR="00D23108">
              <w:t xml:space="preserve"> site inspections,</w:t>
            </w:r>
            <w:r w:rsidR="00B849F9">
              <w:t xml:space="preserve"> audit</w:t>
            </w:r>
            <w:r w:rsidR="00D23108">
              <w:t xml:space="preserve">, consultation with </w:t>
            </w:r>
            <w:r w:rsidR="00C33D1E">
              <w:t>employees</w:t>
            </w:r>
            <w:r w:rsidR="00B849F9">
              <w:t>)</w:t>
            </w:r>
            <w:r w:rsidR="004A16FD">
              <w:t>.</w:t>
            </w:r>
          </w:p>
        </w:tc>
        <w:tc>
          <w:tcPr>
            <w:tcW w:w="2268" w:type="dxa"/>
            <w:vAlign w:val="center"/>
          </w:tcPr>
          <w:p w:rsidR="004A16FD" w:rsidP="004A16FD" w:rsidRDefault="004A16FD" w14:paraId="3BE57531" w14:textId="79EB3F10">
            <w:pPr>
              <w:rPr>
                <w:b/>
                <w:bCs/>
              </w:rPr>
            </w:pPr>
            <w:r w:rsidRPr="00280DA7">
              <w:rPr>
                <w:b/>
                <w:bCs/>
              </w:rPr>
              <w:t xml:space="preserve">Executive People &amp; Resilience </w:t>
            </w:r>
          </w:p>
          <w:p w:rsidR="004A16FD" w:rsidP="004A16FD" w:rsidRDefault="004A16FD" w14:paraId="6BF3F860" w14:textId="6CCDA48D">
            <w:r w:rsidRPr="00280DA7">
              <w:t>Hazard and Risk Owners</w:t>
            </w:r>
          </w:p>
        </w:tc>
        <w:tc>
          <w:tcPr>
            <w:tcW w:w="2268" w:type="dxa"/>
            <w:vAlign w:val="center"/>
          </w:tcPr>
          <w:p w:rsidR="004A16FD" w:rsidP="004A16FD" w:rsidRDefault="004A16FD" w14:paraId="098C5DC9" w14:textId="282EA791">
            <w:r>
              <w:t xml:space="preserve">GM People &amp; Business Services </w:t>
            </w:r>
          </w:p>
        </w:tc>
      </w:tr>
      <w:tr w:rsidRPr="00594CE0" w:rsidR="004F4944" w:rsidTr="0036554F" w14:paraId="1DF6E0E1" w14:textId="77777777">
        <w:trPr>
          <w:trHeight w:val="454"/>
        </w:trPr>
        <w:tc>
          <w:tcPr>
            <w:tcW w:w="5613" w:type="dxa"/>
            <w:vAlign w:val="center"/>
          </w:tcPr>
          <w:p w:rsidR="004F4944" w:rsidDel="00204F4D" w:rsidP="004F4944" w:rsidRDefault="004F4944" w14:paraId="66083F46" w14:textId="0654D279">
            <w:r>
              <w:t xml:space="preserve">A </w:t>
            </w:r>
            <w:r w:rsidRPr="007956D3">
              <w:rPr>
                <w:b/>
                <w:bCs/>
              </w:rPr>
              <w:t xml:space="preserve">Risk </w:t>
            </w:r>
            <w:r w:rsidR="008175C7">
              <w:rPr>
                <w:b/>
                <w:bCs/>
              </w:rPr>
              <w:t>M</w:t>
            </w:r>
            <w:r w:rsidRPr="007956D3">
              <w:rPr>
                <w:b/>
                <w:bCs/>
              </w:rPr>
              <w:t xml:space="preserve">anagement and </w:t>
            </w:r>
            <w:r w:rsidR="008175C7">
              <w:rPr>
                <w:b/>
                <w:bCs/>
              </w:rPr>
              <w:t>M</w:t>
            </w:r>
            <w:r w:rsidRPr="007956D3">
              <w:rPr>
                <w:b/>
                <w:bCs/>
              </w:rPr>
              <w:t xml:space="preserve">onitoring </w:t>
            </w:r>
            <w:r w:rsidR="00496B68">
              <w:rPr>
                <w:b/>
                <w:bCs/>
              </w:rPr>
              <w:t>P</w:t>
            </w:r>
            <w:r w:rsidRPr="007956D3">
              <w:rPr>
                <w:b/>
                <w:bCs/>
              </w:rPr>
              <w:t>rogram (RMMP)</w:t>
            </w:r>
            <w:r>
              <w:t xml:space="preserve"> which meets requirements of applicable EPA licence conditions must be developed and made available upon request</w:t>
            </w:r>
            <w:r w:rsidR="00496B68">
              <w:t>.</w:t>
            </w:r>
            <w:r>
              <w:t xml:space="preserve"> </w:t>
            </w:r>
          </w:p>
        </w:tc>
        <w:tc>
          <w:tcPr>
            <w:tcW w:w="2268" w:type="dxa"/>
            <w:vAlign w:val="center"/>
          </w:tcPr>
          <w:p w:rsidR="004F4944" w:rsidP="004F4944" w:rsidRDefault="008720BF" w14:paraId="657053BE" w14:textId="274CBA65">
            <w:r>
              <w:rPr>
                <w:b/>
                <w:bCs/>
              </w:rPr>
              <w:t>BM</w:t>
            </w:r>
            <w:r w:rsidR="004F4944">
              <w:rPr>
                <w:b/>
                <w:bCs/>
              </w:rPr>
              <w:t xml:space="preserve"> Operations</w:t>
            </w:r>
          </w:p>
        </w:tc>
        <w:tc>
          <w:tcPr>
            <w:tcW w:w="2268" w:type="dxa"/>
            <w:vAlign w:val="center"/>
          </w:tcPr>
          <w:p w:rsidR="004F4944" w:rsidP="004F4944" w:rsidRDefault="004F4944" w14:paraId="21498EC5" w14:textId="36AFEBFD">
            <w:r>
              <w:t>GM Assets &amp; Service Delivery</w:t>
            </w:r>
          </w:p>
        </w:tc>
      </w:tr>
      <w:tr w:rsidRPr="00594CE0" w:rsidR="00201C7E" w:rsidTr="00E10E39" w14:paraId="1144965D" w14:textId="77777777">
        <w:trPr>
          <w:trHeight w:val="454"/>
        </w:trPr>
        <w:tc>
          <w:tcPr>
            <w:tcW w:w="5613" w:type="dxa"/>
            <w:tcBorders>
              <w:bottom w:val="single" w:color="auto" w:sz="4" w:space="0"/>
            </w:tcBorders>
            <w:vAlign w:val="center"/>
          </w:tcPr>
          <w:p w:rsidR="00201C7E" w:rsidP="00201C7E" w:rsidRDefault="00201C7E" w14:paraId="25D8169A" w14:textId="3B01D6DE">
            <w:r w:rsidRPr="00280DA7">
              <w:t xml:space="preserve">The </w:t>
            </w:r>
            <w:r w:rsidRPr="00280DA7">
              <w:rPr>
                <w:b/>
                <w:bCs/>
              </w:rPr>
              <w:t>Risk Management Procedure</w:t>
            </w:r>
            <w:r w:rsidRPr="00280DA7">
              <w:t xml:space="preserve"> </w:t>
            </w:r>
            <w:r w:rsidR="001F788B">
              <w:t xml:space="preserve">must </w:t>
            </w:r>
            <w:r w:rsidRPr="00280DA7">
              <w:t>define the process</w:t>
            </w:r>
            <w:r>
              <w:t>es for management of records relating</w:t>
            </w:r>
            <w:r w:rsidR="006718ED">
              <w:t xml:space="preserve"> to</w:t>
            </w:r>
            <w:r>
              <w:t xml:space="preserve"> the risk management framework.</w:t>
            </w:r>
          </w:p>
        </w:tc>
        <w:tc>
          <w:tcPr>
            <w:tcW w:w="2268" w:type="dxa"/>
            <w:tcBorders>
              <w:bottom w:val="single" w:color="auto" w:sz="4" w:space="0"/>
            </w:tcBorders>
            <w:vAlign w:val="center"/>
          </w:tcPr>
          <w:p w:rsidR="00201C7E" w:rsidP="00201C7E" w:rsidRDefault="00201C7E" w14:paraId="6DE7CC89" w14:textId="2DF8A6EA">
            <w:pPr>
              <w:rPr>
                <w:b/>
                <w:bCs/>
              </w:rPr>
            </w:pPr>
            <w:r w:rsidRPr="007956D3">
              <w:rPr>
                <w:b/>
                <w:bCs/>
              </w:rPr>
              <w:t xml:space="preserve">Executive People &amp; Resilience </w:t>
            </w:r>
          </w:p>
        </w:tc>
        <w:tc>
          <w:tcPr>
            <w:tcW w:w="2268" w:type="dxa"/>
            <w:tcBorders>
              <w:bottom w:val="single" w:color="auto" w:sz="4" w:space="0"/>
            </w:tcBorders>
            <w:vAlign w:val="center"/>
          </w:tcPr>
          <w:p w:rsidR="00201C7E" w:rsidP="00201C7E" w:rsidRDefault="00201C7E" w14:paraId="709EA59E" w14:textId="372825D1">
            <w:r>
              <w:t xml:space="preserve">GM People &amp; Business Services </w:t>
            </w:r>
          </w:p>
        </w:tc>
      </w:tr>
      <w:tr w:rsidRPr="00594CE0" w:rsidR="00424A04" w:rsidTr="00E10E39" w14:paraId="43657002" w14:textId="77777777">
        <w:trPr>
          <w:trHeight w:val="454"/>
        </w:trPr>
        <w:tc>
          <w:tcPr>
            <w:tcW w:w="10149" w:type="dxa"/>
            <w:gridSpan w:val="3"/>
            <w:tcBorders>
              <w:left w:val="nil"/>
              <w:right w:val="nil"/>
            </w:tcBorders>
            <w:vAlign w:val="center"/>
          </w:tcPr>
          <w:p w:rsidRPr="00424A04" w:rsidR="00424A04" w:rsidP="00B04F48" w:rsidRDefault="00EC2B24" w14:paraId="1DC9022E" w14:textId="4E060E2A">
            <w:pPr>
              <w:rPr>
                <w:b/>
                <w:bCs/>
              </w:rPr>
            </w:pPr>
            <w:r w:rsidRPr="00424A04">
              <w:rPr>
                <w:b/>
                <w:bCs/>
              </w:rPr>
              <w:t xml:space="preserve">Risk </w:t>
            </w:r>
            <w:r w:rsidR="00D37136">
              <w:rPr>
                <w:b/>
                <w:bCs/>
              </w:rPr>
              <w:t xml:space="preserve">Reporting </w:t>
            </w:r>
          </w:p>
        </w:tc>
      </w:tr>
      <w:tr w:rsidRPr="00594CE0" w:rsidR="003558B0" w:rsidTr="007956D3" w14:paraId="41B7153C" w14:textId="77777777">
        <w:trPr>
          <w:trHeight w:val="454"/>
        </w:trPr>
        <w:tc>
          <w:tcPr>
            <w:tcW w:w="5613" w:type="dxa"/>
            <w:shd w:val="clear" w:color="auto" w:fill="FFFFFF" w:themeFill="background1"/>
            <w:vAlign w:val="center"/>
          </w:tcPr>
          <w:p w:rsidR="003558B0" w:rsidDel="005F5AF7" w:rsidP="003558B0" w:rsidRDefault="003558B0" w14:paraId="60571C4C" w14:textId="329971D7">
            <w:r w:rsidRPr="007956D3">
              <w:t xml:space="preserve">The </w:t>
            </w:r>
            <w:r w:rsidRPr="007956D3">
              <w:rPr>
                <w:b/>
                <w:bCs/>
              </w:rPr>
              <w:t>Risk Management Procedure</w:t>
            </w:r>
            <w:r w:rsidRPr="007956D3">
              <w:t xml:space="preserve"> </w:t>
            </w:r>
            <w:r w:rsidR="00A12B75">
              <w:t xml:space="preserve">must </w:t>
            </w:r>
            <w:r w:rsidRPr="007956D3">
              <w:t>define the process for reporting of our risks.</w:t>
            </w:r>
          </w:p>
        </w:tc>
        <w:tc>
          <w:tcPr>
            <w:tcW w:w="2268" w:type="dxa"/>
            <w:vAlign w:val="center"/>
          </w:tcPr>
          <w:p w:rsidRPr="00280DA7" w:rsidR="003558B0" w:rsidP="003558B0" w:rsidRDefault="003558B0" w14:paraId="05134A14" w14:textId="77777777">
            <w:pPr>
              <w:rPr>
                <w:b/>
                <w:bCs/>
              </w:rPr>
            </w:pPr>
            <w:r w:rsidRPr="00280DA7">
              <w:rPr>
                <w:b/>
                <w:bCs/>
              </w:rPr>
              <w:t xml:space="preserve">Executive People &amp; Resilience </w:t>
            </w:r>
          </w:p>
          <w:p w:rsidR="003558B0" w:rsidP="003558B0" w:rsidRDefault="003558B0" w14:paraId="08E575BE" w14:textId="500D8F92">
            <w:r>
              <w:t>Risk Owners</w:t>
            </w:r>
          </w:p>
        </w:tc>
        <w:tc>
          <w:tcPr>
            <w:tcW w:w="2268" w:type="dxa"/>
            <w:vAlign w:val="center"/>
          </w:tcPr>
          <w:p w:rsidR="003558B0" w:rsidP="003558B0" w:rsidRDefault="003558B0" w14:paraId="65E29D3D" w14:textId="3349B79F">
            <w:r>
              <w:t>GM People &amp; Business Services</w:t>
            </w:r>
          </w:p>
        </w:tc>
      </w:tr>
    </w:tbl>
    <w:p w:rsidR="008B2680" w:rsidP="00E90832" w:rsidRDefault="008B2680" w14:paraId="6DDE2EBA" w14:textId="4189629A">
      <w:bookmarkStart w:name="_Hlk70930098" w:id="0"/>
      <w:bookmarkStart w:name="_Toc4408096" w:id="1"/>
    </w:p>
    <w:p w:rsidR="00807BAC" w:rsidP="00E90832" w:rsidRDefault="00B7689A" w14:paraId="4E98902D" w14:textId="3C9E7A6A">
      <w:r>
        <w:br w:type="page"/>
      </w:r>
    </w:p>
    <w:p w:rsidRPr="00807BAC" w:rsidR="00807BAC" w:rsidP="00E90832" w:rsidRDefault="00807BAC" w14:paraId="229BE272" w14:textId="6ECB3686">
      <w:pPr>
        <w:rPr>
          <w:b/>
          <w:bCs/>
        </w:rPr>
      </w:pPr>
      <w:r w:rsidRPr="59A37644">
        <w:rPr>
          <w:b/>
          <w:bCs/>
        </w:rPr>
        <w:lastRenderedPageBreak/>
        <w:t>Risk Type</w:t>
      </w:r>
      <w:r w:rsidRPr="59A37644" w:rsidR="002E3DA0">
        <w:rPr>
          <w:b/>
          <w:bCs/>
        </w:rPr>
        <w:t>s</w:t>
      </w:r>
    </w:p>
    <w:p w:rsidR="00807BAC" w:rsidP="00E90832" w:rsidRDefault="00807BAC" w14:paraId="578CAC2C" w14:textId="6286E2F9"/>
    <w:tbl>
      <w:tblPr>
        <w:tblStyle w:val="TableGrid"/>
        <w:tblW w:w="10161" w:type="dxa"/>
        <w:tblLook w:val="04A0" w:firstRow="1" w:lastRow="0" w:firstColumn="1" w:lastColumn="0" w:noHBand="0" w:noVBand="1"/>
      </w:tblPr>
      <w:tblGrid>
        <w:gridCol w:w="2414"/>
        <w:gridCol w:w="2684"/>
        <w:gridCol w:w="3402"/>
        <w:gridCol w:w="1661"/>
      </w:tblGrid>
      <w:tr w:rsidR="00B85278" w:rsidTr="59A37644" w14:paraId="7C445EDB" w14:textId="77777777">
        <w:trPr>
          <w:trHeight w:val="609"/>
        </w:trPr>
        <w:tc>
          <w:tcPr>
            <w:tcW w:w="2414" w:type="dxa"/>
            <w:shd w:val="clear" w:color="auto" w:fill="00B4D0" w:themeFill="accent1"/>
            <w:vAlign w:val="center"/>
          </w:tcPr>
          <w:p w:rsidRPr="001C6BD5" w:rsidR="00B85278" w:rsidP="001C6BD5" w:rsidRDefault="00B85278" w14:paraId="21A4F044" w14:textId="6497790B">
            <w:pPr>
              <w:rPr>
                <w:b/>
                <w:bCs/>
                <w:color w:val="FFFFFF" w:themeColor="background1"/>
              </w:rPr>
            </w:pPr>
            <w:r w:rsidRPr="001C6BD5">
              <w:rPr>
                <w:b/>
                <w:bCs/>
                <w:color w:val="FFFFFF" w:themeColor="background1"/>
              </w:rPr>
              <w:t>Risk</w:t>
            </w:r>
          </w:p>
        </w:tc>
        <w:tc>
          <w:tcPr>
            <w:tcW w:w="2684" w:type="dxa"/>
            <w:shd w:val="clear" w:color="auto" w:fill="00B4D0" w:themeFill="accent1"/>
            <w:vAlign w:val="center"/>
          </w:tcPr>
          <w:p w:rsidRPr="001C6BD5" w:rsidR="00B85278" w:rsidP="001C6BD5" w:rsidRDefault="00B85278" w14:paraId="4FA227A9" w14:textId="1B501FEA">
            <w:pPr>
              <w:jc w:val="center"/>
              <w:rPr>
                <w:b/>
                <w:bCs/>
                <w:color w:val="FFFFFF" w:themeColor="background1"/>
              </w:rPr>
            </w:pPr>
            <w:r w:rsidRPr="001C6BD5">
              <w:rPr>
                <w:b/>
                <w:bCs/>
                <w:color w:val="FFFFFF" w:themeColor="background1"/>
              </w:rPr>
              <w:t>Description</w:t>
            </w:r>
          </w:p>
        </w:tc>
        <w:tc>
          <w:tcPr>
            <w:tcW w:w="3402" w:type="dxa"/>
            <w:shd w:val="clear" w:color="auto" w:fill="00B4D0" w:themeFill="accent1"/>
            <w:vAlign w:val="center"/>
          </w:tcPr>
          <w:p w:rsidR="00B85278" w:rsidP="00170501" w:rsidRDefault="00170501" w14:paraId="489BAA99" w14:textId="3E261B56">
            <w:pPr>
              <w:jc w:val="center"/>
              <w:rPr>
                <w:b/>
                <w:bCs/>
                <w:color w:val="FFFFFF" w:themeColor="background1"/>
              </w:rPr>
            </w:pPr>
            <w:r>
              <w:rPr>
                <w:b/>
                <w:bCs/>
                <w:color w:val="FFFFFF" w:themeColor="background1"/>
              </w:rPr>
              <w:t>Managed in</w:t>
            </w:r>
          </w:p>
        </w:tc>
        <w:tc>
          <w:tcPr>
            <w:tcW w:w="1661" w:type="dxa"/>
            <w:shd w:val="clear" w:color="auto" w:fill="00B4D0" w:themeFill="accent1"/>
            <w:vAlign w:val="center"/>
          </w:tcPr>
          <w:p w:rsidRPr="001C6BD5" w:rsidR="00B85278" w:rsidP="001C6BD5" w:rsidRDefault="00B85278" w14:paraId="1AD86FC3" w14:textId="54F1501F">
            <w:pPr>
              <w:jc w:val="center"/>
              <w:rPr>
                <w:b/>
                <w:bCs/>
                <w:color w:val="FFFFFF" w:themeColor="background1"/>
              </w:rPr>
            </w:pPr>
            <w:r>
              <w:rPr>
                <w:b/>
                <w:bCs/>
                <w:color w:val="FFFFFF" w:themeColor="background1"/>
              </w:rPr>
              <w:t>Owner</w:t>
            </w:r>
          </w:p>
        </w:tc>
      </w:tr>
      <w:tr w:rsidR="00B85278" w:rsidTr="59A37644" w14:paraId="08EE2F38" w14:textId="77777777">
        <w:trPr>
          <w:trHeight w:val="1603"/>
        </w:trPr>
        <w:tc>
          <w:tcPr>
            <w:tcW w:w="2414" w:type="dxa"/>
            <w:vAlign w:val="center"/>
          </w:tcPr>
          <w:p w:rsidRPr="002E3DA0" w:rsidR="00B85278" w:rsidP="001137EA" w:rsidRDefault="58E76D85" w14:paraId="65F801A6" w14:textId="07D82D41">
            <w:pPr>
              <w:rPr>
                <w:b/>
                <w:bCs/>
              </w:rPr>
            </w:pPr>
            <w:r w:rsidRPr="59A37644">
              <w:rPr>
                <w:b/>
                <w:bCs/>
              </w:rPr>
              <w:t xml:space="preserve">Strategic </w:t>
            </w:r>
          </w:p>
        </w:tc>
        <w:tc>
          <w:tcPr>
            <w:tcW w:w="2684" w:type="dxa"/>
            <w:vAlign w:val="center"/>
          </w:tcPr>
          <w:p w:rsidR="00B85278" w:rsidP="00476A9D" w:rsidRDefault="00B85278" w14:paraId="76643483" w14:textId="30EDD96D">
            <w:r>
              <w:t xml:space="preserve">Events that if occurred would materially affect the achievement of our purpose and strategic intent. They are identified by the Board and Executive. </w:t>
            </w:r>
          </w:p>
        </w:tc>
        <w:tc>
          <w:tcPr>
            <w:tcW w:w="3402" w:type="dxa"/>
            <w:vAlign w:val="center"/>
          </w:tcPr>
          <w:p w:rsidR="00B85278" w:rsidP="00E43FB0" w:rsidRDefault="00170501" w14:paraId="5EBC5958" w14:textId="78E4DCCA">
            <w:pPr>
              <w:pStyle w:val="ListParagraph"/>
              <w:numPr>
                <w:ilvl w:val="0"/>
                <w:numId w:val="31"/>
              </w:numPr>
              <w:ind w:left="444"/>
            </w:pPr>
            <w:r>
              <w:t>RiskWare – ERM Module</w:t>
            </w:r>
          </w:p>
        </w:tc>
        <w:tc>
          <w:tcPr>
            <w:tcW w:w="1661" w:type="dxa"/>
            <w:vAlign w:val="center"/>
          </w:tcPr>
          <w:p w:rsidR="00B85278" w:rsidP="00430928" w:rsidRDefault="00B85278" w14:paraId="7D3F856A" w14:textId="2DD85186">
            <w:r>
              <w:t>Executive</w:t>
            </w:r>
          </w:p>
        </w:tc>
      </w:tr>
      <w:tr w:rsidR="00AF7F30" w:rsidTr="59A37644" w14:paraId="18F4966D" w14:textId="77777777">
        <w:trPr>
          <w:trHeight w:val="1604"/>
        </w:trPr>
        <w:tc>
          <w:tcPr>
            <w:tcW w:w="2414" w:type="dxa"/>
            <w:vAlign w:val="center"/>
          </w:tcPr>
          <w:p w:rsidR="00AF7F30" w:rsidP="001137EA" w:rsidRDefault="00AF7F30" w14:paraId="01F01073" w14:textId="39D5AD17">
            <w:pPr>
              <w:rPr>
                <w:b/>
                <w:bCs/>
              </w:rPr>
            </w:pPr>
            <w:r w:rsidRPr="002E3DA0">
              <w:rPr>
                <w:b/>
                <w:bCs/>
              </w:rPr>
              <w:t>Operational</w:t>
            </w:r>
            <w:r w:rsidR="00496BB8">
              <w:rPr>
                <w:b/>
                <w:bCs/>
              </w:rPr>
              <w:t xml:space="preserve"> (Enterprise)</w:t>
            </w:r>
          </w:p>
          <w:p w:rsidRPr="00BC5EC8" w:rsidR="00AF7F30" w:rsidP="001137EA" w:rsidRDefault="00AF7F30" w14:paraId="349626A0" w14:textId="555E136F"/>
        </w:tc>
        <w:tc>
          <w:tcPr>
            <w:tcW w:w="2684" w:type="dxa"/>
            <w:vMerge w:val="restart"/>
            <w:vAlign w:val="center"/>
          </w:tcPr>
          <w:p w:rsidR="00AF7F30" w:rsidP="00476A9D" w:rsidRDefault="00AF7F30" w14:paraId="7F549333" w14:textId="33D11CB7">
            <w:r>
              <w:t xml:space="preserve">Events that if occurred would affect the achievement of our business as usual. </w:t>
            </w:r>
          </w:p>
        </w:tc>
        <w:tc>
          <w:tcPr>
            <w:tcW w:w="3402" w:type="dxa"/>
            <w:vAlign w:val="center"/>
          </w:tcPr>
          <w:p w:rsidR="00AF7F30" w:rsidP="00E43FB0" w:rsidRDefault="00AF7F30" w14:paraId="2BD52395" w14:textId="089CD46D">
            <w:pPr>
              <w:pStyle w:val="ListParagraph"/>
              <w:numPr>
                <w:ilvl w:val="0"/>
                <w:numId w:val="31"/>
              </w:numPr>
              <w:ind w:left="444"/>
            </w:pPr>
            <w:r>
              <w:t>RiskWare – ERM Module</w:t>
            </w:r>
          </w:p>
        </w:tc>
        <w:tc>
          <w:tcPr>
            <w:tcW w:w="1661" w:type="dxa"/>
            <w:vMerge w:val="restart"/>
            <w:vAlign w:val="center"/>
          </w:tcPr>
          <w:p w:rsidR="00AF7F30" w:rsidP="00430928" w:rsidRDefault="00AF7F30" w14:paraId="6AA00BE1" w14:textId="64662BA8">
            <w:r>
              <w:t xml:space="preserve">As defined in the </w:t>
            </w:r>
            <w:r w:rsidRPr="00B604EC">
              <w:rPr>
                <w:b/>
                <w:bCs/>
              </w:rPr>
              <w:t>Risk Management Procedure</w:t>
            </w:r>
          </w:p>
        </w:tc>
      </w:tr>
      <w:tr w:rsidR="00AF7F30" w:rsidTr="59A37644" w14:paraId="27AE622E" w14:textId="77777777">
        <w:trPr>
          <w:trHeight w:val="1604"/>
        </w:trPr>
        <w:tc>
          <w:tcPr>
            <w:tcW w:w="2414" w:type="dxa"/>
            <w:vAlign w:val="center"/>
          </w:tcPr>
          <w:p w:rsidRPr="002E3DA0" w:rsidR="00AF7F30" w:rsidP="001137EA" w:rsidRDefault="00AF7F30" w14:paraId="7A3B8559" w14:textId="1CE04EBF">
            <w:pPr>
              <w:rPr>
                <w:b/>
                <w:bCs/>
              </w:rPr>
            </w:pPr>
            <w:r w:rsidRPr="002E3DA0">
              <w:rPr>
                <w:b/>
                <w:bCs/>
              </w:rPr>
              <w:t xml:space="preserve">Operational </w:t>
            </w:r>
          </w:p>
        </w:tc>
        <w:tc>
          <w:tcPr>
            <w:tcW w:w="2684" w:type="dxa"/>
            <w:vMerge/>
          </w:tcPr>
          <w:p w:rsidR="00AF7F30" w:rsidP="00E90832" w:rsidRDefault="00AF7F30" w14:paraId="5877988C" w14:textId="77777777"/>
        </w:tc>
        <w:tc>
          <w:tcPr>
            <w:tcW w:w="3402" w:type="dxa"/>
            <w:vAlign w:val="bottom"/>
          </w:tcPr>
          <w:p w:rsidR="00AF7F30" w:rsidP="00E43FB0" w:rsidRDefault="00AF7F30" w14:paraId="51E1A481" w14:textId="530165CE">
            <w:pPr>
              <w:pStyle w:val="ListParagraph"/>
              <w:numPr>
                <w:ilvl w:val="0"/>
                <w:numId w:val="31"/>
              </w:numPr>
              <w:ind w:left="444"/>
            </w:pPr>
            <w:r>
              <w:t>RiskWare – WHS Module (Activity Level)</w:t>
            </w:r>
          </w:p>
          <w:p w:rsidR="00AF7F30" w:rsidP="00B97F5E" w:rsidRDefault="00AF7F30" w14:paraId="069CECFB" w14:textId="77777777">
            <w:pPr>
              <w:pStyle w:val="ListParagraph"/>
              <w:numPr>
                <w:ilvl w:val="0"/>
                <w:numId w:val="31"/>
              </w:numPr>
              <w:ind w:left="444"/>
            </w:pPr>
            <w:r>
              <w:t xml:space="preserve">So:Control (Environment &amp; Water Quality) </w:t>
            </w:r>
          </w:p>
          <w:p w:rsidR="00AF7F30" w:rsidP="00B97F5E" w:rsidRDefault="00AF7F30" w14:paraId="6C40C618" w14:textId="77777777">
            <w:pPr>
              <w:pStyle w:val="ListParagraph"/>
              <w:numPr>
                <w:ilvl w:val="0"/>
                <w:numId w:val="31"/>
              </w:numPr>
              <w:ind w:left="444"/>
            </w:pPr>
            <w:r>
              <w:t>Task Risk Assessment (JSA) eform</w:t>
            </w:r>
          </w:p>
          <w:p w:rsidR="00AF7F30" w:rsidP="00E43FB0" w:rsidRDefault="00AF7F30" w14:paraId="196F82EF" w14:textId="61DA288E">
            <w:pPr>
              <w:pStyle w:val="ListParagraph"/>
              <w:numPr>
                <w:ilvl w:val="0"/>
                <w:numId w:val="31"/>
              </w:numPr>
              <w:ind w:left="444"/>
            </w:pPr>
            <w:r>
              <w:t>Other Risk Management Platforms (e.g., ANCOLD guidelines, Community Emergency Risk Assessment (CERA))</w:t>
            </w:r>
          </w:p>
        </w:tc>
        <w:tc>
          <w:tcPr>
            <w:tcW w:w="1661" w:type="dxa"/>
            <w:vMerge/>
            <w:vAlign w:val="center"/>
          </w:tcPr>
          <w:p w:rsidR="00AF7F30" w:rsidP="00430928" w:rsidRDefault="00AF7F30" w14:paraId="7F241E61" w14:textId="6F1D080D"/>
        </w:tc>
      </w:tr>
      <w:tr w:rsidR="00B85278" w:rsidTr="59A37644" w14:paraId="56E5EBDE" w14:textId="77777777">
        <w:trPr>
          <w:trHeight w:val="1604"/>
        </w:trPr>
        <w:tc>
          <w:tcPr>
            <w:tcW w:w="2414" w:type="dxa"/>
            <w:vAlign w:val="center"/>
          </w:tcPr>
          <w:p w:rsidRPr="002E3DA0" w:rsidR="00B85278" w:rsidP="001137EA" w:rsidRDefault="00B85278" w14:paraId="3CC5D77B" w14:textId="08254454">
            <w:pPr>
              <w:rPr>
                <w:b/>
                <w:bCs/>
              </w:rPr>
            </w:pPr>
            <w:r w:rsidRPr="002E3DA0">
              <w:rPr>
                <w:b/>
                <w:bCs/>
              </w:rPr>
              <w:t xml:space="preserve">Project </w:t>
            </w:r>
          </w:p>
        </w:tc>
        <w:tc>
          <w:tcPr>
            <w:tcW w:w="2684" w:type="dxa"/>
            <w:vAlign w:val="center"/>
          </w:tcPr>
          <w:p w:rsidR="00B85278" w:rsidP="002E3DA0" w:rsidRDefault="00B85278" w14:paraId="0CE86879" w14:textId="6AC3AFCC">
            <w:r>
              <w:t xml:space="preserve">Project risks impact on the achievement of individual projects, change to processed or program of work. </w:t>
            </w:r>
            <w:r w:rsidR="0036314E">
              <w:t xml:space="preserve">These can be at a strategic or operational level. </w:t>
            </w:r>
          </w:p>
        </w:tc>
        <w:tc>
          <w:tcPr>
            <w:tcW w:w="3402" w:type="dxa"/>
            <w:vAlign w:val="center"/>
          </w:tcPr>
          <w:p w:rsidR="00B85278" w:rsidP="00E43FB0" w:rsidRDefault="00E43FB0" w14:paraId="04FFAE47" w14:textId="77777777">
            <w:pPr>
              <w:pStyle w:val="ListParagraph"/>
              <w:numPr>
                <w:ilvl w:val="0"/>
                <w:numId w:val="31"/>
              </w:numPr>
              <w:ind w:left="444"/>
            </w:pPr>
            <w:r>
              <w:t xml:space="preserve">RiskWare – WHS Module </w:t>
            </w:r>
          </w:p>
          <w:p w:rsidR="0036314E" w:rsidP="00E43FB0" w:rsidRDefault="0036314E" w14:paraId="55F7F2BC" w14:textId="0501C070">
            <w:pPr>
              <w:pStyle w:val="ListParagraph"/>
              <w:numPr>
                <w:ilvl w:val="0"/>
                <w:numId w:val="31"/>
              </w:numPr>
              <w:ind w:left="444"/>
            </w:pPr>
            <w:r>
              <w:t xml:space="preserve">RiskWare – ERM Module (for strategic project risks) </w:t>
            </w:r>
          </w:p>
        </w:tc>
        <w:tc>
          <w:tcPr>
            <w:tcW w:w="1661" w:type="dxa"/>
            <w:vAlign w:val="center"/>
          </w:tcPr>
          <w:p w:rsidR="00B85278" w:rsidP="00430928" w:rsidRDefault="00B85278" w14:paraId="4AFC94D1" w14:textId="01272660">
            <w:r>
              <w:t>Project Managers</w:t>
            </w:r>
          </w:p>
        </w:tc>
      </w:tr>
    </w:tbl>
    <w:p w:rsidR="001613E5" w:rsidP="007C58FB" w:rsidRDefault="001613E5" w14:paraId="768E772C" w14:textId="489A98A1">
      <w:pPr>
        <w:pStyle w:val="Heading1"/>
      </w:pPr>
      <w:r>
        <w:t xml:space="preserve">Training and </w:t>
      </w:r>
      <w:r w:rsidR="00AD3DF3">
        <w:t>a</w:t>
      </w:r>
      <w:r w:rsidR="003F351C">
        <w:t>ssessment</w:t>
      </w:r>
    </w:p>
    <w:tbl>
      <w:tblPr>
        <w:tblStyle w:val="TableGrid"/>
        <w:tblW w:w="10206" w:type="dxa"/>
        <w:tblLook w:val="04A0" w:firstRow="1" w:lastRow="0" w:firstColumn="1" w:lastColumn="0" w:noHBand="0" w:noVBand="1"/>
      </w:tblPr>
      <w:tblGrid>
        <w:gridCol w:w="5665"/>
        <w:gridCol w:w="2270"/>
        <w:gridCol w:w="2271"/>
      </w:tblGrid>
      <w:tr w:rsidRPr="00594CE0" w:rsidR="000455B5" w:rsidTr="000455B5" w14:paraId="43FA65CC" w14:textId="77777777">
        <w:trPr>
          <w:trHeight w:val="567"/>
        </w:trPr>
        <w:tc>
          <w:tcPr>
            <w:tcW w:w="5665" w:type="dxa"/>
            <w:shd w:val="clear" w:color="auto" w:fill="00B4D0" w:themeFill="accent1"/>
            <w:vAlign w:val="center"/>
          </w:tcPr>
          <w:bookmarkEnd w:id="0"/>
          <w:p w:rsidRPr="00CE7833" w:rsidR="000455B5" w:rsidP="000455B5" w:rsidRDefault="000455B5" w14:paraId="527EC77F" w14:textId="77777777">
            <w:pPr>
              <w:rPr>
                <w:b/>
                <w:bCs/>
                <w:color w:val="FFFFFF" w:themeColor="background1"/>
              </w:rPr>
            </w:pPr>
            <w:r>
              <w:rPr>
                <w:b/>
                <w:bCs/>
                <w:color w:val="FFFFFF" w:themeColor="background1"/>
              </w:rPr>
              <w:t>Standards</w:t>
            </w:r>
          </w:p>
        </w:tc>
        <w:tc>
          <w:tcPr>
            <w:tcW w:w="2270" w:type="dxa"/>
            <w:shd w:val="clear" w:color="auto" w:fill="00B4D0" w:themeFill="accent1"/>
            <w:vAlign w:val="center"/>
          </w:tcPr>
          <w:p w:rsidRPr="00CE7833" w:rsidR="000455B5" w:rsidP="000455B5" w:rsidRDefault="000455B5" w14:paraId="64B83E5B" w14:textId="77777777">
            <w:pPr>
              <w:jc w:val="center"/>
              <w:rPr>
                <w:b/>
                <w:bCs/>
                <w:color w:val="FFFFFF" w:themeColor="background1"/>
              </w:rPr>
            </w:pPr>
            <w:r w:rsidRPr="00CE7833">
              <w:rPr>
                <w:b/>
                <w:bCs/>
                <w:color w:val="FFFFFF" w:themeColor="background1"/>
              </w:rPr>
              <w:t>Responsibility</w:t>
            </w:r>
          </w:p>
        </w:tc>
        <w:tc>
          <w:tcPr>
            <w:tcW w:w="2271" w:type="dxa"/>
            <w:tcBorders>
              <w:bottom w:val="single" w:color="auto" w:sz="4" w:space="0"/>
            </w:tcBorders>
            <w:shd w:val="clear" w:color="auto" w:fill="00B4D0" w:themeFill="accent1"/>
            <w:vAlign w:val="center"/>
          </w:tcPr>
          <w:p w:rsidRPr="00CE7833" w:rsidR="000455B5" w:rsidP="000455B5" w:rsidRDefault="000455B5" w14:paraId="0B3D267E" w14:textId="77777777">
            <w:pPr>
              <w:jc w:val="center"/>
              <w:rPr>
                <w:b/>
                <w:bCs/>
                <w:color w:val="FFFFFF" w:themeColor="background1"/>
              </w:rPr>
            </w:pPr>
            <w:r>
              <w:rPr>
                <w:b/>
                <w:bCs/>
                <w:color w:val="FFFFFF" w:themeColor="background1"/>
              </w:rPr>
              <w:t>Accountability</w:t>
            </w:r>
          </w:p>
        </w:tc>
      </w:tr>
      <w:tr w:rsidRPr="00594CE0" w:rsidR="000455B5" w:rsidTr="006161C9" w14:paraId="470D905E" w14:textId="77777777">
        <w:trPr>
          <w:trHeight w:val="454"/>
        </w:trPr>
        <w:tc>
          <w:tcPr>
            <w:tcW w:w="5665" w:type="dxa"/>
            <w:vAlign w:val="center"/>
          </w:tcPr>
          <w:p w:rsidR="005F5222" w:rsidP="000D2D99" w:rsidRDefault="004E5787" w14:paraId="78201B86" w14:textId="53B42A59">
            <w:bookmarkStart w:name="_Hlk70930030" w:id="2"/>
            <w:r>
              <w:t xml:space="preserve">All managers with </w:t>
            </w:r>
            <w:r w:rsidR="00D023BB">
              <w:t>r</w:t>
            </w:r>
            <w:r>
              <w:t xml:space="preserve">esponsibilities &amp; </w:t>
            </w:r>
            <w:r w:rsidR="00D023BB">
              <w:t>a</w:t>
            </w:r>
            <w:r>
              <w:t>ccountabilities within this document must be made aware of this standard.</w:t>
            </w:r>
          </w:p>
        </w:tc>
        <w:tc>
          <w:tcPr>
            <w:tcW w:w="2270" w:type="dxa"/>
            <w:vAlign w:val="center"/>
          </w:tcPr>
          <w:p w:rsidRPr="00E10E39" w:rsidR="007A54B5" w:rsidP="006161C9" w:rsidRDefault="004E5787" w14:paraId="02CCCA69" w14:textId="34D687FE">
            <w:pPr>
              <w:rPr>
                <w:b/>
              </w:rPr>
            </w:pPr>
            <w:r w:rsidRPr="00E10E39">
              <w:rPr>
                <w:b/>
              </w:rPr>
              <w:t>Executive People &amp; Resilience</w:t>
            </w:r>
          </w:p>
        </w:tc>
        <w:tc>
          <w:tcPr>
            <w:tcW w:w="2271" w:type="dxa"/>
            <w:vAlign w:val="center"/>
          </w:tcPr>
          <w:p w:rsidRPr="000D2D99" w:rsidR="000455B5" w:rsidP="006161C9" w:rsidRDefault="004E5787" w14:paraId="057DD2D3" w14:textId="1F2590B7">
            <w:pPr>
              <w:rPr>
                <w:rFonts w:eastAsia="Calibri" w:cs="Times New Roman"/>
              </w:rPr>
            </w:pPr>
            <w:r w:rsidRPr="005B5F63">
              <w:rPr>
                <w:color w:val="000000"/>
                <w:szCs w:val="22"/>
              </w:rPr>
              <w:t>GM People &amp; Business Services</w:t>
            </w:r>
          </w:p>
        </w:tc>
      </w:tr>
    </w:tbl>
    <w:p w:rsidR="006B48CB" w:rsidP="007C58FB" w:rsidRDefault="006B48CB" w14:paraId="17F1B933" w14:textId="1E7BEBD3">
      <w:pPr>
        <w:pStyle w:val="Heading1"/>
      </w:pPr>
      <w:bookmarkStart w:name="_Hlk70930128" w:id="3"/>
      <w:bookmarkEnd w:id="2"/>
      <w:r>
        <w:t>Monitoring</w:t>
      </w:r>
    </w:p>
    <w:tbl>
      <w:tblPr>
        <w:tblStyle w:val="TableGrid"/>
        <w:tblW w:w="10201" w:type="dxa"/>
        <w:tblLook w:val="04A0" w:firstRow="1" w:lastRow="0" w:firstColumn="1" w:lastColumn="0" w:noHBand="0" w:noVBand="1"/>
      </w:tblPr>
      <w:tblGrid>
        <w:gridCol w:w="5669"/>
        <w:gridCol w:w="2198"/>
        <w:gridCol w:w="2334"/>
      </w:tblGrid>
      <w:tr w:rsidRPr="00594CE0" w:rsidR="004548D3" w:rsidTr="00D6349D" w14:paraId="2B2B7AE8" w14:textId="77777777">
        <w:trPr>
          <w:trHeight w:val="454"/>
        </w:trPr>
        <w:tc>
          <w:tcPr>
            <w:tcW w:w="5669" w:type="dxa"/>
            <w:shd w:val="clear" w:color="auto" w:fill="00B4D0" w:themeFill="accent1"/>
            <w:vAlign w:val="center"/>
          </w:tcPr>
          <w:p w:rsidRPr="00CE7833" w:rsidR="004548D3" w:rsidP="004548D3" w:rsidRDefault="004548D3" w14:paraId="2F5A8F54" w14:textId="77777777">
            <w:pPr>
              <w:rPr>
                <w:b/>
                <w:bCs/>
                <w:color w:val="FFFFFF" w:themeColor="background1"/>
              </w:rPr>
            </w:pPr>
            <w:r>
              <w:rPr>
                <w:b/>
                <w:bCs/>
                <w:color w:val="FFFFFF" w:themeColor="background1"/>
              </w:rPr>
              <w:t>Standards</w:t>
            </w:r>
          </w:p>
        </w:tc>
        <w:tc>
          <w:tcPr>
            <w:tcW w:w="2198" w:type="dxa"/>
            <w:tcBorders>
              <w:bottom w:val="single" w:color="auto" w:sz="4" w:space="0"/>
            </w:tcBorders>
            <w:shd w:val="clear" w:color="auto" w:fill="00B4D0" w:themeFill="accent1"/>
            <w:vAlign w:val="center"/>
          </w:tcPr>
          <w:p w:rsidRPr="00CE7833" w:rsidR="004548D3" w:rsidP="004548D3" w:rsidRDefault="004548D3" w14:paraId="40394D07" w14:textId="77777777">
            <w:pPr>
              <w:jc w:val="center"/>
              <w:rPr>
                <w:b/>
                <w:bCs/>
                <w:color w:val="FFFFFF" w:themeColor="background1"/>
              </w:rPr>
            </w:pPr>
            <w:r w:rsidRPr="00CE7833">
              <w:rPr>
                <w:b/>
                <w:bCs/>
                <w:color w:val="FFFFFF" w:themeColor="background1"/>
              </w:rPr>
              <w:t>Responsibility</w:t>
            </w:r>
          </w:p>
        </w:tc>
        <w:tc>
          <w:tcPr>
            <w:tcW w:w="2334" w:type="dxa"/>
            <w:tcBorders>
              <w:bottom w:val="single" w:color="auto" w:sz="4" w:space="0"/>
            </w:tcBorders>
            <w:shd w:val="clear" w:color="auto" w:fill="00B4D0" w:themeFill="accent1"/>
            <w:vAlign w:val="center"/>
          </w:tcPr>
          <w:p w:rsidRPr="00CE7833" w:rsidR="004548D3" w:rsidP="004548D3" w:rsidRDefault="004548D3" w14:paraId="714CD244" w14:textId="77777777">
            <w:pPr>
              <w:jc w:val="center"/>
              <w:rPr>
                <w:b/>
                <w:bCs/>
                <w:color w:val="FFFFFF" w:themeColor="background1"/>
              </w:rPr>
            </w:pPr>
            <w:r>
              <w:rPr>
                <w:b/>
                <w:bCs/>
                <w:color w:val="FFFFFF" w:themeColor="background1"/>
              </w:rPr>
              <w:t>Accountability</w:t>
            </w:r>
          </w:p>
        </w:tc>
      </w:tr>
      <w:tr w:rsidRPr="00594CE0" w:rsidR="004548D3" w:rsidTr="00334DCB" w14:paraId="71934E4E" w14:textId="77777777">
        <w:trPr>
          <w:trHeight w:val="882"/>
        </w:trPr>
        <w:tc>
          <w:tcPr>
            <w:tcW w:w="5669" w:type="dxa"/>
            <w:vAlign w:val="center"/>
          </w:tcPr>
          <w:p w:rsidR="004548D3" w:rsidP="00935AA1" w:rsidRDefault="00935AA1" w14:paraId="3E16E807" w14:textId="48E51840">
            <w:r>
              <w:t>Ensure compliance with and effectiveness of this standard is verified at least every four years by including periodic audits in the Audit Program</w:t>
            </w:r>
          </w:p>
        </w:tc>
        <w:tc>
          <w:tcPr>
            <w:tcW w:w="2198" w:type="dxa"/>
            <w:shd w:val="clear" w:color="auto" w:fill="auto"/>
            <w:vAlign w:val="center"/>
          </w:tcPr>
          <w:p w:rsidRPr="00E9191E" w:rsidR="004548D3" w:rsidP="00EC0401" w:rsidRDefault="00774768" w14:paraId="0FD034E7" w14:textId="1FC1C6C8">
            <w:r>
              <w:t>Executive People &amp; Resil</w:t>
            </w:r>
            <w:r w:rsidR="00A05EE4">
              <w:t>i</w:t>
            </w:r>
            <w:r>
              <w:t>ence</w:t>
            </w:r>
            <w:r w:rsidR="003773A4">
              <w:t xml:space="preserve"> </w:t>
            </w:r>
          </w:p>
        </w:tc>
        <w:tc>
          <w:tcPr>
            <w:tcW w:w="2334" w:type="dxa"/>
            <w:shd w:val="clear" w:color="auto" w:fill="auto"/>
            <w:vAlign w:val="center"/>
          </w:tcPr>
          <w:p w:rsidRPr="00E9191E" w:rsidR="004548D3" w:rsidP="00EC0401" w:rsidRDefault="00774768" w14:paraId="418A4C06" w14:textId="2E74DCC4">
            <w:r>
              <w:t>GM People &amp; Business Services</w:t>
            </w:r>
            <w:r w:rsidR="003773A4">
              <w:t xml:space="preserve"> </w:t>
            </w:r>
          </w:p>
        </w:tc>
      </w:tr>
    </w:tbl>
    <w:p w:rsidR="00DA0F1B" w:rsidRDefault="00DA0F1B" w14:paraId="455667D9" w14:textId="097736C8">
      <w:bookmarkStart w:name="_Hlk70930152" w:id="4"/>
      <w:bookmarkEnd w:id="3"/>
    </w:p>
    <w:p w:rsidRPr="00CD477C" w:rsidR="002F3136" w:rsidP="007C58FB" w:rsidRDefault="00815FA9" w14:paraId="39DCCBE2" w14:textId="77777777">
      <w:pPr>
        <w:pStyle w:val="Heading1"/>
      </w:pPr>
      <w:bookmarkStart w:name="_Hlk70930892" w:id="5"/>
      <w:bookmarkEnd w:id="1"/>
      <w:bookmarkEnd w:id="4"/>
      <w:r>
        <w:lastRenderedPageBreak/>
        <w:t>Definitions</w:t>
      </w:r>
      <w:r w:rsidR="002F3136">
        <w:t xml:space="preserve">  </w:t>
      </w:r>
    </w:p>
    <w:tbl>
      <w:tblPr>
        <w:tblStyle w:val="TableGrid"/>
        <w:tblW w:w="0" w:type="auto"/>
        <w:tblBorders>
          <w:top w:val="none" w:color="auto" w:sz="0" w:space="0"/>
          <w:left w:val="none" w:color="auto" w:sz="0" w:space="0"/>
        </w:tblBorders>
        <w:tblLook w:val="04A0" w:firstRow="1" w:lastRow="0" w:firstColumn="1" w:lastColumn="0" w:noHBand="0" w:noVBand="1"/>
      </w:tblPr>
      <w:tblGrid>
        <w:gridCol w:w="2852"/>
        <w:gridCol w:w="7354"/>
      </w:tblGrid>
      <w:tr w:rsidR="00921D55" w:rsidTr="002E2EB0" w14:paraId="4CF44DF5" w14:textId="77777777">
        <w:trPr>
          <w:trHeight w:val="263"/>
        </w:trPr>
        <w:tc>
          <w:tcPr>
            <w:tcW w:w="2852" w:type="dxa"/>
          </w:tcPr>
          <w:p w:rsidRPr="00C63A74" w:rsidR="00921D55" w:rsidP="002F3136" w:rsidRDefault="00BC278A" w14:paraId="66867A76" w14:textId="77777777">
            <w:pPr>
              <w:rPr>
                <w:rStyle w:val="Emphasis"/>
              </w:rPr>
            </w:pPr>
            <w:r w:rsidRPr="00C63A74">
              <w:rPr>
                <w:rStyle w:val="Emphasis"/>
              </w:rPr>
              <w:t>Term</w:t>
            </w:r>
          </w:p>
        </w:tc>
        <w:tc>
          <w:tcPr>
            <w:tcW w:w="7354" w:type="dxa"/>
            <w:tcBorders>
              <w:top w:val="nil"/>
              <w:right w:val="nil"/>
            </w:tcBorders>
          </w:tcPr>
          <w:p w:rsidRPr="00865435" w:rsidR="00921D55" w:rsidP="00D24907" w:rsidRDefault="00BC278A" w14:paraId="5014E725" w14:textId="4CD0BAC8">
            <w:pPr>
              <w:tabs>
                <w:tab w:val="left" w:pos="4050"/>
              </w:tabs>
              <w:rPr>
                <w:rFonts w:cs="Arial"/>
                <w:b/>
                <w:bCs/>
                <w:color w:val="00B4D0" w:themeColor="accent1"/>
              </w:rPr>
            </w:pPr>
            <w:r w:rsidRPr="00865435">
              <w:rPr>
                <w:rFonts w:cs="Arial"/>
                <w:b/>
                <w:bCs/>
                <w:color w:val="00B4D0" w:themeColor="accent1"/>
              </w:rPr>
              <w:t>Means</w:t>
            </w:r>
            <w:r w:rsidRPr="00865435" w:rsidR="00D24907">
              <w:rPr>
                <w:rFonts w:cs="Arial"/>
                <w:b/>
                <w:bCs/>
                <w:color w:val="00B4D0" w:themeColor="accent1"/>
              </w:rPr>
              <w:tab/>
            </w:r>
          </w:p>
        </w:tc>
      </w:tr>
      <w:tr w:rsidR="00F213CB" w:rsidTr="00D95C75" w14:paraId="13C474B2" w14:textId="77777777">
        <w:trPr>
          <w:trHeight w:val="247"/>
        </w:trPr>
        <w:tc>
          <w:tcPr>
            <w:tcW w:w="2852" w:type="dxa"/>
          </w:tcPr>
          <w:p w:rsidR="00F213CB" w:rsidP="006D616F" w:rsidRDefault="00EB6ADD" w14:paraId="2035974D" w14:textId="52D2301F">
            <w:pPr>
              <w:rPr>
                <w:rFonts w:cs="Arial"/>
              </w:rPr>
            </w:pPr>
            <w:r>
              <w:rPr>
                <w:rFonts w:cs="Arial"/>
              </w:rPr>
              <w:t xml:space="preserve">ANCOLD </w:t>
            </w:r>
          </w:p>
        </w:tc>
        <w:tc>
          <w:tcPr>
            <w:tcW w:w="7354" w:type="dxa"/>
            <w:tcBorders>
              <w:top w:val="single" w:color="auto" w:sz="4" w:space="0"/>
              <w:bottom w:val="single" w:color="auto" w:sz="4" w:space="0"/>
              <w:right w:val="nil"/>
            </w:tcBorders>
          </w:tcPr>
          <w:p w:rsidR="00F213CB" w:rsidP="0028300C" w:rsidRDefault="06E88B81" w14:paraId="42FA34B2" w14:textId="5361A6E0">
            <w:pPr>
              <w:rPr>
                <w:rFonts w:cs="Arial"/>
              </w:rPr>
            </w:pPr>
            <w:r w:rsidRPr="43240110">
              <w:rPr>
                <w:rFonts w:cs="Arial"/>
              </w:rPr>
              <w:t xml:space="preserve">Australian National Committee on Large Dams </w:t>
            </w:r>
          </w:p>
        </w:tc>
      </w:tr>
      <w:tr w:rsidR="00D023BB" w:rsidTr="43240110" w14:paraId="52C12783" w14:textId="77777777">
        <w:trPr>
          <w:trHeight w:val="247"/>
        </w:trPr>
        <w:tc>
          <w:tcPr>
            <w:tcW w:w="2852" w:type="dxa"/>
          </w:tcPr>
          <w:p w:rsidRPr="43240110" w:rsidR="00D023BB" w:rsidP="006D616F" w:rsidRDefault="00D023BB" w14:paraId="0370AFF7" w14:textId="1B39CAB8">
            <w:pPr>
              <w:rPr>
                <w:rFonts w:cs="Arial"/>
              </w:rPr>
            </w:pPr>
            <w:r>
              <w:rPr>
                <w:rFonts w:cs="Arial"/>
              </w:rPr>
              <w:t>BM</w:t>
            </w:r>
          </w:p>
        </w:tc>
        <w:tc>
          <w:tcPr>
            <w:tcW w:w="7354" w:type="dxa"/>
            <w:tcBorders>
              <w:top w:val="single" w:color="auto" w:sz="4" w:space="0"/>
              <w:bottom w:val="single" w:color="auto" w:sz="4" w:space="0"/>
              <w:right w:val="nil"/>
            </w:tcBorders>
          </w:tcPr>
          <w:p w:rsidRPr="43240110" w:rsidR="00D023BB" w:rsidP="0028300C" w:rsidRDefault="00D023BB" w14:paraId="151B48B6" w14:textId="42379AF4">
            <w:pPr>
              <w:rPr>
                <w:rFonts w:cs="Arial"/>
              </w:rPr>
            </w:pPr>
            <w:r>
              <w:rPr>
                <w:rFonts w:cs="Arial"/>
              </w:rPr>
              <w:t>Branch Manager</w:t>
            </w:r>
          </w:p>
        </w:tc>
      </w:tr>
      <w:tr w:rsidR="00F213CB" w:rsidTr="00D95C75" w14:paraId="5DA64936" w14:textId="77777777">
        <w:trPr>
          <w:trHeight w:val="247"/>
        </w:trPr>
        <w:tc>
          <w:tcPr>
            <w:tcW w:w="2852" w:type="dxa"/>
          </w:tcPr>
          <w:p w:rsidR="00F213CB" w:rsidP="006D616F" w:rsidRDefault="00F213CB" w14:paraId="2C522916" w14:textId="69ABBE2D">
            <w:pPr>
              <w:rPr>
                <w:rFonts w:cs="Arial"/>
              </w:rPr>
            </w:pPr>
            <w:r>
              <w:rPr>
                <w:rFonts w:cs="Arial"/>
              </w:rPr>
              <w:t>Control</w:t>
            </w:r>
          </w:p>
        </w:tc>
        <w:tc>
          <w:tcPr>
            <w:tcW w:w="7354" w:type="dxa"/>
            <w:tcBorders>
              <w:top w:val="single" w:color="auto" w:sz="4" w:space="0"/>
              <w:bottom w:val="single" w:color="auto" w:sz="4" w:space="0"/>
              <w:right w:val="nil"/>
            </w:tcBorders>
          </w:tcPr>
          <w:p w:rsidR="00F213CB" w:rsidP="0028300C" w:rsidRDefault="00B9722B" w14:paraId="66FEF267" w14:textId="7602201F">
            <w:pPr>
              <w:rPr>
                <w:rFonts w:cs="Arial"/>
              </w:rPr>
            </w:pPr>
            <w:r w:rsidRPr="00B9722B">
              <w:rPr>
                <w:rFonts w:cs="Arial"/>
              </w:rPr>
              <w:t>A control is any measure or action that modifies risk. Controls can include any policy, procedure, practice, process, technology, technique, method, or device that modifies or manages risk. They can be preventative or detective in nature.</w:t>
            </w:r>
          </w:p>
        </w:tc>
      </w:tr>
      <w:tr w:rsidR="00B36804" w:rsidTr="3496D445" w14:paraId="47EE962B" w14:textId="77777777">
        <w:trPr>
          <w:trHeight w:val="247"/>
        </w:trPr>
        <w:tc>
          <w:tcPr>
            <w:tcW w:w="2852" w:type="dxa"/>
          </w:tcPr>
          <w:p w:rsidR="00B36804" w:rsidP="006D616F" w:rsidRDefault="00B36804" w14:paraId="7419E523" w14:textId="6B3D3542">
            <w:pPr>
              <w:rPr>
                <w:rFonts w:cs="Arial"/>
              </w:rPr>
            </w:pPr>
            <w:r>
              <w:rPr>
                <w:rFonts w:cs="Arial"/>
              </w:rPr>
              <w:t xml:space="preserve">ERM </w:t>
            </w:r>
          </w:p>
        </w:tc>
        <w:tc>
          <w:tcPr>
            <w:tcW w:w="7354" w:type="dxa"/>
            <w:tcBorders>
              <w:top w:val="single" w:color="auto" w:sz="4" w:space="0"/>
              <w:bottom w:val="single" w:color="auto" w:sz="4" w:space="0"/>
              <w:right w:val="nil"/>
            </w:tcBorders>
          </w:tcPr>
          <w:p w:rsidRPr="00B9722B" w:rsidR="00B36804" w:rsidP="0028300C" w:rsidRDefault="2DC4355D" w14:paraId="2078735E" w14:textId="0FC2A210">
            <w:pPr>
              <w:rPr>
                <w:rFonts w:cs="Arial"/>
              </w:rPr>
            </w:pPr>
            <w:r w:rsidRPr="43240110">
              <w:rPr>
                <w:rFonts w:cs="Arial"/>
              </w:rPr>
              <w:t>Enterprise Risk Management</w:t>
            </w:r>
          </w:p>
        </w:tc>
      </w:tr>
      <w:tr w:rsidR="00D023BB" w:rsidTr="43240110" w14:paraId="39F29BF4" w14:textId="77777777">
        <w:trPr>
          <w:trHeight w:val="247"/>
        </w:trPr>
        <w:tc>
          <w:tcPr>
            <w:tcW w:w="2852" w:type="dxa"/>
          </w:tcPr>
          <w:p w:rsidR="00D023BB" w:rsidP="006D616F" w:rsidRDefault="00D023BB" w14:paraId="5A86950C" w14:textId="2CD1B654">
            <w:pPr>
              <w:rPr>
                <w:rFonts w:cs="Arial"/>
              </w:rPr>
            </w:pPr>
            <w:r>
              <w:rPr>
                <w:rFonts w:cs="Arial"/>
              </w:rPr>
              <w:t>GM</w:t>
            </w:r>
          </w:p>
        </w:tc>
        <w:tc>
          <w:tcPr>
            <w:tcW w:w="7354" w:type="dxa"/>
            <w:tcBorders>
              <w:top w:val="single" w:color="auto" w:sz="4" w:space="0"/>
              <w:bottom w:val="single" w:color="auto" w:sz="4" w:space="0"/>
              <w:right w:val="nil"/>
            </w:tcBorders>
          </w:tcPr>
          <w:p w:rsidRPr="43240110" w:rsidR="00D023BB" w:rsidP="0028300C" w:rsidRDefault="00D023BB" w14:paraId="7810DCC6" w14:textId="5E47A165">
            <w:pPr>
              <w:rPr>
                <w:rFonts w:cs="Arial"/>
              </w:rPr>
            </w:pPr>
            <w:r>
              <w:rPr>
                <w:rFonts w:cs="Arial"/>
              </w:rPr>
              <w:t>General Manager</w:t>
            </w:r>
          </w:p>
        </w:tc>
      </w:tr>
      <w:tr w:rsidR="00735CB0" w:rsidTr="43240110" w14:paraId="5945FA76" w14:textId="77777777">
        <w:trPr>
          <w:trHeight w:val="247"/>
        </w:trPr>
        <w:tc>
          <w:tcPr>
            <w:tcW w:w="2852" w:type="dxa"/>
          </w:tcPr>
          <w:p w:rsidR="00735CB0" w:rsidP="006D616F" w:rsidRDefault="00735CB0" w14:paraId="437B0B42" w14:textId="459F2FFB">
            <w:pPr>
              <w:rPr>
                <w:rFonts w:cs="Arial"/>
              </w:rPr>
            </w:pPr>
            <w:r>
              <w:rPr>
                <w:rFonts w:cs="Arial"/>
              </w:rPr>
              <w:t>Hazard</w:t>
            </w:r>
          </w:p>
        </w:tc>
        <w:tc>
          <w:tcPr>
            <w:tcW w:w="7354" w:type="dxa"/>
            <w:tcBorders>
              <w:top w:val="single" w:color="auto" w:sz="4" w:space="0"/>
              <w:bottom w:val="single" w:color="auto" w:sz="4" w:space="0"/>
              <w:right w:val="nil"/>
            </w:tcBorders>
          </w:tcPr>
          <w:p w:rsidR="00735CB0" w:rsidP="0028300C" w:rsidRDefault="00CD3660" w14:paraId="626BB685" w14:textId="557E9BE0">
            <w:pPr>
              <w:rPr>
                <w:rFonts w:cs="Arial"/>
              </w:rPr>
            </w:pPr>
            <w:r>
              <w:rPr>
                <w:rFonts w:cs="Arial"/>
              </w:rPr>
              <w:t xml:space="preserve">Something that has the potential to cause harm (injury or damage). </w:t>
            </w:r>
          </w:p>
        </w:tc>
      </w:tr>
      <w:tr w:rsidR="004E2C09" w:rsidTr="43240110" w14:paraId="031193DE" w14:textId="77777777">
        <w:trPr>
          <w:trHeight w:val="247"/>
        </w:trPr>
        <w:tc>
          <w:tcPr>
            <w:tcW w:w="2852" w:type="dxa"/>
          </w:tcPr>
          <w:p w:rsidR="004E2C09" w:rsidP="006D616F" w:rsidRDefault="00F54086" w14:paraId="0BDECBC5" w14:textId="4E839BC0">
            <w:pPr>
              <w:rPr>
                <w:rFonts w:cs="Arial"/>
              </w:rPr>
            </w:pPr>
            <w:r>
              <w:t>H</w:t>
            </w:r>
            <w:r w:rsidR="004E2C09">
              <w:t xml:space="preserve">ierarchy of </w:t>
            </w:r>
            <w:r w:rsidR="00291CFA">
              <w:t>C</w:t>
            </w:r>
            <w:r w:rsidR="004E2C09">
              <w:t>ontrol</w:t>
            </w:r>
          </w:p>
        </w:tc>
        <w:tc>
          <w:tcPr>
            <w:tcW w:w="7354" w:type="dxa"/>
            <w:tcBorders>
              <w:top w:val="single" w:color="auto" w:sz="4" w:space="0"/>
              <w:bottom w:val="single" w:color="auto" w:sz="4" w:space="0"/>
              <w:right w:val="nil"/>
            </w:tcBorders>
          </w:tcPr>
          <w:p w:rsidR="00F27AA9" w:rsidP="00F27AA9" w:rsidRDefault="00F27AA9" w14:paraId="56882039" w14:textId="77777777">
            <w:r w:rsidRPr="00B333B0">
              <w:t>The tool used when determining how risks are to be managed.</w:t>
            </w:r>
          </w:p>
          <w:p w:rsidR="00F27AA9" w:rsidP="00F27AA9" w:rsidRDefault="00F27AA9" w14:paraId="3F491DF2" w14:textId="77777777"/>
          <w:p w:rsidR="00F27AA9" w:rsidP="00F27AA9" w:rsidRDefault="00F27AA9" w14:paraId="730EB4B0" w14:textId="77777777">
            <w:r>
              <w:t>The Hierarchy of Control ranks risk control measures in decreasing order of effectiveness:</w:t>
            </w:r>
          </w:p>
          <w:p w:rsidR="00F27AA9" w:rsidP="00F27AA9" w:rsidRDefault="00F27AA9" w14:paraId="1636B3BC" w14:textId="77777777"/>
          <w:p w:rsidR="00F27AA9" w:rsidP="00F27AA9" w:rsidRDefault="00F27AA9" w14:paraId="4B99E712" w14:textId="77777777">
            <w:r>
              <w:t>1. Elimination of the task or item being used</w:t>
            </w:r>
            <w:r>
              <w:tab/>
              <w:t xml:space="preserve">        </w:t>
            </w:r>
            <w:r w:rsidRPr="00A6445D">
              <w:rPr>
                <w:b/>
                <w:bCs/>
                <w:color w:val="007F3A" w:themeColor="accent6" w:themeShade="BF"/>
              </w:rPr>
              <w:t>Most Effective Option</w:t>
            </w:r>
          </w:p>
          <w:p w:rsidR="00F27AA9" w:rsidP="00F27AA9" w:rsidRDefault="00F27AA9" w14:paraId="6A428B15" w14:textId="77777777">
            <w:r>
              <w:t>2. Substitution to a less hazardous risk</w:t>
            </w:r>
          </w:p>
          <w:p w:rsidR="00F27AA9" w:rsidP="00F27AA9" w:rsidRDefault="00F27AA9" w14:paraId="15DE93E6" w14:textId="77777777">
            <w:r>
              <w:t>3. Engineering out the risk</w:t>
            </w:r>
          </w:p>
          <w:p w:rsidR="00F27AA9" w:rsidP="00F27AA9" w:rsidRDefault="00F27AA9" w14:paraId="16DCAE48" w14:textId="77777777">
            <w:r>
              <w:t>4. Administratively organising the task or item to diminish the risk</w:t>
            </w:r>
          </w:p>
          <w:p w:rsidRPr="00F27AA9" w:rsidR="004E2C09" w:rsidP="0028300C" w:rsidRDefault="00F27AA9" w14:paraId="7D3C0826" w14:textId="08E1F348">
            <w:r>
              <w:t xml:space="preserve">5. Personal Protective Clothing and Equipment   </w:t>
            </w:r>
            <w:r w:rsidRPr="00A6445D">
              <w:rPr>
                <w:b/>
                <w:bCs/>
                <w:color w:val="FF0000"/>
              </w:rPr>
              <w:t>Least Effective Option</w:t>
            </w:r>
          </w:p>
        </w:tc>
      </w:tr>
      <w:tr w:rsidR="00411696" w:rsidTr="3496D445" w14:paraId="492DE1C4" w14:textId="77777777">
        <w:trPr>
          <w:trHeight w:val="247"/>
        </w:trPr>
        <w:tc>
          <w:tcPr>
            <w:tcW w:w="2852" w:type="dxa"/>
          </w:tcPr>
          <w:p w:rsidR="00411696" w:rsidP="006D616F" w:rsidRDefault="00703CF1" w14:paraId="04232D8D" w14:textId="4F1BA644">
            <w:pPr>
              <w:rPr>
                <w:rFonts w:cs="Arial"/>
              </w:rPr>
            </w:pPr>
            <w:r>
              <w:rPr>
                <w:rFonts w:cs="Arial"/>
              </w:rPr>
              <w:t>Material Risk</w:t>
            </w:r>
          </w:p>
        </w:tc>
        <w:tc>
          <w:tcPr>
            <w:tcW w:w="7354" w:type="dxa"/>
            <w:tcBorders>
              <w:top w:val="single" w:color="auto" w:sz="4" w:space="0"/>
              <w:bottom w:val="single" w:color="auto" w:sz="4" w:space="0"/>
              <w:right w:val="nil"/>
            </w:tcBorders>
          </w:tcPr>
          <w:p w:rsidRPr="00B9722B" w:rsidR="00411696" w:rsidP="0028300C" w:rsidRDefault="00FC136F" w14:paraId="54973DE2" w14:textId="41493B1B">
            <w:pPr>
              <w:rPr>
                <w:rFonts w:cs="Arial"/>
              </w:rPr>
            </w:pPr>
            <w:r>
              <w:rPr>
                <w:rFonts w:cs="Arial"/>
              </w:rPr>
              <w:t xml:space="preserve">A risk which if </w:t>
            </w:r>
            <w:r w:rsidR="000914E0">
              <w:rPr>
                <w:rFonts w:cs="Arial"/>
              </w:rPr>
              <w:t xml:space="preserve">it becomes a reality is likely to cause significant </w:t>
            </w:r>
            <w:r w:rsidR="000044BA">
              <w:rPr>
                <w:rFonts w:cs="Arial"/>
              </w:rPr>
              <w:t>impact / harm</w:t>
            </w:r>
            <w:r w:rsidR="00910688">
              <w:rPr>
                <w:rFonts w:cs="Arial"/>
              </w:rPr>
              <w:t>.</w:t>
            </w:r>
          </w:p>
        </w:tc>
      </w:tr>
      <w:tr w:rsidR="00703CF1" w:rsidTr="3496D445" w14:paraId="30001BF4" w14:textId="77777777">
        <w:trPr>
          <w:trHeight w:val="247"/>
        </w:trPr>
        <w:tc>
          <w:tcPr>
            <w:tcW w:w="2852" w:type="dxa"/>
          </w:tcPr>
          <w:p w:rsidR="00703CF1" w:rsidP="006D616F" w:rsidRDefault="00703CF1" w14:paraId="7977EB04" w14:textId="5F3ECEE5">
            <w:pPr>
              <w:rPr>
                <w:rFonts w:cs="Arial"/>
              </w:rPr>
            </w:pPr>
            <w:r>
              <w:rPr>
                <w:rFonts w:cs="Arial"/>
              </w:rPr>
              <w:t>Operational Risk</w:t>
            </w:r>
          </w:p>
        </w:tc>
        <w:tc>
          <w:tcPr>
            <w:tcW w:w="7354" w:type="dxa"/>
            <w:tcBorders>
              <w:top w:val="single" w:color="auto" w:sz="4" w:space="0"/>
              <w:bottom w:val="single" w:color="auto" w:sz="4" w:space="0"/>
              <w:right w:val="nil"/>
            </w:tcBorders>
          </w:tcPr>
          <w:p w:rsidRPr="00B9722B" w:rsidR="00703CF1" w:rsidP="0028300C" w:rsidRDefault="00F27AA9" w14:paraId="087FF5A9" w14:textId="57D53517">
            <w:pPr>
              <w:rPr>
                <w:rFonts w:cs="Arial"/>
              </w:rPr>
            </w:pPr>
            <w:r>
              <w:t>Events that if occurred would affect the achievement of our business as usual.</w:t>
            </w:r>
          </w:p>
        </w:tc>
      </w:tr>
      <w:tr w:rsidR="00F213CB" w:rsidTr="00D95C75" w14:paraId="3B836241" w14:textId="77777777">
        <w:trPr>
          <w:trHeight w:val="247"/>
        </w:trPr>
        <w:tc>
          <w:tcPr>
            <w:tcW w:w="2852" w:type="dxa"/>
          </w:tcPr>
          <w:p w:rsidR="00F213CB" w:rsidP="006D616F" w:rsidRDefault="00824631" w14:paraId="4E87DC0D" w14:textId="02E08AA2">
            <w:pPr>
              <w:rPr>
                <w:rFonts w:cs="Arial"/>
              </w:rPr>
            </w:pPr>
            <w:r>
              <w:rPr>
                <w:rFonts w:cs="Arial"/>
              </w:rPr>
              <w:t xml:space="preserve">Risk </w:t>
            </w:r>
            <w:r w:rsidR="00F213CB">
              <w:rPr>
                <w:rFonts w:cs="Arial"/>
              </w:rPr>
              <w:t>Treatment</w:t>
            </w:r>
          </w:p>
        </w:tc>
        <w:tc>
          <w:tcPr>
            <w:tcW w:w="7354" w:type="dxa"/>
            <w:tcBorders>
              <w:top w:val="single" w:color="auto" w:sz="4" w:space="0"/>
              <w:bottom w:val="single" w:color="auto" w:sz="4" w:space="0"/>
              <w:right w:val="nil"/>
            </w:tcBorders>
          </w:tcPr>
          <w:p w:rsidR="00F213CB" w:rsidP="0028300C" w:rsidRDefault="00485A32" w14:paraId="4D11B617" w14:textId="7DC3B55D">
            <w:pPr>
              <w:rPr>
                <w:rFonts w:cs="Arial"/>
              </w:rPr>
            </w:pPr>
            <w:r w:rsidRPr="00485A32">
              <w:rPr>
                <w:rFonts w:cs="Arial"/>
              </w:rPr>
              <w:t>The process to modify risk. It involves selecting and implementing one or more treatment options. Once a treatment has been implemented, it becomes a control or it modifies existing controls. You can avoid the risk, reduce the risk, remove the source of the risk, modify the consequences, change the likelihood of the risk, share the risk with others, retain the risk or increase the risk in order to pursue an opportunity.</w:t>
            </w:r>
          </w:p>
        </w:tc>
      </w:tr>
      <w:tr w:rsidR="00921D55" w:rsidTr="00D95C75" w14:paraId="5AC556B8" w14:textId="77777777">
        <w:trPr>
          <w:trHeight w:val="247"/>
        </w:trPr>
        <w:tc>
          <w:tcPr>
            <w:tcW w:w="2852" w:type="dxa"/>
          </w:tcPr>
          <w:p w:rsidR="00921D55" w:rsidP="006D616F" w:rsidRDefault="000A7B1E" w14:paraId="535F8FD6" w14:textId="10A64BD8">
            <w:pPr>
              <w:rPr>
                <w:rFonts w:cs="Arial"/>
              </w:rPr>
            </w:pPr>
            <w:r>
              <w:rPr>
                <w:rFonts w:cs="Arial"/>
              </w:rPr>
              <w:t>Risk</w:t>
            </w:r>
          </w:p>
        </w:tc>
        <w:tc>
          <w:tcPr>
            <w:tcW w:w="7354" w:type="dxa"/>
            <w:tcBorders>
              <w:top w:val="single" w:color="auto" w:sz="4" w:space="0"/>
              <w:bottom w:val="single" w:color="auto" w:sz="4" w:space="0"/>
              <w:right w:val="nil"/>
            </w:tcBorders>
          </w:tcPr>
          <w:p w:rsidRPr="00547118" w:rsidR="00921D55" w:rsidP="0028300C" w:rsidRDefault="0028300C" w14:paraId="141DEACC" w14:textId="64AFB409">
            <w:pPr>
              <w:rPr>
                <w:rFonts w:cs="Arial"/>
              </w:rPr>
            </w:pPr>
            <w:r>
              <w:rPr>
                <w:rFonts w:cs="Arial"/>
              </w:rPr>
              <w:t xml:space="preserve">An event that could/will occur that will impact on organisational objectives. It is measured in terms of </w:t>
            </w:r>
            <w:r w:rsidR="00552246">
              <w:rPr>
                <w:rFonts w:cs="Arial"/>
              </w:rPr>
              <w:t xml:space="preserve">consequence and </w:t>
            </w:r>
            <w:r>
              <w:rPr>
                <w:rFonts w:cs="Arial"/>
              </w:rPr>
              <w:t>likelihood</w:t>
            </w:r>
            <w:r w:rsidR="00552246">
              <w:rPr>
                <w:rFonts w:cs="Arial"/>
              </w:rPr>
              <w:t xml:space="preserve">. </w:t>
            </w:r>
          </w:p>
        </w:tc>
      </w:tr>
      <w:tr w:rsidR="00D95C75" w:rsidTr="00D95C75" w14:paraId="049B8255" w14:textId="77777777">
        <w:trPr>
          <w:trHeight w:val="247"/>
        </w:trPr>
        <w:tc>
          <w:tcPr>
            <w:tcW w:w="2852" w:type="dxa"/>
          </w:tcPr>
          <w:p w:rsidR="00D95C75" w:rsidP="006D616F" w:rsidRDefault="00552246" w14:paraId="34184F97" w14:textId="583CEC3F">
            <w:pPr>
              <w:rPr>
                <w:rFonts w:cs="Arial"/>
              </w:rPr>
            </w:pPr>
            <w:r>
              <w:rPr>
                <w:rFonts w:cs="Arial"/>
              </w:rPr>
              <w:t xml:space="preserve">Risk Appetite </w:t>
            </w:r>
          </w:p>
        </w:tc>
        <w:tc>
          <w:tcPr>
            <w:tcW w:w="7354" w:type="dxa"/>
            <w:tcBorders>
              <w:top w:val="single" w:color="auto" w:sz="4" w:space="0"/>
              <w:bottom w:val="single" w:color="auto" w:sz="4" w:space="0"/>
              <w:right w:val="nil"/>
            </w:tcBorders>
          </w:tcPr>
          <w:p w:rsidRPr="00547118" w:rsidR="00D95C75" w:rsidP="00A213D1" w:rsidRDefault="00552246" w14:paraId="23B22754" w14:textId="658A016E">
            <w:pPr>
              <w:rPr>
                <w:rFonts w:cs="Arial"/>
              </w:rPr>
            </w:pPr>
            <w:r>
              <w:rPr>
                <w:rFonts w:cs="Arial"/>
              </w:rPr>
              <w:t xml:space="preserve">The organisations approach to assess or </w:t>
            </w:r>
            <w:r w:rsidRPr="00111800">
              <w:rPr>
                <w:rFonts w:cs="Arial"/>
              </w:rPr>
              <w:t>purs</w:t>
            </w:r>
            <w:r w:rsidRPr="00111800" w:rsidR="00111800">
              <w:rPr>
                <w:rFonts w:cs="Arial"/>
              </w:rPr>
              <w:t>u</w:t>
            </w:r>
            <w:r w:rsidR="00111800">
              <w:rPr>
                <w:rFonts w:cs="Arial"/>
              </w:rPr>
              <w:t>e</w:t>
            </w:r>
            <w:r>
              <w:rPr>
                <w:rFonts w:cs="Arial"/>
              </w:rPr>
              <w:t xml:space="preserve">, retain, take or turn away from the risk. </w:t>
            </w:r>
          </w:p>
        </w:tc>
      </w:tr>
      <w:tr w:rsidR="00D95C75" w:rsidTr="00041202" w14:paraId="24F05181" w14:textId="77777777">
        <w:trPr>
          <w:trHeight w:val="247"/>
        </w:trPr>
        <w:tc>
          <w:tcPr>
            <w:tcW w:w="2852" w:type="dxa"/>
          </w:tcPr>
          <w:p w:rsidR="00D95C75" w:rsidP="006D616F" w:rsidRDefault="00326E74" w14:paraId="0106B8A8" w14:textId="1058797A">
            <w:pPr>
              <w:rPr>
                <w:rFonts w:cs="Arial"/>
              </w:rPr>
            </w:pPr>
            <w:r>
              <w:rPr>
                <w:rFonts w:cs="Arial"/>
              </w:rPr>
              <w:t>Risk Management Framework</w:t>
            </w:r>
            <w:r w:rsidR="004D2FB8">
              <w:rPr>
                <w:rFonts w:cs="Arial"/>
              </w:rPr>
              <w:t xml:space="preserve"> (Wannon Water) </w:t>
            </w:r>
          </w:p>
        </w:tc>
        <w:tc>
          <w:tcPr>
            <w:tcW w:w="7354" w:type="dxa"/>
            <w:tcBorders>
              <w:top w:val="single" w:color="auto" w:sz="4" w:space="0"/>
              <w:bottom w:val="single" w:color="auto" w:sz="4" w:space="0"/>
              <w:right w:val="nil"/>
            </w:tcBorders>
            <w:vAlign w:val="center"/>
          </w:tcPr>
          <w:p w:rsidRPr="00A67B28" w:rsidR="00D1296E" w:rsidP="00041202" w:rsidRDefault="00D1296E" w14:paraId="56A79B8A" w14:textId="77777777">
            <w:pPr>
              <w:rPr>
                <w:rFonts w:cs="Arial"/>
              </w:rPr>
            </w:pPr>
            <w:r w:rsidRPr="00A67B28">
              <w:rPr>
                <w:rFonts w:cs="Arial"/>
              </w:rPr>
              <w:t xml:space="preserve">Wannon Water’s risk framework is made up of: </w:t>
            </w:r>
          </w:p>
          <w:p w:rsidRPr="00A67B28" w:rsidR="00F71CE4" w:rsidP="00041202" w:rsidRDefault="00D1296E" w14:paraId="25FB08B1" w14:textId="77777777">
            <w:pPr>
              <w:pStyle w:val="ListParagraph"/>
              <w:numPr>
                <w:ilvl w:val="0"/>
                <w:numId w:val="31"/>
              </w:numPr>
            </w:pPr>
            <w:r w:rsidRPr="00A67B28">
              <w:t>Risk Policy Statement (within Board Policy Framework)</w:t>
            </w:r>
          </w:p>
          <w:p w:rsidRPr="00A67B28" w:rsidR="009B681D" w:rsidP="00041202" w:rsidRDefault="00F71CE4" w14:paraId="60BA948E" w14:textId="77777777">
            <w:pPr>
              <w:pStyle w:val="ListParagraph"/>
              <w:numPr>
                <w:ilvl w:val="0"/>
                <w:numId w:val="31"/>
              </w:numPr>
            </w:pPr>
            <w:r w:rsidRPr="00A67B28">
              <w:t xml:space="preserve">Hazard </w:t>
            </w:r>
            <w:r w:rsidRPr="00A67B28" w:rsidR="009B681D">
              <w:t>Identification and Risk Management Standard</w:t>
            </w:r>
          </w:p>
          <w:p w:rsidRPr="00A67B28" w:rsidR="009B681D" w:rsidP="00041202" w:rsidRDefault="009B681D" w14:paraId="5834EEC1" w14:textId="6A26E65B">
            <w:pPr>
              <w:pStyle w:val="ListParagraph"/>
              <w:numPr>
                <w:ilvl w:val="0"/>
                <w:numId w:val="31"/>
              </w:numPr>
            </w:pPr>
            <w:r w:rsidRPr="00A67B28">
              <w:t xml:space="preserve">Risk Management Plan </w:t>
            </w:r>
          </w:p>
          <w:p w:rsidRPr="00A67B28" w:rsidR="009B681D" w:rsidP="00041202" w:rsidRDefault="009B681D" w14:paraId="0DA015F2" w14:textId="77777777">
            <w:pPr>
              <w:pStyle w:val="ListParagraph"/>
              <w:numPr>
                <w:ilvl w:val="0"/>
                <w:numId w:val="31"/>
              </w:numPr>
            </w:pPr>
            <w:r w:rsidRPr="00A67B28">
              <w:t xml:space="preserve">Risk Management Procedure </w:t>
            </w:r>
            <w:r w:rsidRPr="00A67B28" w:rsidR="00D1296E">
              <w:t xml:space="preserve"> </w:t>
            </w:r>
          </w:p>
          <w:p w:rsidRPr="00A67B28" w:rsidR="00D95C75" w:rsidP="00041202" w:rsidRDefault="00041202" w14:paraId="79E6C3BE" w14:textId="286131EC">
            <w:pPr>
              <w:pStyle w:val="ListParagraph"/>
              <w:numPr>
                <w:ilvl w:val="0"/>
                <w:numId w:val="31"/>
              </w:numPr>
            </w:pPr>
            <w:r w:rsidRPr="00A67B28">
              <w:t>Other support and guidance materials</w:t>
            </w:r>
            <w:r w:rsidRPr="00A67B28" w:rsidR="00A67B28">
              <w:t xml:space="preserve"> as defined in the Risk Management Procedure</w:t>
            </w:r>
            <w:r w:rsidRPr="00A67B28">
              <w:t xml:space="preserve"> i.e.,</w:t>
            </w:r>
            <w:r w:rsidRPr="00A67B28" w:rsidR="00F53280">
              <w:t xml:space="preserve"> Strategic and Operational Risk Matrices</w:t>
            </w:r>
          </w:p>
        </w:tc>
      </w:tr>
      <w:tr w:rsidR="004C6369" w:rsidTr="43240110" w14:paraId="7E2C0017" w14:textId="77777777">
        <w:trPr>
          <w:trHeight w:val="247"/>
        </w:trPr>
        <w:tc>
          <w:tcPr>
            <w:tcW w:w="2852" w:type="dxa"/>
          </w:tcPr>
          <w:p w:rsidR="004C6369" w:rsidP="006D616F" w:rsidRDefault="004C6369" w14:paraId="09AEDFA0" w14:textId="7E0AA581">
            <w:pPr>
              <w:rPr>
                <w:rFonts w:cs="Arial"/>
              </w:rPr>
            </w:pPr>
            <w:r>
              <w:rPr>
                <w:rFonts w:cs="Arial"/>
              </w:rPr>
              <w:t>Riskware</w:t>
            </w:r>
          </w:p>
        </w:tc>
        <w:tc>
          <w:tcPr>
            <w:tcW w:w="7354" w:type="dxa"/>
            <w:tcBorders>
              <w:top w:val="single" w:color="auto" w:sz="4" w:space="0"/>
              <w:bottom w:val="single" w:color="auto" w:sz="4" w:space="0"/>
              <w:right w:val="nil"/>
            </w:tcBorders>
            <w:vAlign w:val="center"/>
          </w:tcPr>
          <w:p w:rsidRPr="00F27AA9" w:rsidR="004C6369" w:rsidP="00041202" w:rsidRDefault="00F27AA9" w14:paraId="14C5AA89" w14:textId="392594D6">
            <w:pPr>
              <w:rPr>
                <w:rFonts w:cs="Arial"/>
              </w:rPr>
            </w:pPr>
            <w:r w:rsidRPr="00F27AA9">
              <w:rPr>
                <w:rFonts w:cs="Arial"/>
              </w:rPr>
              <w:t xml:space="preserve">Wannon Water’s Risk Management Software Application. </w:t>
            </w:r>
          </w:p>
        </w:tc>
      </w:tr>
      <w:tr w:rsidR="000D34E9" w:rsidTr="00235716" w14:paraId="2DE735B4" w14:textId="77777777">
        <w:trPr>
          <w:trHeight w:val="247"/>
        </w:trPr>
        <w:tc>
          <w:tcPr>
            <w:tcW w:w="2852" w:type="dxa"/>
            <w:tcBorders>
              <w:bottom w:val="single" w:color="auto" w:sz="4" w:space="0"/>
            </w:tcBorders>
          </w:tcPr>
          <w:p w:rsidR="000D34E9" w:rsidP="006D616F" w:rsidRDefault="000D34E9" w14:paraId="4C8B48FD" w14:textId="06A2D010">
            <w:pPr>
              <w:rPr>
                <w:rFonts w:cs="Arial"/>
              </w:rPr>
            </w:pPr>
            <w:r>
              <w:rPr>
                <w:rFonts w:cs="Arial"/>
              </w:rPr>
              <w:t>Project Risks</w:t>
            </w:r>
          </w:p>
        </w:tc>
        <w:tc>
          <w:tcPr>
            <w:tcW w:w="7354" w:type="dxa"/>
            <w:tcBorders>
              <w:top w:val="single" w:color="auto" w:sz="4" w:space="0"/>
              <w:bottom w:val="single" w:color="auto" w:sz="4" w:space="0"/>
              <w:right w:val="nil"/>
            </w:tcBorders>
            <w:vAlign w:val="center"/>
          </w:tcPr>
          <w:p w:rsidRPr="00F27AA9" w:rsidR="000D34E9" w:rsidP="00041202" w:rsidRDefault="00F27AA9" w14:paraId="167BFEB5" w14:textId="7A5530E4">
            <w:pPr>
              <w:rPr>
                <w:rFonts w:cs="Arial"/>
              </w:rPr>
            </w:pPr>
            <w:r>
              <w:t>Project risks impact on the achievement of individual projects, change to processed or program of work.</w:t>
            </w:r>
          </w:p>
        </w:tc>
      </w:tr>
      <w:tr w:rsidR="00D95C75" w:rsidTr="00235716" w14:paraId="17B8D2F0" w14:textId="77777777">
        <w:trPr>
          <w:trHeight w:val="247"/>
        </w:trPr>
        <w:tc>
          <w:tcPr>
            <w:tcW w:w="2852" w:type="dxa"/>
            <w:tcBorders>
              <w:top w:val="single" w:color="auto" w:sz="4" w:space="0"/>
              <w:left w:val="nil"/>
            </w:tcBorders>
          </w:tcPr>
          <w:p w:rsidR="00D95C75" w:rsidP="006D616F" w:rsidRDefault="00496B68" w14:paraId="33C72358" w14:textId="639DC98E">
            <w:pPr>
              <w:rPr>
                <w:rFonts w:cs="Arial"/>
              </w:rPr>
            </w:pPr>
            <w:r>
              <w:rPr>
                <w:rFonts w:cs="Arial"/>
              </w:rPr>
              <w:t>Strategic Risks</w:t>
            </w:r>
          </w:p>
        </w:tc>
        <w:tc>
          <w:tcPr>
            <w:tcW w:w="7354" w:type="dxa"/>
            <w:tcBorders>
              <w:top w:val="single" w:color="auto" w:sz="4" w:space="0"/>
              <w:left w:val="single" w:color="000000" w:sz="0" w:space="0"/>
              <w:bottom w:val="single" w:color="auto" w:sz="4" w:space="0"/>
              <w:right w:val="nil"/>
            </w:tcBorders>
          </w:tcPr>
          <w:p w:rsidRPr="00F27AA9" w:rsidR="00D95C75" w:rsidP="00A213D1" w:rsidRDefault="00F27AA9" w14:paraId="79A3B08C" w14:textId="1E82AC2D">
            <w:pPr>
              <w:rPr>
                <w:rFonts w:cs="Arial"/>
              </w:rPr>
            </w:pPr>
            <w:r>
              <w:t>Events that if occurred would materially affect the achievement of our purpose and strategic intent. They are identified by the Board and Executive.</w:t>
            </w:r>
          </w:p>
        </w:tc>
      </w:tr>
      <w:tr w:rsidR="00EB6ADD" w:rsidTr="3496D445" w14:paraId="6EAD4D91" w14:textId="77777777">
        <w:trPr>
          <w:trHeight w:val="247"/>
        </w:trPr>
        <w:tc>
          <w:tcPr>
            <w:tcW w:w="2852" w:type="dxa"/>
          </w:tcPr>
          <w:p w:rsidR="00EB6ADD" w:rsidP="006D616F" w:rsidRDefault="00EB6ADD" w14:paraId="17E44ECD" w14:textId="088A5F0F">
            <w:pPr>
              <w:rPr>
                <w:rFonts w:cs="Arial"/>
              </w:rPr>
            </w:pPr>
            <w:r>
              <w:rPr>
                <w:rFonts w:cs="Arial"/>
              </w:rPr>
              <w:t>WHS</w:t>
            </w:r>
          </w:p>
        </w:tc>
        <w:tc>
          <w:tcPr>
            <w:tcW w:w="7354" w:type="dxa"/>
            <w:tcBorders>
              <w:top w:val="single" w:color="auto" w:sz="4" w:space="0"/>
              <w:right w:val="nil"/>
            </w:tcBorders>
          </w:tcPr>
          <w:p w:rsidRPr="00547118" w:rsidR="00EB6ADD" w:rsidP="00A213D1" w:rsidRDefault="53D11112" w14:paraId="2CAFC88B" w14:textId="1374ED26">
            <w:pPr>
              <w:rPr>
                <w:rFonts w:cs="Arial"/>
              </w:rPr>
            </w:pPr>
            <w:r w:rsidRPr="43240110">
              <w:rPr>
                <w:rFonts w:cs="Arial"/>
              </w:rPr>
              <w:t>Workplace Health and Safety</w:t>
            </w:r>
            <w:r w:rsidR="00235716">
              <w:rPr>
                <w:rFonts w:cs="Arial"/>
              </w:rPr>
              <w:t>.</w:t>
            </w:r>
            <w:r w:rsidRPr="43240110">
              <w:rPr>
                <w:rFonts w:cs="Arial"/>
              </w:rPr>
              <w:t xml:space="preserve"> </w:t>
            </w:r>
          </w:p>
        </w:tc>
      </w:tr>
    </w:tbl>
    <w:p w:rsidR="005E73DE" w:rsidP="007C58FB" w:rsidRDefault="00921D55" w14:paraId="193B5107" w14:textId="77777777">
      <w:pPr>
        <w:pStyle w:val="Heading1"/>
      </w:pPr>
      <w:r>
        <w:lastRenderedPageBreak/>
        <w:t xml:space="preserve">Governance </w:t>
      </w:r>
    </w:p>
    <w:tbl>
      <w:tblPr>
        <w:tblStyle w:val="TableGrid"/>
        <w:tblW w:w="0" w:type="auto"/>
        <w:tblLook w:val="04A0" w:firstRow="1" w:lastRow="0" w:firstColumn="1" w:lastColumn="0" w:noHBand="0" w:noVBand="1"/>
      </w:tblPr>
      <w:tblGrid>
        <w:gridCol w:w="5098"/>
        <w:gridCol w:w="5098"/>
      </w:tblGrid>
      <w:tr w:rsidR="00921D55" w:rsidTr="009D69AD" w14:paraId="5C0D6EDA" w14:textId="77777777">
        <w:trPr>
          <w:trHeight w:val="567"/>
        </w:trPr>
        <w:tc>
          <w:tcPr>
            <w:tcW w:w="5098" w:type="dxa"/>
            <w:shd w:val="clear" w:color="auto" w:fill="00B4D0" w:themeFill="accent1"/>
            <w:vAlign w:val="center"/>
          </w:tcPr>
          <w:p w:rsidRPr="00C37220" w:rsidR="00921D55" w:rsidP="00921D55" w:rsidRDefault="00921D55" w14:paraId="13A036B0" w14:textId="6078ADF0">
            <w:pPr>
              <w:rPr>
                <w:b/>
                <w:color w:val="FFFFFF" w:themeColor="background1"/>
              </w:rPr>
            </w:pPr>
            <w:r w:rsidRPr="00C37220">
              <w:rPr>
                <w:b/>
                <w:color w:val="FFFFFF" w:themeColor="background1"/>
              </w:rPr>
              <w:t xml:space="preserve">Parent </w:t>
            </w:r>
            <w:r w:rsidRPr="00C37220" w:rsidR="57C55A52">
              <w:rPr>
                <w:b/>
                <w:bCs/>
                <w:color w:val="FFFFFF" w:themeColor="background1"/>
              </w:rPr>
              <w:t>p</w:t>
            </w:r>
            <w:r w:rsidRPr="00C37220">
              <w:rPr>
                <w:b/>
                <w:color w:val="FFFFFF" w:themeColor="background1"/>
              </w:rPr>
              <w:t>olicy</w:t>
            </w:r>
            <w:r w:rsidRPr="00C37220" w:rsidR="006D1C0C">
              <w:rPr>
                <w:b/>
                <w:color w:val="FFFFFF" w:themeColor="background1"/>
              </w:rPr>
              <w:t xml:space="preserve">/standard </w:t>
            </w:r>
          </w:p>
        </w:tc>
        <w:tc>
          <w:tcPr>
            <w:tcW w:w="5098" w:type="dxa"/>
            <w:vAlign w:val="center"/>
          </w:tcPr>
          <w:p w:rsidR="00C533A3" w:rsidP="00C533A3" w:rsidRDefault="00000000" w14:paraId="1FAEACF4" w14:textId="68EEE0A4">
            <w:pPr>
              <w:pStyle w:val="ListParagraph"/>
              <w:numPr>
                <w:ilvl w:val="0"/>
                <w:numId w:val="31"/>
              </w:numPr>
              <w:ind w:left="444"/>
            </w:pPr>
            <w:hyperlink w:history="1" r:id="rId12">
              <w:r w:rsidRPr="00430F39" w:rsidR="00A33DAB">
                <w:rPr>
                  <w:rStyle w:val="Hyperlink"/>
                </w:rPr>
                <w:t>Zero Harm Policy</w:t>
              </w:r>
            </w:hyperlink>
          </w:p>
          <w:p w:rsidR="007216E3" w:rsidP="00C533A3" w:rsidRDefault="00000000" w14:paraId="410AF2B2" w14:textId="45ED95D2">
            <w:pPr>
              <w:pStyle w:val="ListParagraph"/>
              <w:numPr>
                <w:ilvl w:val="0"/>
                <w:numId w:val="31"/>
              </w:numPr>
              <w:ind w:left="444"/>
            </w:pPr>
            <w:hyperlink w:history="1" r:id="rId13">
              <w:r w:rsidRPr="00E22AA2" w:rsidR="00534884">
                <w:rPr>
                  <w:rStyle w:val="Hyperlink"/>
                </w:rPr>
                <w:t>Board Policy Framework</w:t>
              </w:r>
            </w:hyperlink>
            <w:r w:rsidR="00534884">
              <w:t xml:space="preserve"> – Risk Policy Statement</w:t>
            </w:r>
          </w:p>
        </w:tc>
      </w:tr>
      <w:tr w:rsidR="00921D55" w:rsidTr="009D69AD" w14:paraId="7450187C" w14:textId="77777777">
        <w:trPr>
          <w:trHeight w:val="567"/>
        </w:trPr>
        <w:tc>
          <w:tcPr>
            <w:tcW w:w="5098" w:type="dxa"/>
            <w:shd w:val="clear" w:color="auto" w:fill="00B4D0" w:themeFill="accent1"/>
            <w:vAlign w:val="center"/>
          </w:tcPr>
          <w:p w:rsidRPr="00843979" w:rsidR="00921D55" w:rsidP="00843979" w:rsidRDefault="00921D55" w14:paraId="0A629962" w14:textId="28F74A4A">
            <w:pPr>
              <w:rPr>
                <w:rStyle w:val="Emphasis"/>
              </w:rPr>
            </w:pPr>
            <w:r w:rsidRPr="006E6CD6">
              <w:rPr>
                <w:rStyle w:val="Emphasis"/>
                <w:color w:val="FFFFFF" w:themeColor="background1"/>
              </w:rPr>
              <w:t>Associated procedures</w:t>
            </w:r>
            <w:r w:rsidRPr="006E6CD6" w:rsidR="006D1C0C">
              <w:rPr>
                <w:rStyle w:val="Emphasis"/>
                <w:color w:val="FFFFFF" w:themeColor="background1"/>
              </w:rPr>
              <w:t xml:space="preserve">/standards </w:t>
            </w:r>
          </w:p>
        </w:tc>
        <w:tc>
          <w:tcPr>
            <w:tcW w:w="5098" w:type="dxa"/>
            <w:vAlign w:val="center"/>
          </w:tcPr>
          <w:p w:rsidRPr="00A67B28" w:rsidR="00A33DAB" w:rsidP="00974940" w:rsidRDefault="00000000" w14:paraId="5CB3064D" w14:textId="5808AF8A">
            <w:pPr>
              <w:pStyle w:val="ListParagraph"/>
              <w:numPr>
                <w:ilvl w:val="0"/>
                <w:numId w:val="31"/>
              </w:numPr>
              <w:ind w:left="444"/>
            </w:pPr>
            <w:hyperlink w:history="1" r:id="rId14">
              <w:r w:rsidRPr="003C7BEB" w:rsidR="00534884">
                <w:rPr>
                  <w:rStyle w:val="Hyperlink"/>
                </w:rPr>
                <w:t>Risk Management Plan</w:t>
              </w:r>
            </w:hyperlink>
          </w:p>
          <w:p w:rsidRPr="00A67B28" w:rsidR="00395B7B" w:rsidP="00974940" w:rsidRDefault="00A33DAB" w14:paraId="40481F9E" w14:textId="4A80F224">
            <w:pPr>
              <w:pStyle w:val="ListParagraph"/>
              <w:numPr>
                <w:ilvl w:val="0"/>
                <w:numId w:val="31"/>
              </w:numPr>
              <w:ind w:left="444"/>
            </w:pPr>
            <w:r w:rsidRPr="00A67B28">
              <w:t xml:space="preserve">Risk Management </w:t>
            </w:r>
            <w:r w:rsidRPr="00A67B28" w:rsidR="00534884">
              <w:t>Procedure</w:t>
            </w:r>
          </w:p>
          <w:p w:rsidR="00A67B28" w:rsidP="0097161D" w:rsidRDefault="00000000" w14:paraId="065E8CE6" w14:textId="1791499A">
            <w:pPr>
              <w:pStyle w:val="ListParagraph"/>
              <w:numPr>
                <w:ilvl w:val="0"/>
                <w:numId w:val="31"/>
              </w:numPr>
              <w:ind w:left="444"/>
            </w:pPr>
            <w:hyperlink w:history="1" r:id="rId15">
              <w:r w:rsidRPr="00193BFF" w:rsidR="00035915">
                <w:rPr>
                  <w:rStyle w:val="Hyperlink"/>
                </w:rPr>
                <w:t>Hazard Reporting Procedure</w:t>
              </w:r>
            </w:hyperlink>
          </w:p>
        </w:tc>
      </w:tr>
      <w:tr w:rsidR="00921D55" w:rsidTr="009D69AD" w14:paraId="24786BAF" w14:textId="77777777">
        <w:trPr>
          <w:trHeight w:val="567"/>
        </w:trPr>
        <w:tc>
          <w:tcPr>
            <w:tcW w:w="5098" w:type="dxa"/>
            <w:shd w:val="clear" w:color="auto" w:fill="00B4D0" w:themeFill="accent1"/>
            <w:vAlign w:val="center"/>
          </w:tcPr>
          <w:p w:rsidRPr="00C37220" w:rsidR="00921D55" w:rsidP="00921D55" w:rsidRDefault="00921D55" w14:paraId="3FC85172" w14:textId="77777777">
            <w:pPr>
              <w:rPr>
                <w:b/>
                <w:color w:val="FFFFFF" w:themeColor="background1"/>
              </w:rPr>
            </w:pPr>
            <w:r w:rsidRPr="00C37220">
              <w:rPr>
                <w:b/>
                <w:color w:val="FFFFFF" w:themeColor="background1"/>
              </w:rPr>
              <w:t>Legislation mandating compliance</w:t>
            </w:r>
          </w:p>
        </w:tc>
        <w:tc>
          <w:tcPr>
            <w:tcW w:w="5098" w:type="dxa"/>
            <w:vAlign w:val="center"/>
          </w:tcPr>
          <w:p w:rsidR="00F74B2D" w:rsidP="00AC2F58" w:rsidRDefault="00AC2F58" w14:paraId="1530B810" w14:textId="1984AE3F">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O</w:t>
            </w:r>
            <w:r w:rsidR="00F74B2D">
              <w:rPr>
                <w:rFonts w:cs="Arial" w:eastAsiaTheme="minorHAnsi"/>
                <w:szCs w:val="22"/>
                <w:lang w:val="en-US"/>
              </w:rPr>
              <w:t xml:space="preserve">ccupational Health </w:t>
            </w:r>
            <w:r w:rsidRPr="00AC2F58">
              <w:rPr>
                <w:rFonts w:cs="Arial" w:eastAsiaTheme="minorHAnsi"/>
                <w:szCs w:val="22"/>
                <w:lang w:val="en-US"/>
              </w:rPr>
              <w:t>&amp;</w:t>
            </w:r>
            <w:r w:rsidR="00F74B2D">
              <w:rPr>
                <w:rFonts w:cs="Arial" w:eastAsiaTheme="minorHAnsi"/>
                <w:szCs w:val="22"/>
                <w:lang w:val="en-US"/>
              </w:rPr>
              <w:t xml:space="preserve"> </w:t>
            </w:r>
            <w:r w:rsidRPr="00AC2F58">
              <w:rPr>
                <w:rFonts w:cs="Arial" w:eastAsiaTheme="minorHAnsi"/>
                <w:szCs w:val="22"/>
                <w:lang w:val="en-US"/>
              </w:rPr>
              <w:t>S</w:t>
            </w:r>
            <w:r w:rsidR="00F74B2D">
              <w:rPr>
                <w:rFonts w:cs="Arial" w:eastAsiaTheme="minorHAnsi"/>
                <w:szCs w:val="22"/>
                <w:lang w:val="en-US"/>
              </w:rPr>
              <w:t>afety</w:t>
            </w:r>
            <w:r w:rsidR="00504C36">
              <w:rPr>
                <w:rFonts w:cs="Arial" w:eastAsiaTheme="minorHAnsi"/>
                <w:szCs w:val="22"/>
                <w:lang w:val="en-US"/>
              </w:rPr>
              <w:t xml:space="preserve"> Act </w:t>
            </w:r>
          </w:p>
          <w:p w:rsidR="00504C36" w:rsidP="00AC2F58" w:rsidRDefault="00F74B2D" w14:paraId="1B2A5D72" w14:textId="241103A1">
            <w:pPr>
              <w:widowControl w:val="0"/>
              <w:numPr>
                <w:ilvl w:val="0"/>
                <w:numId w:val="33"/>
              </w:numPr>
              <w:tabs>
                <w:tab w:val="left" w:pos="0"/>
              </w:tabs>
              <w:contextualSpacing/>
              <w:rPr>
                <w:rFonts w:cs="Arial" w:eastAsiaTheme="minorHAnsi"/>
                <w:szCs w:val="22"/>
                <w:lang w:val="en-US"/>
              </w:rPr>
            </w:pPr>
            <w:r>
              <w:rPr>
                <w:rFonts w:cs="Arial" w:eastAsiaTheme="minorHAnsi"/>
                <w:szCs w:val="22"/>
                <w:lang w:val="en-US"/>
              </w:rPr>
              <w:t xml:space="preserve">Occupational Health &amp; Safety </w:t>
            </w:r>
            <w:r w:rsidR="00504C36">
              <w:rPr>
                <w:rFonts w:cs="Arial" w:eastAsiaTheme="minorHAnsi"/>
                <w:szCs w:val="22"/>
                <w:lang w:val="en-US"/>
              </w:rPr>
              <w:t>Regulations</w:t>
            </w:r>
          </w:p>
          <w:p w:rsidR="00E97EEA" w:rsidP="00AC2F58" w:rsidRDefault="00AC2F58" w14:paraId="633CA8B4" w14:textId="07A8538C">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Environmental</w:t>
            </w:r>
            <w:r w:rsidR="00504C36">
              <w:rPr>
                <w:rFonts w:cs="Arial" w:eastAsiaTheme="minorHAnsi"/>
                <w:szCs w:val="22"/>
                <w:lang w:val="en-US"/>
              </w:rPr>
              <w:t xml:space="preserve"> </w:t>
            </w:r>
            <w:r w:rsidR="00DE5BC1">
              <w:rPr>
                <w:rFonts w:cs="Arial" w:eastAsiaTheme="minorHAnsi"/>
                <w:szCs w:val="22"/>
                <w:lang w:val="en-US"/>
              </w:rPr>
              <w:t xml:space="preserve">(EPA) </w:t>
            </w:r>
            <w:r w:rsidR="00504C36">
              <w:rPr>
                <w:rFonts w:cs="Arial" w:eastAsiaTheme="minorHAnsi"/>
                <w:szCs w:val="22"/>
                <w:lang w:val="en-US"/>
              </w:rPr>
              <w:t>Act</w:t>
            </w:r>
            <w:r w:rsidR="00DE5BC1">
              <w:rPr>
                <w:rFonts w:cs="Arial" w:eastAsiaTheme="minorHAnsi"/>
                <w:szCs w:val="22"/>
                <w:lang w:val="en-US"/>
              </w:rPr>
              <w:t xml:space="preserve">, Regulations and </w:t>
            </w:r>
            <w:r w:rsidR="008F72C2">
              <w:rPr>
                <w:rFonts w:cs="Arial" w:eastAsiaTheme="minorHAnsi"/>
                <w:szCs w:val="22"/>
                <w:lang w:val="en-US"/>
              </w:rPr>
              <w:t>G</w:t>
            </w:r>
            <w:r w:rsidR="00E97EEA">
              <w:rPr>
                <w:rFonts w:cs="Arial" w:eastAsiaTheme="minorHAnsi"/>
                <w:szCs w:val="22"/>
                <w:lang w:val="en-US"/>
              </w:rPr>
              <w:t xml:space="preserve">eneral </w:t>
            </w:r>
            <w:r w:rsidR="008F72C2">
              <w:rPr>
                <w:rFonts w:cs="Arial" w:eastAsiaTheme="minorHAnsi"/>
                <w:szCs w:val="22"/>
                <w:lang w:val="en-US"/>
              </w:rPr>
              <w:t>E</w:t>
            </w:r>
            <w:r w:rsidR="00E97EEA">
              <w:rPr>
                <w:rFonts w:cs="Arial" w:eastAsiaTheme="minorHAnsi"/>
                <w:szCs w:val="22"/>
                <w:lang w:val="en-US"/>
              </w:rPr>
              <w:t xml:space="preserve">nvironmental </w:t>
            </w:r>
            <w:r w:rsidR="008F72C2">
              <w:rPr>
                <w:rFonts w:cs="Arial" w:eastAsiaTheme="minorHAnsi"/>
                <w:szCs w:val="22"/>
                <w:lang w:val="en-US"/>
              </w:rPr>
              <w:t>D</w:t>
            </w:r>
            <w:r w:rsidR="00E97EEA">
              <w:rPr>
                <w:rFonts w:cs="Arial" w:eastAsiaTheme="minorHAnsi"/>
                <w:szCs w:val="22"/>
                <w:lang w:val="en-US"/>
              </w:rPr>
              <w:t>uty (GED)</w:t>
            </w:r>
          </w:p>
          <w:p w:rsidR="00AC2F58" w:rsidP="00AC2F58" w:rsidRDefault="00E97EEA" w14:paraId="1C30CFFD" w14:textId="328F6299">
            <w:pPr>
              <w:widowControl w:val="0"/>
              <w:numPr>
                <w:ilvl w:val="0"/>
                <w:numId w:val="33"/>
              </w:numPr>
              <w:tabs>
                <w:tab w:val="left" w:pos="0"/>
              </w:tabs>
              <w:contextualSpacing/>
              <w:rPr>
                <w:rFonts w:cs="Arial" w:eastAsiaTheme="minorHAnsi"/>
                <w:szCs w:val="22"/>
                <w:lang w:val="en-US"/>
              </w:rPr>
            </w:pPr>
            <w:r>
              <w:rPr>
                <w:rFonts w:cs="Arial" w:eastAsiaTheme="minorHAnsi"/>
                <w:szCs w:val="22"/>
                <w:lang w:val="en-US"/>
              </w:rPr>
              <w:t>Safe Drinking Water Act and Regulations</w:t>
            </w:r>
          </w:p>
          <w:p w:rsidR="00E97EEA" w:rsidP="00AC2F58" w:rsidRDefault="00687448" w14:paraId="725500C0" w14:textId="58490524">
            <w:pPr>
              <w:widowControl w:val="0"/>
              <w:numPr>
                <w:ilvl w:val="0"/>
                <w:numId w:val="33"/>
              </w:numPr>
              <w:tabs>
                <w:tab w:val="left" w:pos="0"/>
              </w:tabs>
              <w:contextualSpacing/>
              <w:rPr>
                <w:rFonts w:cs="Arial" w:eastAsiaTheme="minorHAnsi"/>
                <w:szCs w:val="22"/>
                <w:lang w:val="en-US"/>
              </w:rPr>
            </w:pPr>
            <w:r>
              <w:rPr>
                <w:rFonts w:cs="Arial" w:eastAsiaTheme="minorHAnsi"/>
                <w:szCs w:val="22"/>
                <w:lang w:val="en-US"/>
              </w:rPr>
              <w:t xml:space="preserve">Dangerous Goods Act and </w:t>
            </w:r>
            <w:r w:rsidR="00A644D9">
              <w:rPr>
                <w:rFonts w:cs="Arial" w:eastAsiaTheme="minorHAnsi"/>
                <w:szCs w:val="22"/>
                <w:lang w:val="en-US"/>
              </w:rPr>
              <w:t>Regulations</w:t>
            </w:r>
          </w:p>
          <w:p w:rsidR="00A644D9" w:rsidP="00AC2F58" w:rsidRDefault="00A644D9" w14:paraId="1BD692DD" w14:textId="483EB772">
            <w:pPr>
              <w:widowControl w:val="0"/>
              <w:numPr>
                <w:ilvl w:val="0"/>
                <w:numId w:val="33"/>
              </w:numPr>
              <w:tabs>
                <w:tab w:val="left" w:pos="0"/>
              </w:tabs>
              <w:contextualSpacing/>
              <w:rPr>
                <w:rFonts w:cs="Arial" w:eastAsiaTheme="minorHAnsi"/>
                <w:szCs w:val="22"/>
                <w:lang w:val="en-US"/>
              </w:rPr>
            </w:pPr>
            <w:r>
              <w:rPr>
                <w:rFonts w:cs="Arial" w:eastAsiaTheme="minorHAnsi"/>
                <w:szCs w:val="22"/>
                <w:lang w:val="en-US"/>
              </w:rPr>
              <w:t>Statement of Obligations</w:t>
            </w:r>
          </w:p>
          <w:p w:rsidRPr="00AC2F58" w:rsidR="00A644D9" w:rsidP="00AC2F58" w:rsidRDefault="00F05AEF" w14:paraId="75DA5082" w14:textId="5838A227">
            <w:pPr>
              <w:widowControl w:val="0"/>
              <w:numPr>
                <w:ilvl w:val="0"/>
                <w:numId w:val="33"/>
              </w:numPr>
              <w:tabs>
                <w:tab w:val="left" w:pos="0"/>
              </w:tabs>
              <w:contextualSpacing/>
              <w:rPr>
                <w:rFonts w:cs="Arial" w:eastAsiaTheme="minorHAnsi"/>
                <w:szCs w:val="22"/>
                <w:lang w:val="en-US"/>
              </w:rPr>
            </w:pPr>
            <w:r>
              <w:rPr>
                <w:rFonts w:cs="Arial" w:eastAsiaTheme="minorHAnsi"/>
                <w:szCs w:val="22"/>
                <w:lang w:val="en-US"/>
              </w:rPr>
              <w:t xml:space="preserve">Financial Management Act </w:t>
            </w:r>
            <w:r w:rsidR="00974940">
              <w:rPr>
                <w:rFonts w:cs="Arial" w:eastAsiaTheme="minorHAnsi"/>
                <w:szCs w:val="22"/>
                <w:lang w:val="en-US"/>
              </w:rPr>
              <w:t>– Standing Directions. Victorian Government Risk Management Framework</w:t>
            </w:r>
          </w:p>
          <w:p w:rsidRPr="00AC2F58" w:rsidR="00AC2F58" w:rsidP="00AC2F58" w:rsidRDefault="00AC2F58" w14:paraId="78CA4060" w14:textId="77777777">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 xml:space="preserve">ISO 14001: Environmental Management Systems </w:t>
            </w:r>
          </w:p>
          <w:p w:rsidRPr="00AC2F58" w:rsidR="00AC2F58" w:rsidP="00AC2F58" w:rsidRDefault="00AC2F58" w14:paraId="0214A807" w14:textId="77777777">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 xml:space="preserve">ISO 45001: Occupational Health and Safety management systems </w:t>
            </w:r>
          </w:p>
          <w:p w:rsidRPr="00AC2F58" w:rsidR="00AC2F58" w:rsidP="00AC2F58" w:rsidRDefault="00AC2F58" w14:paraId="6D7EBF79" w14:textId="77777777">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Codex Alimentarius Alinorm 97/13A (HACCP based Drinking Water Quality Management System)</w:t>
            </w:r>
          </w:p>
          <w:p w:rsidRPr="00AC2F58" w:rsidR="00AC2F58" w:rsidP="00AC2F58" w:rsidRDefault="00AC2F58" w14:paraId="216B3958" w14:textId="77777777">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ISO 31000: Risk Management</w:t>
            </w:r>
          </w:p>
          <w:p w:rsidRPr="00974940" w:rsidR="00E71D16" w:rsidP="00AC2F58" w:rsidRDefault="00AC2F58" w14:paraId="086BA3D2" w14:textId="54C2EF84">
            <w:pPr>
              <w:widowControl w:val="0"/>
              <w:numPr>
                <w:ilvl w:val="0"/>
                <w:numId w:val="33"/>
              </w:numPr>
              <w:tabs>
                <w:tab w:val="left" w:pos="0"/>
              </w:tabs>
              <w:contextualSpacing/>
              <w:rPr>
                <w:rFonts w:cs="Arial" w:eastAsiaTheme="minorHAnsi"/>
                <w:szCs w:val="22"/>
                <w:lang w:val="en-US"/>
              </w:rPr>
            </w:pPr>
            <w:r w:rsidRPr="00AC2F58">
              <w:rPr>
                <w:rFonts w:cs="Arial" w:eastAsiaTheme="minorHAnsi"/>
                <w:szCs w:val="22"/>
                <w:lang w:val="en-US"/>
              </w:rPr>
              <w:t>ISO 9001: Quality Management Systems – Requirements</w:t>
            </w:r>
          </w:p>
        </w:tc>
      </w:tr>
      <w:tr w:rsidR="00921D55" w:rsidTr="009D69AD" w14:paraId="1822FAF5" w14:textId="77777777">
        <w:trPr>
          <w:trHeight w:val="567"/>
        </w:trPr>
        <w:tc>
          <w:tcPr>
            <w:tcW w:w="5098" w:type="dxa"/>
            <w:shd w:val="clear" w:color="auto" w:fill="00B4D0" w:themeFill="accent1"/>
            <w:vAlign w:val="center"/>
          </w:tcPr>
          <w:p w:rsidRPr="00C37220" w:rsidR="00921D55" w:rsidP="00921D55" w:rsidRDefault="00921D55" w14:paraId="28942556" w14:textId="77777777">
            <w:pPr>
              <w:rPr>
                <w:b/>
                <w:color w:val="FFFFFF" w:themeColor="background1"/>
              </w:rPr>
            </w:pPr>
            <w:r w:rsidRPr="00C37220">
              <w:rPr>
                <w:b/>
                <w:color w:val="FFFFFF" w:themeColor="background1"/>
              </w:rPr>
              <w:t>Approval</w:t>
            </w:r>
          </w:p>
        </w:tc>
        <w:tc>
          <w:tcPr>
            <w:tcW w:w="5098" w:type="dxa"/>
            <w:vAlign w:val="center"/>
          </w:tcPr>
          <w:p w:rsidR="00921D55" w:rsidP="00395B7B" w:rsidRDefault="00FD3486" w14:paraId="566913A1" w14:textId="49DFEFDB">
            <w:r>
              <w:t xml:space="preserve">Executive Committee </w:t>
            </w:r>
          </w:p>
        </w:tc>
      </w:tr>
      <w:tr w:rsidR="00921D55" w:rsidTr="009D69AD" w14:paraId="1F146797" w14:textId="77777777">
        <w:trPr>
          <w:trHeight w:val="397"/>
        </w:trPr>
        <w:tc>
          <w:tcPr>
            <w:tcW w:w="5098" w:type="dxa"/>
            <w:shd w:val="clear" w:color="auto" w:fill="00B4D0" w:themeFill="accent1"/>
            <w:vAlign w:val="center"/>
          </w:tcPr>
          <w:p w:rsidRPr="00C37220" w:rsidR="00921D55" w:rsidP="00921D55" w:rsidRDefault="58C3FACB" w14:paraId="110238F6" w14:textId="7DDC30E7">
            <w:pPr>
              <w:rPr>
                <w:b/>
                <w:color w:val="FFFFFF" w:themeColor="background1"/>
              </w:rPr>
            </w:pPr>
            <w:r w:rsidRPr="00C37220">
              <w:rPr>
                <w:b/>
                <w:bCs/>
                <w:color w:val="FFFFFF" w:themeColor="background1"/>
              </w:rPr>
              <w:t>Owner</w:t>
            </w:r>
            <w:r w:rsidRPr="00C37220" w:rsidR="00921D55">
              <w:rPr>
                <w:b/>
                <w:bCs/>
                <w:color w:val="FFFFFF" w:themeColor="background1"/>
              </w:rPr>
              <w:t xml:space="preserve"> </w:t>
            </w:r>
          </w:p>
        </w:tc>
        <w:tc>
          <w:tcPr>
            <w:tcW w:w="5098" w:type="dxa"/>
            <w:vAlign w:val="center"/>
          </w:tcPr>
          <w:p w:rsidR="00921D55" w:rsidP="00B109A7" w:rsidRDefault="00660411" w14:paraId="1D4FF270" w14:textId="64E9B5D5">
            <w:r>
              <w:t>General Manager People &amp; Business Services</w:t>
            </w:r>
            <w:r w:rsidR="00534884">
              <w:t xml:space="preserve"> </w:t>
            </w:r>
          </w:p>
        </w:tc>
      </w:tr>
      <w:tr w:rsidR="00921D55" w:rsidTr="009D69AD" w14:paraId="762F655B" w14:textId="77777777">
        <w:trPr>
          <w:trHeight w:val="397"/>
        </w:trPr>
        <w:tc>
          <w:tcPr>
            <w:tcW w:w="5098" w:type="dxa"/>
            <w:shd w:val="clear" w:color="auto" w:fill="00B4D0" w:themeFill="accent1"/>
            <w:vAlign w:val="center"/>
          </w:tcPr>
          <w:p w:rsidRPr="00C37220" w:rsidR="00921D55" w:rsidP="00921D55" w:rsidRDefault="00921D55" w14:paraId="6CD6C878" w14:textId="77777777">
            <w:pPr>
              <w:rPr>
                <w:b/>
                <w:color w:val="FFFFFF" w:themeColor="background1"/>
              </w:rPr>
            </w:pPr>
            <w:r w:rsidRPr="00C37220">
              <w:rPr>
                <w:b/>
                <w:color w:val="FFFFFF" w:themeColor="background1"/>
              </w:rPr>
              <w:t>Content enquiries</w:t>
            </w:r>
          </w:p>
        </w:tc>
        <w:tc>
          <w:tcPr>
            <w:tcW w:w="5098" w:type="dxa"/>
            <w:vAlign w:val="center"/>
          </w:tcPr>
          <w:p w:rsidR="00921D55" w:rsidP="007E5E68" w:rsidRDefault="00534884" w14:paraId="1868591D" w14:textId="03AC0511">
            <w:r>
              <w:t xml:space="preserve">Risk &amp; Assurance Officer </w:t>
            </w:r>
          </w:p>
        </w:tc>
      </w:tr>
    </w:tbl>
    <w:p w:rsidR="00606797" w:rsidP="00606797" w:rsidRDefault="00606797" w14:paraId="13503A44" w14:textId="716ECC62">
      <w:bookmarkStart w:name="_Toc4408111" w:id="6"/>
    </w:p>
    <w:p w:rsidR="00AC4C8E" w:rsidRDefault="00AC4C8E" w14:paraId="3E54B0E9" w14:textId="77777777"/>
    <w:p w:rsidR="00F14A22" w:rsidP="007C58FB" w:rsidRDefault="004E03C7" w14:paraId="01A7A46C" w14:textId="77777777">
      <w:pPr>
        <w:pStyle w:val="Heading1"/>
      </w:pPr>
      <w:r>
        <w:t xml:space="preserve">Document </w:t>
      </w:r>
      <w:r w:rsidR="003F3E7B">
        <w:t>v</w:t>
      </w:r>
      <w:r w:rsidR="004345C4">
        <w:t>ersion</w:t>
      </w:r>
      <w:r w:rsidR="003F3E7B">
        <w:t xml:space="preserve"> h</w:t>
      </w:r>
      <w:r>
        <w:t>istory</w:t>
      </w:r>
      <w:bookmarkEnd w:id="6"/>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rsidRPr="00747129" w:rsidR="00BB714F" w:rsidP="001A477E"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P="001A477E"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BB714F" w:rsidTr="00A93636" w14:paraId="35DE0683" w14:textId="77777777">
        <w:trPr>
          <w:trHeight w:val="420"/>
        </w:trPr>
        <w:tc>
          <w:tcPr>
            <w:tcW w:w="1129" w:type="dxa"/>
            <w:hideMark/>
          </w:tcPr>
          <w:p w:rsidRPr="000C5B31" w:rsidR="00BB714F" w:rsidP="00443B59" w:rsidRDefault="00534884" w14:paraId="360E6409" w14:textId="5581DCF0">
            <w:pPr>
              <w:jc w:val="center"/>
              <w:textAlignment w:val="baseline"/>
              <w:rPr>
                <w:rFonts w:eastAsia="Times New Roman" w:cs="Arial"/>
                <w:lang w:eastAsia="en-AU"/>
              </w:rPr>
            </w:pPr>
            <w:r>
              <w:rPr>
                <w:rFonts w:eastAsia="Times New Roman" w:cs="Arial"/>
                <w:lang w:eastAsia="en-AU"/>
              </w:rPr>
              <w:t>1</w:t>
            </w:r>
          </w:p>
        </w:tc>
        <w:tc>
          <w:tcPr>
            <w:tcW w:w="9072" w:type="dxa"/>
            <w:hideMark/>
          </w:tcPr>
          <w:p w:rsidRPr="000C5B31" w:rsidR="00BB714F" w:rsidP="001A477E" w:rsidRDefault="007841C6" w14:paraId="61207965" w14:textId="51E10BF0">
            <w:pPr>
              <w:textAlignment w:val="baseline"/>
              <w:rPr>
                <w:rFonts w:eastAsia="Times New Roman" w:cs="Arial"/>
                <w:lang w:eastAsia="en-AU"/>
              </w:rPr>
            </w:pPr>
            <w:r w:rsidRPr="006263F1">
              <w:t>New document created as part of the new IMS Standard Framework</w:t>
            </w:r>
          </w:p>
        </w:tc>
      </w:tr>
      <w:tr w:rsidRPr="00747129" w:rsidR="007A7531" w:rsidTr="00A93636" w14:paraId="1F07EE96" w14:textId="77777777">
        <w:trPr>
          <w:trHeight w:val="420"/>
        </w:trPr>
        <w:tc>
          <w:tcPr>
            <w:tcW w:w="1129" w:type="dxa"/>
          </w:tcPr>
          <w:p w:rsidR="007A7531" w:rsidP="00443B59" w:rsidRDefault="007A7531" w14:paraId="5067A80C" w14:textId="713FB2D5">
            <w:pPr>
              <w:jc w:val="center"/>
              <w:textAlignment w:val="baseline"/>
              <w:rPr>
                <w:rFonts w:eastAsia="Times New Roman" w:cs="Arial"/>
                <w:lang w:eastAsia="en-AU"/>
              </w:rPr>
            </w:pPr>
            <w:r>
              <w:rPr>
                <w:rFonts w:eastAsia="Times New Roman" w:cs="Arial"/>
                <w:lang w:eastAsia="en-AU"/>
              </w:rPr>
              <w:t>2</w:t>
            </w:r>
          </w:p>
        </w:tc>
        <w:tc>
          <w:tcPr>
            <w:tcW w:w="9072" w:type="dxa"/>
          </w:tcPr>
          <w:p w:rsidRPr="006263F1" w:rsidR="007A7531" w:rsidP="001A477E" w:rsidRDefault="007A7531" w14:paraId="33A6BF5C" w14:textId="68A08DFC">
            <w:pPr>
              <w:textAlignment w:val="baseline"/>
            </w:pPr>
            <w:r>
              <w:t xml:space="preserve">Section 2 Out of Scope reworded from </w:t>
            </w:r>
            <w:r w:rsidR="000C6A6B">
              <w:t>“</w:t>
            </w:r>
            <w:r w:rsidRPr="00191A30" w:rsidR="000C6A6B">
              <w:rPr>
                <w:noProof/>
                <w:shd w:val="clear" w:color="auto" w:fill="FFFFFF"/>
              </w:rPr>
              <w:t>has taken legal ownership</w:t>
            </w:r>
            <w:r w:rsidR="000C6A6B">
              <w:rPr>
                <w:noProof/>
                <w:shd w:val="clear" w:color="auto" w:fill="FFFFFF"/>
              </w:rPr>
              <w:t>” to “</w:t>
            </w:r>
            <w:r w:rsidRPr="00D316AE" w:rsidR="00746056">
              <w:rPr>
                <w:noProof/>
                <w:szCs w:val="22"/>
              </w:rPr>
              <w:t>has been granted formal possession</w:t>
            </w:r>
            <w:r w:rsidR="00746056">
              <w:rPr>
                <w:noProof/>
                <w:szCs w:val="22"/>
              </w:rPr>
              <w:t>”</w:t>
            </w:r>
            <w:r w:rsidR="000F2E99">
              <w:rPr>
                <w:noProof/>
                <w:szCs w:val="22"/>
              </w:rPr>
              <w:t>.</w:t>
            </w:r>
          </w:p>
        </w:tc>
      </w:tr>
    </w:tbl>
    <w:p w:rsidR="00077D78" w:rsidP="00077D78" w:rsidRDefault="00077D78" w14:paraId="16CC2BCF" w14:textId="2DF7947F">
      <w:pPr>
        <w:rPr>
          <w:lang w:val="en-US"/>
        </w:rPr>
      </w:pPr>
      <w:r>
        <w:rPr>
          <w:lang w:val="en-US"/>
        </w:rPr>
        <w:t xml:space="preserve"> </w:t>
      </w:r>
    </w:p>
    <w:sectPr w:rsidR="00077D78" w:rsidSect="005D7E51">
      <w:headerReference w:type="even" r:id="rId16"/>
      <w:headerReference w:type="default" r:id="rId17"/>
      <w:footerReference w:type="even" r:id="rId18"/>
      <w:footerReference w:type="default" r:id="rId19"/>
      <w:headerReference w:type="first" r:id="rId20"/>
      <w:footerReference w:type="first" r:id="rId21"/>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96E18" w14:textId="77777777" w:rsidR="008D49FC" w:rsidRDefault="008D49FC" w:rsidP="009E4B83">
      <w:r>
        <w:separator/>
      </w:r>
    </w:p>
    <w:p w14:paraId="121173CD" w14:textId="77777777" w:rsidR="008D49FC" w:rsidRDefault="008D49FC"/>
  </w:endnote>
  <w:endnote w:type="continuationSeparator" w:id="0">
    <w:p w14:paraId="4AA7239F" w14:textId="77777777" w:rsidR="008D49FC" w:rsidRDefault="008D49FC" w:rsidP="009E4B83">
      <w:r>
        <w:continuationSeparator/>
      </w:r>
    </w:p>
    <w:p w14:paraId="090E66B4" w14:textId="77777777" w:rsidR="008D49FC" w:rsidRDefault="008D49FC"/>
  </w:endnote>
  <w:endnote w:type="continuationNotice" w:id="1">
    <w:p w14:paraId="3300D0BA" w14:textId="77777777" w:rsidR="008D49FC" w:rsidRDefault="008D49FC"/>
    <w:p w14:paraId="41544849" w14:textId="77777777" w:rsidR="008D49FC" w:rsidRDefault="008D4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65D2" w:rsidRDefault="00D865D2" w14:paraId="7CF7BBE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A63886E3A2B24356BAFF3579096EF4DA"/>
              </w:placeholder>
              <w:text/>
            </w:sdtPr>
            <w:sdtContent>
              <w:r w:rsidRPr="00426F69">
                <w:rPr>
                  <w:b/>
                  <w:sz w:val="12"/>
                  <w:szCs w:val="12"/>
                </w:rPr>
                <w:t>Hazard Identification and Risk Management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014BC5C292BA45DB822E15B78F996C13"/>
              </w:placeholder>
              <w:text/>
            </w:sdtPr>
            <w:sdtContent>
              <w:r w:rsidRPr="00426F69">
                <w:rPr>
                  <w:b/>
                  <w:sz w:val="12"/>
                  <w:szCs w:val="12"/>
                </w:rPr>
                <w:t>2</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87E504381AC44E98A754FF246FCF100D"/>
              </w:placeholder>
              <w:text/>
            </w:sdtPr>
            <w:sdtContent>
              <w:r w:rsidRPr="009B40F4">
                <w:rPr>
                  <w:sz w:val="12"/>
                  <w:szCs w:val="12"/>
                </w:rPr>
                <w:t>Risk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22313B24A04249CEA99D2218E02B66AD"/>
              </w:placeholder>
              <w:text/>
            </w:sdtPr>
            <w:sdtContent>
              <w:r w:rsidRPr="009B40F4">
                <w:rPr>
                  <w:sz w:val="12"/>
                  <w:szCs w:val="12"/>
                </w:rPr>
                <w:t>05/07/2024</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5376BC7B1CEA47DCB6DB5DB248DA6200"/>
              </w:placeholder>
              <w:text/>
            </w:sdtPr>
            <w:sdtContent>
              <w:r w:rsidRPr="009B40F4">
                <w:rPr>
                  <w:sz w:val="12"/>
                  <w:szCs w:val="12"/>
                </w:rPr>
                <w:t>05/07/2029</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65D2" w:rsidRDefault="00D865D2" w14:paraId="1CDB541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1590C" w14:textId="77777777" w:rsidR="008D49FC" w:rsidRDefault="008D49FC" w:rsidP="009E4B83">
      <w:r>
        <w:separator/>
      </w:r>
    </w:p>
    <w:p w14:paraId="405226F5" w14:textId="77777777" w:rsidR="008D49FC" w:rsidRDefault="008D49FC"/>
  </w:footnote>
  <w:footnote w:type="continuationSeparator" w:id="0">
    <w:p w14:paraId="5758DEEF" w14:textId="77777777" w:rsidR="008D49FC" w:rsidRDefault="008D49FC" w:rsidP="009E4B83">
      <w:r>
        <w:continuationSeparator/>
      </w:r>
    </w:p>
    <w:p w14:paraId="076D5BE8" w14:textId="77777777" w:rsidR="008D49FC" w:rsidRDefault="008D49FC"/>
  </w:footnote>
  <w:footnote w:type="continuationNotice" w:id="1">
    <w:p w14:paraId="7D4E6FF2" w14:textId="77777777" w:rsidR="008D49FC" w:rsidRDefault="008D49FC"/>
    <w:p w14:paraId="45299D56" w14:textId="77777777" w:rsidR="008D49FC" w:rsidRDefault="008D49FC"/>
  </w:footnote>
  <w:footnote w:id="2">
    <w:p w14:paraId="32FDA555" w14:textId="56182D35" w:rsidR="00542CA8" w:rsidRPr="00357A2F" w:rsidRDefault="00542CA8">
      <w:pPr>
        <w:pStyle w:val="FootnoteText"/>
        <w:rPr>
          <w:lang w:val="en-US"/>
        </w:rPr>
      </w:pPr>
      <w:r>
        <w:rPr>
          <w:rStyle w:val="FootnoteReference"/>
        </w:rPr>
        <w:footnoteRef/>
      </w:r>
      <w:r>
        <w:t xml:space="preserve"> </w:t>
      </w:r>
      <w:r w:rsidR="00E35EA0" w:rsidRPr="00E35EA0">
        <w:t>Based on the activity, certain requirements in the Standard may apply. It is the Engaging Officer/supervising person’s responsibility to identify those applicable. Refer to Content Enquires for any assistance with interpretation</w:t>
      </w:r>
    </w:p>
  </w:footnote>
  <w:footnote w:id="3">
    <w:p w14:paraId="11E4865C" w14:textId="2A658173" w:rsidR="005F015C" w:rsidRPr="005F015C" w:rsidRDefault="005F015C">
      <w:pPr>
        <w:pStyle w:val="FootnoteText"/>
        <w:rPr>
          <w:lang w:val="en-US"/>
        </w:rPr>
      </w:pPr>
      <w:r>
        <w:rPr>
          <w:rStyle w:val="FootnoteReference"/>
        </w:rPr>
        <w:footnoteRef/>
      </w:r>
      <w:r>
        <w:t xml:space="preserve"> </w:t>
      </w:r>
      <w:r w:rsidR="006F491B" w:rsidRPr="006F491B">
        <w:t>The nominated person who is responsible for ensuring there is the system in place to meet a requirement or delivering a task to an acceptable level of performance</w:t>
      </w:r>
      <w:r w:rsidR="0056254C" w:rsidRPr="006F491B">
        <w:t xml:space="preserve">. </w:t>
      </w:r>
    </w:p>
  </w:footnote>
  <w:footnote w:id="4">
    <w:p w14:paraId="2DF20FE6" w14:textId="6533882A" w:rsidR="006E454D" w:rsidRPr="006E454D" w:rsidRDefault="006E454D">
      <w:pPr>
        <w:pStyle w:val="FootnoteText"/>
        <w:rPr>
          <w:lang w:val="en-US"/>
        </w:rPr>
      </w:pPr>
      <w:r>
        <w:rPr>
          <w:rStyle w:val="FootnoteReference"/>
        </w:rPr>
        <w:footnoteRef/>
      </w:r>
      <w:r>
        <w:t xml:space="preserve"> </w:t>
      </w:r>
      <w:r w:rsidR="00C10FBA" w:rsidRPr="00775363">
        <w:t>The Executive are collectively accountable for the standard. The individual GM is the nominated sponsor who will approve any capital / operating expense requests</w:t>
      </w:r>
      <w:r w:rsidR="00C10FBA">
        <w:t xml:space="preserve"> (within the Instrument of Delegation)</w:t>
      </w:r>
      <w:r w:rsidR="00C10FBA" w:rsidRPr="00775363">
        <w:t xml:space="preserve"> and any material changes to current WW work practices to meet requirements of the standard</w:t>
      </w:r>
      <w:r w:rsidR="0056254C" w:rsidRPr="00775363">
        <w:t xml:space="preserve">. </w:t>
      </w:r>
    </w:p>
  </w:footnote>
  <w:footnote w:id="5">
    <w:p w14:paraId="705E9E63" w14:textId="4B0004D6" w:rsidR="00A353C1" w:rsidRPr="007956D3" w:rsidRDefault="00A353C1">
      <w:pPr>
        <w:pStyle w:val="FootnoteText"/>
        <w:rPr>
          <w:lang w:val="en-US"/>
        </w:rPr>
      </w:pPr>
      <w:r>
        <w:rPr>
          <w:rStyle w:val="FootnoteReference"/>
        </w:rPr>
        <w:footnoteRef/>
      </w:r>
      <w:r>
        <w:t xml:space="preserve"> All hazards and risks must be reported immediately after they are detected, or as soon as practicable</w:t>
      </w:r>
    </w:p>
  </w:footnote>
  <w:footnote w:id="6">
    <w:p w14:paraId="33BDA297" w14:textId="1B9AC161" w:rsidR="00E46F24" w:rsidRPr="007956D3" w:rsidRDefault="00E46F24">
      <w:pPr>
        <w:pStyle w:val="FootnoteText"/>
        <w:rPr>
          <w:lang w:val="en-US"/>
        </w:rPr>
      </w:pPr>
      <w:r>
        <w:rPr>
          <w:rStyle w:val="FootnoteReference"/>
        </w:rPr>
        <w:footnoteRef/>
      </w:r>
      <w:r>
        <w:t xml:space="preserve"> </w:t>
      </w:r>
      <w:r w:rsidR="00692236" w:rsidRPr="00692236">
        <w:t>Could be a Wannon Water employee, with the required training/experience, a manufacturer, a supplier, or a qualified technical expert, where we don’t have the required knowledge to assess suitability or regulatory implications</w:t>
      </w:r>
    </w:p>
  </w:footnote>
  <w:footnote w:id="7">
    <w:p w14:paraId="3D88041D" w14:textId="6A947333" w:rsidR="00A178B9" w:rsidRPr="007956D3" w:rsidRDefault="00A178B9">
      <w:pPr>
        <w:pStyle w:val="FootnoteText"/>
        <w:rPr>
          <w:b/>
          <w:bCs/>
          <w:lang w:val="en-US"/>
        </w:rPr>
      </w:pPr>
      <w:r>
        <w:rPr>
          <w:rStyle w:val="FootnoteReference"/>
        </w:rPr>
        <w:footnoteRef/>
      </w:r>
      <w:r>
        <w:t xml:space="preserve"> </w:t>
      </w:r>
      <w:r w:rsidR="00E76C1B">
        <w:t xml:space="preserve">For more guidance refer to </w:t>
      </w:r>
      <w:r w:rsidR="009849A7" w:rsidRPr="007956D3">
        <w:rPr>
          <w:b/>
          <w:bCs/>
        </w:rPr>
        <w:t>How WorkSafe applies the law in relation to Reasonably Practicable</w:t>
      </w:r>
      <w:r w:rsidR="009849A7">
        <w:t xml:space="preserve"> and </w:t>
      </w:r>
      <w:r w:rsidR="005B311B" w:rsidRPr="007956D3">
        <w:rPr>
          <w:b/>
          <w:bCs/>
        </w:rPr>
        <w:t>EPA Understanding what reasonably practica</w:t>
      </w:r>
      <w:r w:rsidR="00A6154E" w:rsidRPr="007956D3">
        <w:rPr>
          <w:b/>
          <w:bCs/>
        </w:rPr>
        <w:t>ble means under the laws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65D2" w:rsidRDefault="00D865D2" w14:paraId="35FE7AD8"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4CCA8F6">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AC0032" w14:paraId="1531E327" w14:textId="4205488C">
    <w:pPr>
      <w:pStyle w:val="Title"/>
      <w:rPr>
        <w:sz w:val="20"/>
        <w:szCs w:val="20"/>
      </w:rPr>
    </w:pPr>
    <w:r>
      <w:t>Hazard Identification and Risk Management</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51283E82">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65D2" w:rsidRDefault="00D865D2" w14:paraId="786A7DA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3" w15:restartNumberingAfterBreak="0">
    <w:nsid w:val="28C70ED4"/>
    <w:multiLevelType w:val="hybridMultilevel"/>
    <w:tmpl w:val="679653E4"/>
    <w:lvl w:ilvl="0" w:tplc="E13682DE">
      <w:start w:val="1"/>
      <w:numFmt w:val="bullet"/>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4"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36797C33"/>
    <w:multiLevelType w:val="hybridMultilevel"/>
    <w:tmpl w:val="D398E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9465CA"/>
    <w:multiLevelType w:val="hybridMultilevel"/>
    <w:tmpl w:val="7A406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444A36"/>
    <w:multiLevelType w:val="hybridMultilevel"/>
    <w:tmpl w:val="5AB653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0C291A"/>
    <w:multiLevelType w:val="hybridMultilevel"/>
    <w:tmpl w:val="FE1AF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1"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2" w15:restartNumberingAfterBreak="0">
    <w:nsid w:val="65316003"/>
    <w:multiLevelType w:val="hybridMultilevel"/>
    <w:tmpl w:val="FFFFFFFF"/>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F318B7"/>
    <w:multiLevelType w:val="hybridMultilevel"/>
    <w:tmpl w:val="ACFE1C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DF28EA"/>
    <w:multiLevelType w:val="hybridMultilevel"/>
    <w:tmpl w:val="DE589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4"/>
  </w:num>
  <w:num w:numId="2" w16cid:durableId="703755871">
    <w:abstractNumId w:val="8"/>
  </w:num>
  <w:num w:numId="3" w16cid:durableId="1109472893">
    <w:abstractNumId w:val="16"/>
  </w:num>
  <w:num w:numId="4" w16cid:durableId="1262686420">
    <w:abstractNumId w:val="11"/>
  </w:num>
  <w:num w:numId="5" w16cid:durableId="682244674">
    <w:abstractNumId w:val="0"/>
  </w:num>
  <w:num w:numId="6" w16cid:durableId="125399164">
    <w:abstractNumId w:val="10"/>
  </w:num>
  <w:num w:numId="7" w16cid:durableId="1502351243">
    <w:abstractNumId w:val="8"/>
  </w:num>
  <w:num w:numId="8" w16cid:durableId="231820023">
    <w:abstractNumId w:val="8"/>
  </w:num>
  <w:num w:numId="9" w16cid:durableId="1552691804">
    <w:abstractNumId w:val="8"/>
  </w:num>
  <w:num w:numId="10" w16cid:durableId="1523397037">
    <w:abstractNumId w:val="8"/>
  </w:num>
  <w:num w:numId="11" w16cid:durableId="187986509">
    <w:abstractNumId w:val="14"/>
  </w:num>
  <w:num w:numId="12" w16cid:durableId="1117020704">
    <w:abstractNumId w:val="14"/>
  </w:num>
  <w:num w:numId="13" w16cid:durableId="1661347411">
    <w:abstractNumId w:val="14"/>
  </w:num>
  <w:num w:numId="14" w16cid:durableId="1096167370">
    <w:abstractNumId w:val="14"/>
  </w:num>
  <w:num w:numId="15" w16cid:durableId="935944404">
    <w:abstractNumId w:val="14"/>
  </w:num>
  <w:num w:numId="16" w16cid:durableId="1783381610">
    <w:abstractNumId w:val="14"/>
  </w:num>
  <w:num w:numId="17" w16cid:durableId="1763991845">
    <w:abstractNumId w:val="3"/>
  </w:num>
  <w:num w:numId="18" w16cid:durableId="1874726689">
    <w:abstractNumId w:val="14"/>
  </w:num>
  <w:num w:numId="19" w16cid:durableId="1253199164">
    <w:abstractNumId w:val="14"/>
  </w:num>
  <w:num w:numId="20" w16cid:durableId="949361954">
    <w:abstractNumId w:val="14"/>
  </w:num>
  <w:num w:numId="21" w16cid:durableId="1914194503">
    <w:abstractNumId w:val="14"/>
  </w:num>
  <w:num w:numId="22" w16cid:durableId="1215240727">
    <w:abstractNumId w:val="14"/>
  </w:num>
  <w:num w:numId="23" w16cid:durableId="496263275">
    <w:abstractNumId w:val="14"/>
  </w:num>
  <w:num w:numId="24" w16cid:durableId="2137213255">
    <w:abstractNumId w:val="3"/>
  </w:num>
  <w:num w:numId="25" w16cid:durableId="623999313">
    <w:abstractNumId w:val="2"/>
  </w:num>
  <w:num w:numId="26" w16cid:durableId="203257458">
    <w:abstractNumId w:val="7"/>
  </w:num>
  <w:num w:numId="27" w16cid:durableId="1806925090">
    <w:abstractNumId w:val="13"/>
  </w:num>
  <w:num w:numId="28" w16cid:durableId="746152768">
    <w:abstractNumId w:val="5"/>
  </w:num>
  <w:num w:numId="29" w16cid:durableId="334959251">
    <w:abstractNumId w:val="12"/>
  </w:num>
  <w:num w:numId="30" w16cid:durableId="1703942279">
    <w:abstractNumId w:val="6"/>
  </w:num>
  <w:num w:numId="31" w16cid:durableId="1757168767">
    <w:abstractNumId w:val="15"/>
  </w:num>
  <w:num w:numId="32" w16cid:durableId="594821341">
    <w:abstractNumId w:val="9"/>
  </w:num>
  <w:num w:numId="33" w16cid:durableId="72588345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C03"/>
    <w:rsid w:val="00000E0F"/>
    <w:rsid w:val="0000103D"/>
    <w:rsid w:val="00001253"/>
    <w:rsid w:val="0000423B"/>
    <w:rsid w:val="000044BA"/>
    <w:rsid w:val="00005BA1"/>
    <w:rsid w:val="000065D2"/>
    <w:rsid w:val="00006F53"/>
    <w:rsid w:val="0001172E"/>
    <w:rsid w:val="00011B92"/>
    <w:rsid w:val="000121C5"/>
    <w:rsid w:val="00012AFB"/>
    <w:rsid w:val="00012D9E"/>
    <w:rsid w:val="00013D1C"/>
    <w:rsid w:val="00014E23"/>
    <w:rsid w:val="00015103"/>
    <w:rsid w:val="00015948"/>
    <w:rsid w:val="00020DAD"/>
    <w:rsid w:val="00025E2D"/>
    <w:rsid w:val="0002663E"/>
    <w:rsid w:val="00027376"/>
    <w:rsid w:val="000273C3"/>
    <w:rsid w:val="00030785"/>
    <w:rsid w:val="000353DE"/>
    <w:rsid w:val="00035915"/>
    <w:rsid w:val="00035B6E"/>
    <w:rsid w:val="00036789"/>
    <w:rsid w:val="000379E8"/>
    <w:rsid w:val="00041202"/>
    <w:rsid w:val="000419A0"/>
    <w:rsid w:val="00041A0A"/>
    <w:rsid w:val="00042B2E"/>
    <w:rsid w:val="00043E07"/>
    <w:rsid w:val="000450F8"/>
    <w:rsid w:val="000455B5"/>
    <w:rsid w:val="000461DB"/>
    <w:rsid w:val="0004779F"/>
    <w:rsid w:val="00052E8F"/>
    <w:rsid w:val="000530B0"/>
    <w:rsid w:val="00053111"/>
    <w:rsid w:val="00053708"/>
    <w:rsid w:val="000544B7"/>
    <w:rsid w:val="00055E9D"/>
    <w:rsid w:val="00055F0E"/>
    <w:rsid w:val="00057CF9"/>
    <w:rsid w:val="00060698"/>
    <w:rsid w:val="00062B2D"/>
    <w:rsid w:val="00063A0E"/>
    <w:rsid w:val="00064052"/>
    <w:rsid w:val="00065B22"/>
    <w:rsid w:val="00067ACE"/>
    <w:rsid w:val="00074DE4"/>
    <w:rsid w:val="0007529F"/>
    <w:rsid w:val="00075829"/>
    <w:rsid w:val="000758DA"/>
    <w:rsid w:val="00075963"/>
    <w:rsid w:val="0007654F"/>
    <w:rsid w:val="000777E0"/>
    <w:rsid w:val="0007782E"/>
    <w:rsid w:val="00077D78"/>
    <w:rsid w:val="00081B74"/>
    <w:rsid w:val="000825A2"/>
    <w:rsid w:val="00084950"/>
    <w:rsid w:val="00085F6B"/>
    <w:rsid w:val="0008641C"/>
    <w:rsid w:val="00090A99"/>
    <w:rsid w:val="000914E0"/>
    <w:rsid w:val="000923EA"/>
    <w:rsid w:val="0009371F"/>
    <w:rsid w:val="00094E20"/>
    <w:rsid w:val="00095909"/>
    <w:rsid w:val="000974E2"/>
    <w:rsid w:val="00097A6F"/>
    <w:rsid w:val="000A2FC2"/>
    <w:rsid w:val="000A438E"/>
    <w:rsid w:val="000A7555"/>
    <w:rsid w:val="000A7B1E"/>
    <w:rsid w:val="000A7DA6"/>
    <w:rsid w:val="000B0443"/>
    <w:rsid w:val="000B0D90"/>
    <w:rsid w:val="000B2537"/>
    <w:rsid w:val="000B38FF"/>
    <w:rsid w:val="000B3B17"/>
    <w:rsid w:val="000B5DCE"/>
    <w:rsid w:val="000B5EDA"/>
    <w:rsid w:val="000B72CC"/>
    <w:rsid w:val="000C356D"/>
    <w:rsid w:val="000C3FC9"/>
    <w:rsid w:val="000C6287"/>
    <w:rsid w:val="000C62FB"/>
    <w:rsid w:val="000C6A6B"/>
    <w:rsid w:val="000C6B63"/>
    <w:rsid w:val="000C73B9"/>
    <w:rsid w:val="000C7B8E"/>
    <w:rsid w:val="000D040F"/>
    <w:rsid w:val="000D05DF"/>
    <w:rsid w:val="000D128A"/>
    <w:rsid w:val="000D1619"/>
    <w:rsid w:val="000D246C"/>
    <w:rsid w:val="000D2D99"/>
    <w:rsid w:val="000D34E9"/>
    <w:rsid w:val="000D4929"/>
    <w:rsid w:val="000E1D3E"/>
    <w:rsid w:val="000E371F"/>
    <w:rsid w:val="000E563B"/>
    <w:rsid w:val="000E56E5"/>
    <w:rsid w:val="000E6AD7"/>
    <w:rsid w:val="000F0F5A"/>
    <w:rsid w:val="000F190B"/>
    <w:rsid w:val="000F1A5E"/>
    <w:rsid w:val="000F2D69"/>
    <w:rsid w:val="000F2E99"/>
    <w:rsid w:val="000F32A2"/>
    <w:rsid w:val="000F43EC"/>
    <w:rsid w:val="000F6035"/>
    <w:rsid w:val="000F666A"/>
    <w:rsid w:val="00103BE8"/>
    <w:rsid w:val="00105344"/>
    <w:rsid w:val="00105BD3"/>
    <w:rsid w:val="00105FD3"/>
    <w:rsid w:val="001062BA"/>
    <w:rsid w:val="00106677"/>
    <w:rsid w:val="001109D7"/>
    <w:rsid w:val="00111025"/>
    <w:rsid w:val="00111800"/>
    <w:rsid w:val="0011371F"/>
    <w:rsid w:val="001137EA"/>
    <w:rsid w:val="0011384E"/>
    <w:rsid w:val="00114971"/>
    <w:rsid w:val="00114981"/>
    <w:rsid w:val="00115B9B"/>
    <w:rsid w:val="0011701F"/>
    <w:rsid w:val="00117A92"/>
    <w:rsid w:val="00117D90"/>
    <w:rsid w:val="00117DD1"/>
    <w:rsid w:val="001223D1"/>
    <w:rsid w:val="00126D37"/>
    <w:rsid w:val="00127023"/>
    <w:rsid w:val="00132D42"/>
    <w:rsid w:val="001333FF"/>
    <w:rsid w:val="0013429F"/>
    <w:rsid w:val="00134509"/>
    <w:rsid w:val="00135B0F"/>
    <w:rsid w:val="00141C6F"/>
    <w:rsid w:val="00143964"/>
    <w:rsid w:val="0014401B"/>
    <w:rsid w:val="001450D6"/>
    <w:rsid w:val="00145F7E"/>
    <w:rsid w:val="00146B4E"/>
    <w:rsid w:val="001507D5"/>
    <w:rsid w:val="00150D2D"/>
    <w:rsid w:val="00150E6B"/>
    <w:rsid w:val="0015265E"/>
    <w:rsid w:val="00152C90"/>
    <w:rsid w:val="00155B2F"/>
    <w:rsid w:val="00157156"/>
    <w:rsid w:val="001572CF"/>
    <w:rsid w:val="0015785B"/>
    <w:rsid w:val="0016081B"/>
    <w:rsid w:val="0016128A"/>
    <w:rsid w:val="001613E5"/>
    <w:rsid w:val="0016236E"/>
    <w:rsid w:val="00162DAD"/>
    <w:rsid w:val="00165F1D"/>
    <w:rsid w:val="0016749F"/>
    <w:rsid w:val="00170501"/>
    <w:rsid w:val="0017066D"/>
    <w:rsid w:val="00172626"/>
    <w:rsid w:val="00180667"/>
    <w:rsid w:val="00181917"/>
    <w:rsid w:val="00183A3E"/>
    <w:rsid w:val="00184A3B"/>
    <w:rsid w:val="00190FA9"/>
    <w:rsid w:val="0019164E"/>
    <w:rsid w:val="00191A30"/>
    <w:rsid w:val="00193417"/>
    <w:rsid w:val="00193BFF"/>
    <w:rsid w:val="00193E7E"/>
    <w:rsid w:val="001946F0"/>
    <w:rsid w:val="00194E44"/>
    <w:rsid w:val="00196062"/>
    <w:rsid w:val="00196EB0"/>
    <w:rsid w:val="001A0258"/>
    <w:rsid w:val="001A0309"/>
    <w:rsid w:val="001A0891"/>
    <w:rsid w:val="001A12EB"/>
    <w:rsid w:val="001A217B"/>
    <w:rsid w:val="001A23D5"/>
    <w:rsid w:val="001A31FC"/>
    <w:rsid w:val="001A37F9"/>
    <w:rsid w:val="001A3DF0"/>
    <w:rsid w:val="001A477E"/>
    <w:rsid w:val="001A4CE2"/>
    <w:rsid w:val="001A7843"/>
    <w:rsid w:val="001B03C1"/>
    <w:rsid w:val="001B089E"/>
    <w:rsid w:val="001B1336"/>
    <w:rsid w:val="001B3488"/>
    <w:rsid w:val="001B3F03"/>
    <w:rsid w:val="001B4F68"/>
    <w:rsid w:val="001B5C21"/>
    <w:rsid w:val="001C1152"/>
    <w:rsid w:val="001C2DD5"/>
    <w:rsid w:val="001C4A7F"/>
    <w:rsid w:val="001C6BD5"/>
    <w:rsid w:val="001C76F3"/>
    <w:rsid w:val="001D2106"/>
    <w:rsid w:val="001D2583"/>
    <w:rsid w:val="001D2BD4"/>
    <w:rsid w:val="001D3119"/>
    <w:rsid w:val="001D4725"/>
    <w:rsid w:val="001D4BEE"/>
    <w:rsid w:val="001D7BE9"/>
    <w:rsid w:val="001E019E"/>
    <w:rsid w:val="001E4A7D"/>
    <w:rsid w:val="001E58F0"/>
    <w:rsid w:val="001E6C3F"/>
    <w:rsid w:val="001E6D73"/>
    <w:rsid w:val="001F00D1"/>
    <w:rsid w:val="001F0835"/>
    <w:rsid w:val="001F0A03"/>
    <w:rsid w:val="001F27E2"/>
    <w:rsid w:val="001F3AB8"/>
    <w:rsid w:val="001F4D95"/>
    <w:rsid w:val="001F50B3"/>
    <w:rsid w:val="001F54B2"/>
    <w:rsid w:val="001F5CDF"/>
    <w:rsid w:val="001F5D64"/>
    <w:rsid w:val="001F788B"/>
    <w:rsid w:val="001F7C14"/>
    <w:rsid w:val="00200537"/>
    <w:rsid w:val="00201839"/>
    <w:rsid w:val="00201B88"/>
    <w:rsid w:val="00201C7E"/>
    <w:rsid w:val="002046C1"/>
    <w:rsid w:val="00204F4D"/>
    <w:rsid w:val="00206127"/>
    <w:rsid w:val="00207725"/>
    <w:rsid w:val="00212A10"/>
    <w:rsid w:val="00213611"/>
    <w:rsid w:val="00213B62"/>
    <w:rsid w:val="00214978"/>
    <w:rsid w:val="00214B33"/>
    <w:rsid w:val="00215965"/>
    <w:rsid w:val="00215B39"/>
    <w:rsid w:val="00216240"/>
    <w:rsid w:val="002170CE"/>
    <w:rsid w:val="0021784A"/>
    <w:rsid w:val="0022012E"/>
    <w:rsid w:val="002211CC"/>
    <w:rsid w:val="002230A4"/>
    <w:rsid w:val="0022387E"/>
    <w:rsid w:val="002261A3"/>
    <w:rsid w:val="0023115A"/>
    <w:rsid w:val="00232297"/>
    <w:rsid w:val="00232DD5"/>
    <w:rsid w:val="00232DF0"/>
    <w:rsid w:val="00233139"/>
    <w:rsid w:val="0023408B"/>
    <w:rsid w:val="00235716"/>
    <w:rsid w:val="0023628A"/>
    <w:rsid w:val="00236938"/>
    <w:rsid w:val="00237EF9"/>
    <w:rsid w:val="002415BB"/>
    <w:rsid w:val="002431D5"/>
    <w:rsid w:val="002438F7"/>
    <w:rsid w:val="002439C6"/>
    <w:rsid w:val="002446C3"/>
    <w:rsid w:val="00246013"/>
    <w:rsid w:val="00247818"/>
    <w:rsid w:val="00251DD7"/>
    <w:rsid w:val="00262ABD"/>
    <w:rsid w:val="00264FB3"/>
    <w:rsid w:val="002651EE"/>
    <w:rsid w:val="0026638A"/>
    <w:rsid w:val="00270240"/>
    <w:rsid w:val="00270450"/>
    <w:rsid w:val="0027188C"/>
    <w:rsid w:val="00272048"/>
    <w:rsid w:val="0027575A"/>
    <w:rsid w:val="00275979"/>
    <w:rsid w:val="00281A2C"/>
    <w:rsid w:val="00281E44"/>
    <w:rsid w:val="0028300C"/>
    <w:rsid w:val="00286892"/>
    <w:rsid w:val="00291381"/>
    <w:rsid w:val="00291CFA"/>
    <w:rsid w:val="00293062"/>
    <w:rsid w:val="002931F1"/>
    <w:rsid w:val="00296F13"/>
    <w:rsid w:val="002A0975"/>
    <w:rsid w:val="002A0E89"/>
    <w:rsid w:val="002A4A7A"/>
    <w:rsid w:val="002A6446"/>
    <w:rsid w:val="002A69F7"/>
    <w:rsid w:val="002A735F"/>
    <w:rsid w:val="002A7AC3"/>
    <w:rsid w:val="002B52BF"/>
    <w:rsid w:val="002B679E"/>
    <w:rsid w:val="002B6837"/>
    <w:rsid w:val="002B6D41"/>
    <w:rsid w:val="002C14C8"/>
    <w:rsid w:val="002C1AAB"/>
    <w:rsid w:val="002C3BB8"/>
    <w:rsid w:val="002C4FAF"/>
    <w:rsid w:val="002C6538"/>
    <w:rsid w:val="002C7412"/>
    <w:rsid w:val="002D0B13"/>
    <w:rsid w:val="002D363A"/>
    <w:rsid w:val="002D512D"/>
    <w:rsid w:val="002D57F1"/>
    <w:rsid w:val="002D61A7"/>
    <w:rsid w:val="002D63EF"/>
    <w:rsid w:val="002D7855"/>
    <w:rsid w:val="002E1DE1"/>
    <w:rsid w:val="002E2D4C"/>
    <w:rsid w:val="002E2EB0"/>
    <w:rsid w:val="002E3DA0"/>
    <w:rsid w:val="002E5811"/>
    <w:rsid w:val="002E6819"/>
    <w:rsid w:val="002F3136"/>
    <w:rsid w:val="002F467C"/>
    <w:rsid w:val="002F4972"/>
    <w:rsid w:val="002F6ED3"/>
    <w:rsid w:val="002F7863"/>
    <w:rsid w:val="00300145"/>
    <w:rsid w:val="0030208B"/>
    <w:rsid w:val="0030275E"/>
    <w:rsid w:val="003028F1"/>
    <w:rsid w:val="00303DB5"/>
    <w:rsid w:val="00305EFF"/>
    <w:rsid w:val="00306DDB"/>
    <w:rsid w:val="0030702C"/>
    <w:rsid w:val="0031081A"/>
    <w:rsid w:val="00311311"/>
    <w:rsid w:val="00311322"/>
    <w:rsid w:val="00312BCD"/>
    <w:rsid w:val="00315161"/>
    <w:rsid w:val="003168A8"/>
    <w:rsid w:val="00317AC2"/>
    <w:rsid w:val="00317E71"/>
    <w:rsid w:val="00320E69"/>
    <w:rsid w:val="00321382"/>
    <w:rsid w:val="00321935"/>
    <w:rsid w:val="00321BB5"/>
    <w:rsid w:val="00322894"/>
    <w:rsid w:val="00322E43"/>
    <w:rsid w:val="003240B4"/>
    <w:rsid w:val="00324FB4"/>
    <w:rsid w:val="00325D4C"/>
    <w:rsid w:val="00326C10"/>
    <w:rsid w:val="00326E74"/>
    <w:rsid w:val="003271FE"/>
    <w:rsid w:val="00330948"/>
    <w:rsid w:val="00331928"/>
    <w:rsid w:val="00334DCB"/>
    <w:rsid w:val="0033624B"/>
    <w:rsid w:val="00337399"/>
    <w:rsid w:val="003373EB"/>
    <w:rsid w:val="003420E2"/>
    <w:rsid w:val="003442BB"/>
    <w:rsid w:val="00344500"/>
    <w:rsid w:val="003448D0"/>
    <w:rsid w:val="003468AB"/>
    <w:rsid w:val="00350A49"/>
    <w:rsid w:val="0035218A"/>
    <w:rsid w:val="00352694"/>
    <w:rsid w:val="003543AE"/>
    <w:rsid w:val="00354750"/>
    <w:rsid w:val="00354A8F"/>
    <w:rsid w:val="00354AEB"/>
    <w:rsid w:val="003558B0"/>
    <w:rsid w:val="0035776B"/>
    <w:rsid w:val="00357A2F"/>
    <w:rsid w:val="00357DB8"/>
    <w:rsid w:val="0036210C"/>
    <w:rsid w:val="00362AFA"/>
    <w:rsid w:val="00362E15"/>
    <w:rsid w:val="0036314E"/>
    <w:rsid w:val="00364ADB"/>
    <w:rsid w:val="0036554F"/>
    <w:rsid w:val="0036557D"/>
    <w:rsid w:val="0036675C"/>
    <w:rsid w:val="00366DA9"/>
    <w:rsid w:val="00366E2A"/>
    <w:rsid w:val="00367BC4"/>
    <w:rsid w:val="00367D09"/>
    <w:rsid w:val="00370C27"/>
    <w:rsid w:val="0037410E"/>
    <w:rsid w:val="003755DA"/>
    <w:rsid w:val="003768E8"/>
    <w:rsid w:val="00376A13"/>
    <w:rsid w:val="003773A4"/>
    <w:rsid w:val="00380225"/>
    <w:rsid w:val="00382320"/>
    <w:rsid w:val="003833A1"/>
    <w:rsid w:val="00383A5E"/>
    <w:rsid w:val="00385DAA"/>
    <w:rsid w:val="00386258"/>
    <w:rsid w:val="00386E45"/>
    <w:rsid w:val="00390D97"/>
    <w:rsid w:val="0039137C"/>
    <w:rsid w:val="0039191E"/>
    <w:rsid w:val="00392E48"/>
    <w:rsid w:val="00395B7B"/>
    <w:rsid w:val="003961C3"/>
    <w:rsid w:val="00397126"/>
    <w:rsid w:val="003A105F"/>
    <w:rsid w:val="003A4873"/>
    <w:rsid w:val="003A592C"/>
    <w:rsid w:val="003A5A31"/>
    <w:rsid w:val="003A5B76"/>
    <w:rsid w:val="003A5F1D"/>
    <w:rsid w:val="003B0170"/>
    <w:rsid w:val="003B0E4F"/>
    <w:rsid w:val="003B2579"/>
    <w:rsid w:val="003B2C39"/>
    <w:rsid w:val="003B2DFD"/>
    <w:rsid w:val="003B367D"/>
    <w:rsid w:val="003B3835"/>
    <w:rsid w:val="003B42BC"/>
    <w:rsid w:val="003B4787"/>
    <w:rsid w:val="003B56E9"/>
    <w:rsid w:val="003B614C"/>
    <w:rsid w:val="003B62EA"/>
    <w:rsid w:val="003B64D2"/>
    <w:rsid w:val="003B6B09"/>
    <w:rsid w:val="003B7374"/>
    <w:rsid w:val="003C0238"/>
    <w:rsid w:val="003C19EE"/>
    <w:rsid w:val="003C6432"/>
    <w:rsid w:val="003C7BEB"/>
    <w:rsid w:val="003D5240"/>
    <w:rsid w:val="003D58AB"/>
    <w:rsid w:val="003E02D4"/>
    <w:rsid w:val="003E02F4"/>
    <w:rsid w:val="003E13D9"/>
    <w:rsid w:val="003E2AE0"/>
    <w:rsid w:val="003E2F53"/>
    <w:rsid w:val="003E395B"/>
    <w:rsid w:val="003E515C"/>
    <w:rsid w:val="003E52D5"/>
    <w:rsid w:val="003E6D8F"/>
    <w:rsid w:val="003F05D8"/>
    <w:rsid w:val="003F31EF"/>
    <w:rsid w:val="003F351C"/>
    <w:rsid w:val="003F3695"/>
    <w:rsid w:val="003F3730"/>
    <w:rsid w:val="003F3E7B"/>
    <w:rsid w:val="003F4B11"/>
    <w:rsid w:val="003F5898"/>
    <w:rsid w:val="003F5923"/>
    <w:rsid w:val="00400537"/>
    <w:rsid w:val="00400864"/>
    <w:rsid w:val="004017D0"/>
    <w:rsid w:val="004017DF"/>
    <w:rsid w:val="00404016"/>
    <w:rsid w:val="00404681"/>
    <w:rsid w:val="00406653"/>
    <w:rsid w:val="004069E5"/>
    <w:rsid w:val="00407386"/>
    <w:rsid w:val="0041034D"/>
    <w:rsid w:val="00410FE2"/>
    <w:rsid w:val="00411696"/>
    <w:rsid w:val="00414D41"/>
    <w:rsid w:val="00414F20"/>
    <w:rsid w:val="00421C89"/>
    <w:rsid w:val="00424A04"/>
    <w:rsid w:val="00424CD9"/>
    <w:rsid w:val="00426F69"/>
    <w:rsid w:val="00430928"/>
    <w:rsid w:val="00430F39"/>
    <w:rsid w:val="00432378"/>
    <w:rsid w:val="00433814"/>
    <w:rsid w:val="004345C4"/>
    <w:rsid w:val="00434A76"/>
    <w:rsid w:val="00435CEB"/>
    <w:rsid w:val="00437B5F"/>
    <w:rsid w:val="004405DE"/>
    <w:rsid w:val="00440B2C"/>
    <w:rsid w:val="00440BE0"/>
    <w:rsid w:val="00441EB4"/>
    <w:rsid w:val="00443791"/>
    <w:rsid w:val="00443B59"/>
    <w:rsid w:val="00443BED"/>
    <w:rsid w:val="004456C1"/>
    <w:rsid w:val="0044574C"/>
    <w:rsid w:val="00446537"/>
    <w:rsid w:val="004471BE"/>
    <w:rsid w:val="004474F9"/>
    <w:rsid w:val="004503D6"/>
    <w:rsid w:val="00451447"/>
    <w:rsid w:val="004518D7"/>
    <w:rsid w:val="00452BC3"/>
    <w:rsid w:val="004548D3"/>
    <w:rsid w:val="00454F0A"/>
    <w:rsid w:val="00456A2F"/>
    <w:rsid w:val="00460CED"/>
    <w:rsid w:val="00462ACE"/>
    <w:rsid w:val="00462CFC"/>
    <w:rsid w:val="0046329B"/>
    <w:rsid w:val="00463CFF"/>
    <w:rsid w:val="004641AC"/>
    <w:rsid w:val="00466F11"/>
    <w:rsid w:val="00467965"/>
    <w:rsid w:val="0047051D"/>
    <w:rsid w:val="004714B1"/>
    <w:rsid w:val="00471B5F"/>
    <w:rsid w:val="00473566"/>
    <w:rsid w:val="00474993"/>
    <w:rsid w:val="00476A9D"/>
    <w:rsid w:val="0048057D"/>
    <w:rsid w:val="004812B1"/>
    <w:rsid w:val="00483A50"/>
    <w:rsid w:val="00483C59"/>
    <w:rsid w:val="0048435A"/>
    <w:rsid w:val="00484C80"/>
    <w:rsid w:val="00484F14"/>
    <w:rsid w:val="00484F3A"/>
    <w:rsid w:val="004855EA"/>
    <w:rsid w:val="00485A32"/>
    <w:rsid w:val="00485AFA"/>
    <w:rsid w:val="00485E4E"/>
    <w:rsid w:val="00486D0B"/>
    <w:rsid w:val="00487B78"/>
    <w:rsid w:val="00490BEE"/>
    <w:rsid w:val="00492400"/>
    <w:rsid w:val="0049320C"/>
    <w:rsid w:val="00493291"/>
    <w:rsid w:val="00494138"/>
    <w:rsid w:val="00496B68"/>
    <w:rsid w:val="00496BB8"/>
    <w:rsid w:val="004A0DF6"/>
    <w:rsid w:val="004A1298"/>
    <w:rsid w:val="004A16FD"/>
    <w:rsid w:val="004A24E3"/>
    <w:rsid w:val="004A28E2"/>
    <w:rsid w:val="004A3659"/>
    <w:rsid w:val="004A433F"/>
    <w:rsid w:val="004A5535"/>
    <w:rsid w:val="004B0124"/>
    <w:rsid w:val="004B05D8"/>
    <w:rsid w:val="004B0A1E"/>
    <w:rsid w:val="004B17A5"/>
    <w:rsid w:val="004B24D6"/>
    <w:rsid w:val="004B30E3"/>
    <w:rsid w:val="004B38F3"/>
    <w:rsid w:val="004B3AEE"/>
    <w:rsid w:val="004B4284"/>
    <w:rsid w:val="004B5036"/>
    <w:rsid w:val="004B7917"/>
    <w:rsid w:val="004C50B4"/>
    <w:rsid w:val="004C6369"/>
    <w:rsid w:val="004C6ECA"/>
    <w:rsid w:val="004D2FB8"/>
    <w:rsid w:val="004D57C2"/>
    <w:rsid w:val="004D772A"/>
    <w:rsid w:val="004E03C7"/>
    <w:rsid w:val="004E07E0"/>
    <w:rsid w:val="004E18D1"/>
    <w:rsid w:val="004E2C09"/>
    <w:rsid w:val="004E41BD"/>
    <w:rsid w:val="004E5787"/>
    <w:rsid w:val="004E5EDB"/>
    <w:rsid w:val="004E65B3"/>
    <w:rsid w:val="004F1196"/>
    <w:rsid w:val="004F231C"/>
    <w:rsid w:val="004F2C12"/>
    <w:rsid w:val="004F4847"/>
    <w:rsid w:val="004F4944"/>
    <w:rsid w:val="004F51DF"/>
    <w:rsid w:val="004F75C4"/>
    <w:rsid w:val="004F7760"/>
    <w:rsid w:val="0050105A"/>
    <w:rsid w:val="00501382"/>
    <w:rsid w:val="00501B46"/>
    <w:rsid w:val="0050245E"/>
    <w:rsid w:val="00504168"/>
    <w:rsid w:val="00504C36"/>
    <w:rsid w:val="00507B95"/>
    <w:rsid w:val="00510067"/>
    <w:rsid w:val="00511101"/>
    <w:rsid w:val="005121FA"/>
    <w:rsid w:val="00514E56"/>
    <w:rsid w:val="00515B65"/>
    <w:rsid w:val="00515C7E"/>
    <w:rsid w:val="00516F42"/>
    <w:rsid w:val="00520162"/>
    <w:rsid w:val="00520E60"/>
    <w:rsid w:val="005214A6"/>
    <w:rsid w:val="005227E9"/>
    <w:rsid w:val="005246F5"/>
    <w:rsid w:val="00524EB2"/>
    <w:rsid w:val="00532BA6"/>
    <w:rsid w:val="00533B99"/>
    <w:rsid w:val="00533C10"/>
    <w:rsid w:val="00534164"/>
    <w:rsid w:val="005343C2"/>
    <w:rsid w:val="00534884"/>
    <w:rsid w:val="00534A6A"/>
    <w:rsid w:val="00535202"/>
    <w:rsid w:val="0053583A"/>
    <w:rsid w:val="00542CA8"/>
    <w:rsid w:val="005439A3"/>
    <w:rsid w:val="00543D0B"/>
    <w:rsid w:val="00544278"/>
    <w:rsid w:val="005466FA"/>
    <w:rsid w:val="00547118"/>
    <w:rsid w:val="00547F6A"/>
    <w:rsid w:val="005502CC"/>
    <w:rsid w:val="00550BCC"/>
    <w:rsid w:val="00551603"/>
    <w:rsid w:val="00552246"/>
    <w:rsid w:val="00552456"/>
    <w:rsid w:val="00553BE4"/>
    <w:rsid w:val="0055753A"/>
    <w:rsid w:val="0056254C"/>
    <w:rsid w:val="00562879"/>
    <w:rsid w:val="00562E7D"/>
    <w:rsid w:val="005640DD"/>
    <w:rsid w:val="00564133"/>
    <w:rsid w:val="005665B3"/>
    <w:rsid w:val="00570675"/>
    <w:rsid w:val="00571A06"/>
    <w:rsid w:val="0057258F"/>
    <w:rsid w:val="00572650"/>
    <w:rsid w:val="00572A98"/>
    <w:rsid w:val="00572CEF"/>
    <w:rsid w:val="005768D4"/>
    <w:rsid w:val="005769DB"/>
    <w:rsid w:val="0057793D"/>
    <w:rsid w:val="00577CD5"/>
    <w:rsid w:val="00580808"/>
    <w:rsid w:val="00580E7B"/>
    <w:rsid w:val="00581046"/>
    <w:rsid w:val="00582A92"/>
    <w:rsid w:val="00582B8E"/>
    <w:rsid w:val="00582E41"/>
    <w:rsid w:val="005830BA"/>
    <w:rsid w:val="00583F76"/>
    <w:rsid w:val="00587173"/>
    <w:rsid w:val="0059224A"/>
    <w:rsid w:val="00592548"/>
    <w:rsid w:val="005940FA"/>
    <w:rsid w:val="005948E5"/>
    <w:rsid w:val="00594CE0"/>
    <w:rsid w:val="005964CE"/>
    <w:rsid w:val="005964FE"/>
    <w:rsid w:val="00596730"/>
    <w:rsid w:val="005A0B91"/>
    <w:rsid w:val="005A1552"/>
    <w:rsid w:val="005A1689"/>
    <w:rsid w:val="005A1710"/>
    <w:rsid w:val="005A1907"/>
    <w:rsid w:val="005A2CAA"/>
    <w:rsid w:val="005A4AF2"/>
    <w:rsid w:val="005A5358"/>
    <w:rsid w:val="005A7DDF"/>
    <w:rsid w:val="005B1BFD"/>
    <w:rsid w:val="005B1C31"/>
    <w:rsid w:val="005B1E11"/>
    <w:rsid w:val="005B311B"/>
    <w:rsid w:val="005B493B"/>
    <w:rsid w:val="005B4E46"/>
    <w:rsid w:val="005B5D95"/>
    <w:rsid w:val="005B5FA3"/>
    <w:rsid w:val="005C0174"/>
    <w:rsid w:val="005C47DA"/>
    <w:rsid w:val="005C560C"/>
    <w:rsid w:val="005C6BF7"/>
    <w:rsid w:val="005C7F84"/>
    <w:rsid w:val="005D168F"/>
    <w:rsid w:val="005D19D7"/>
    <w:rsid w:val="005D2EB7"/>
    <w:rsid w:val="005D7E51"/>
    <w:rsid w:val="005E0C20"/>
    <w:rsid w:val="005E339D"/>
    <w:rsid w:val="005E39E6"/>
    <w:rsid w:val="005E4B4F"/>
    <w:rsid w:val="005E4F29"/>
    <w:rsid w:val="005E50A9"/>
    <w:rsid w:val="005E548E"/>
    <w:rsid w:val="005E6B61"/>
    <w:rsid w:val="005E7287"/>
    <w:rsid w:val="005E73DE"/>
    <w:rsid w:val="005F015C"/>
    <w:rsid w:val="005F1544"/>
    <w:rsid w:val="005F4F5B"/>
    <w:rsid w:val="005F5222"/>
    <w:rsid w:val="005F5AF7"/>
    <w:rsid w:val="005F62C3"/>
    <w:rsid w:val="005F6E62"/>
    <w:rsid w:val="00600704"/>
    <w:rsid w:val="00600A02"/>
    <w:rsid w:val="00602A32"/>
    <w:rsid w:val="00603524"/>
    <w:rsid w:val="0060429B"/>
    <w:rsid w:val="00605588"/>
    <w:rsid w:val="00606797"/>
    <w:rsid w:val="00606A09"/>
    <w:rsid w:val="0061026C"/>
    <w:rsid w:val="00610837"/>
    <w:rsid w:val="0061178F"/>
    <w:rsid w:val="006118E2"/>
    <w:rsid w:val="00615960"/>
    <w:rsid w:val="006161C9"/>
    <w:rsid w:val="006165F3"/>
    <w:rsid w:val="0061750C"/>
    <w:rsid w:val="006268B4"/>
    <w:rsid w:val="00626C69"/>
    <w:rsid w:val="006273B0"/>
    <w:rsid w:val="00630EAF"/>
    <w:rsid w:val="0063178B"/>
    <w:rsid w:val="00632A66"/>
    <w:rsid w:val="006332F2"/>
    <w:rsid w:val="0063431B"/>
    <w:rsid w:val="006367E6"/>
    <w:rsid w:val="00637324"/>
    <w:rsid w:val="00637CF8"/>
    <w:rsid w:val="00642735"/>
    <w:rsid w:val="00647209"/>
    <w:rsid w:val="00651A5C"/>
    <w:rsid w:val="00651B8B"/>
    <w:rsid w:val="00651E85"/>
    <w:rsid w:val="00653241"/>
    <w:rsid w:val="00653CAB"/>
    <w:rsid w:val="00660411"/>
    <w:rsid w:val="00662809"/>
    <w:rsid w:val="00662884"/>
    <w:rsid w:val="006636E1"/>
    <w:rsid w:val="006645E1"/>
    <w:rsid w:val="00666C0A"/>
    <w:rsid w:val="006676FB"/>
    <w:rsid w:val="0067099B"/>
    <w:rsid w:val="006718ED"/>
    <w:rsid w:val="00672984"/>
    <w:rsid w:val="006810F0"/>
    <w:rsid w:val="0068442B"/>
    <w:rsid w:val="00684A7B"/>
    <w:rsid w:val="00686B81"/>
    <w:rsid w:val="00687448"/>
    <w:rsid w:val="00692236"/>
    <w:rsid w:val="0069345C"/>
    <w:rsid w:val="006939E5"/>
    <w:rsid w:val="00693D97"/>
    <w:rsid w:val="006965D2"/>
    <w:rsid w:val="006968A9"/>
    <w:rsid w:val="00697321"/>
    <w:rsid w:val="006A1CBB"/>
    <w:rsid w:val="006A24FE"/>
    <w:rsid w:val="006A3813"/>
    <w:rsid w:val="006A3D5E"/>
    <w:rsid w:val="006B1D47"/>
    <w:rsid w:val="006B42DF"/>
    <w:rsid w:val="006B48CB"/>
    <w:rsid w:val="006B7208"/>
    <w:rsid w:val="006B7C98"/>
    <w:rsid w:val="006C1B76"/>
    <w:rsid w:val="006C2E98"/>
    <w:rsid w:val="006C410A"/>
    <w:rsid w:val="006C4CC7"/>
    <w:rsid w:val="006C4F61"/>
    <w:rsid w:val="006D1574"/>
    <w:rsid w:val="006D1C0C"/>
    <w:rsid w:val="006D31A5"/>
    <w:rsid w:val="006D398D"/>
    <w:rsid w:val="006D616F"/>
    <w:rsid w:val="006D7763"/>
    <w:rsid w:val="006E0C3E"/>
    <w:rsid w:val="006E20E3"/>
    <w:rsid w:val="006E215D"/>
    <w:rsid w:val="006E3EF4"/>
    <w:rsid w:val="006E454D"/>
    <w:rsid w:val="006E4E62"/>
    <w:rsid w:val="006E5BA2"/>
    <w:rsid w:val="006E6B15"/>
    <w:rsid w:val="006E6CD6"/>
    <w:rsid w:val="006E7965"/>
    <w:rsid w:val="006F2762"/>
    <w:rsid w:val="006F491B"/>
    <w:rsid w:val="006F6804"/>
    <w:rsid w:val="00700C9A"/>
    <w:rsid w:val="0070201C"/>
    <w:rsid w:val="007033E5"/>
    <w:rsid w:val="00703BDE"/>
    <w:rsid w:val="00703CF1"/>
    <w:rsid w:val="007078C9"/>
    <w:rsid w:val="00710E3B"/>
    <w:rsid w:val="00711236"/>
    <w:rsid w:val="00713899"/>
    <w:rsid w:val="0071455B"/>
    <w:rsid w:val="007161E3"/>
    <w:rsid w:val="00716BFF"/>
    <w:rsid w:val="007216E3"/>
    <w:rsid w:val="00723104"/>
    <w:rsid w:val="00725101"/>
    <w:rsid w:val="00730CE8"/>
    <w:rsid w:val="007326A1"/>
    <w:rsid w:val="00734B56"/>
    <w:rsid w:val="00734F05"/>
    <w:rsid w:val="00734F62"/>
    <w:rsid w:val="00735959"/>
    <w:rsid w:val="00735CB0"/>
    <w:rsid w:val="00736549"/>
    <w:rsid w:val="0073763D"/>
    <w:rsid w:val="00737A33"/>
    <w:rsid w:val="00740471"/>
    <w:rsid w:val="00740C30"/>
    <w:rsid w:val="007410B6"/>
    <w:rsid w:val="00741735"/>
    <w:rsid w:val="007419DA"/>
    <w:rsid w:val="00741A1C"/>
    <w:rsid w:val="00742F35"/>
    <w:rsid w:val="00743CC8"/>
    <w:rsid w:val="00745233"/>
    <w:rsid w:val="00746056"/>
    <w:rsid w:val="00746675"/>
    <w:rsid w:val="00747670"/>
    <w:rsid w:val="0074786A"/>
    <w:rsid w:val="00747B05"/>
    <w:rsid w:val="00751ABF"/>
    <w:rsid w:val="00754E9F"/>
    <w:rsid w:val="00755A3A"/>
    <w:rsid w:val="007565B2"/>
    <w:rsid w:val="007571A7"/>
    <w:rsid w:val="007578AE"/>
    <w:rsid w:val="00757C5F"/>
    <w:rsid w:val="00760E03"/>
    <w:rsid w:val="007628C2"/>
    <w:rsid w:val="00763A7E"/>
    <w:rsid w:val="00763B1A"/>
    <w:rsid w:val="0076581F"/>
    <w:rsid w:val="007665DE"/>
    <w:rsid w:val="00767310"/>
    <w:rsid w:val="007700CB"/>
    <w:rsid w:val="00770540"/>
    <w:rsid w:val="0077275A"/>
    <w:rsid w:val="0077385E"/>
    <w:rsid w:val="00774101"/>
    <w:rsid w:val="007746FE"/>
    <w:rsid w:val="00774768"/>
    <w:rsid w:val="00776A98"/>
    <w:rsid w:val="00777889"/>
    <w:rsid w:val="00777B04"/>
    <w:rsid w:val="00777D9D"/>
    <w:rsid w:val="007806B7"/>
    <w:rsid w:val="007810EA"/>
    <w:rsid w:val="00781485"/>
    <w:rsid w:val="00781B85"/>
    <w:rsid w:val="00782316"/>
    <w:rsid w:val="00783D56"/>
    <w:rsid w:val="007841C6"/>
    <w:rsid w:val="0078454A"/>
    <w:rsid w:val="00785387"/>
    <w:rsid w:val="00786507"/>
    <w:rsid w:val="0079025F"/>
    <w:rsid w:val="007936D4"/>
    <w:rsid w:val="00795053"/>
    <w:rsid w:val="007956D3"/>
    <w:rsid w:val="00797939"/>
    <w:rsid w:val="007A0255"/>
    <w:rsid w:val="007A0695"/>
    <w:rsid w:val="007A122A"/>
    <w:rsid w:val="007A16EB"/>
    <w:rsid w:val="007A1D88"/>
    <w:rsid w:val="007A2BE7"/>
    <w:rsid w:val="007A35D7"/>
    <w:rsid w:val="007A3A18"/>
    <w:rsid w:val="007A40A2"/>
    <w:rsid w:val="007A4C18"/>
    <w:rsid w:val="007A54B5"/>
    <w:rsid w:val="007A5857"/>
    <w:rsid w:val="007A7531"/>
    <w:rsid w:val="007B12AB"/>
    <w:rsid w:val="007B452F"/>
    <w:rsid w:val="007B479B"/>
    <w:rsid w:val="007B589A"/>
    <w:rsid w:val="007B5AC3"/>
    <w:rsid w:val="007B7851"/>
    <w:rsid w:val="007C1126"/>
    <w:rsid w:val="007C313C"/>
    <w:rsid w:val="007C40A7"/>
    <w:rsid w:val="007C53FE"/>
    <w:rsid w:val="007C58FB"/>
    <w:rsid w:val="007C5EC1"/>
    <w:rsid w:val="007C6226"/>
    <w:rsid w:val="007C6836"/>
    <w:rsid w:val="007D0184"/>
    <w:rsid w:val="007D37BB"/>
    <w:rsid w:val="007D4B80"/>
    <w:rsid w:val="007D5DC6"/>
    <w:rsid w:val="007D6C1A"/>
    <w:rsid w:val="007E15C8"/>
    <w:rsid w:val="007E1EB1"/>
    <w:rsid w:val="007E268D"/>
    <w:rsid w:val="007E3419"/>
    <w:rsid w:val="007E520E"/>
    <w:rsid w:val="007E5E68"/>
    <w:rsid w:val="007E6DF6"/>
    <w:rsid w:val="007E6EE3"/>
    <w:rsid w:val="007E7436"/>
    <w:rsid w:val="007E7AA4"/>
    <w:rsid w:val="007F102C"/>
    <w:rsid w:val="007F5066"/>
    <w:rsid w:val="007F680E"/>
    <w:rsid w:val="007F6964"/>
    <w:rsid w:val="007F6BE2"/>
    <w:rsid w:val="00800AC8"/>
    <w:rsid w:val="00804981"/>
    <w:rsid w:val="00805625"/>
    <w:rsid w:val="00806E74"/>
    <w:rsid w:val="00807BAC"/>
    <w:rsid w:val="008121DC"/>
    <w:rsid w:val="00812665"/>
    <w:rsid w:val="0081329A"/>
    <w:rsid w:val="0081381D"/>
    <w:rsid w:val="008143A8"/>
    <w:rsid w:val="00814752"/>
    <w:rsid w:val="008155BE"/>
    <w:rsid w:val="00815FA9"/>
    <w:rsid w:val="00816262"/>
    <w:rsid w:val="00817067"/>
    <w:rsid w:val="008175C7"/>
    <w:rsid w:val="00817862"/>
    <w:rsid w:val="00817909"/>
    <w:rsid w:val="008207B2"/>
    <w:rsid w:val="00820896"/>
    <w:rsid w:val="00822D1D"/>
    <w:rsid w:val="00824041"/>
    <w:rsid w:val="00824376"/>
    <w:rsid w:val="00824631"/>
    <w:rsid w:val="00826350"/>
    <w:rsid w:val="008273C0"/>
    <w:rsid w:val="00830CDB"/>
    <w:rsid w:val="0083391D"/>
    <w:rsid w:val="00835A65"/>
    <w:rsid w:val="00836827"/>
    <w:rsid w:val="00837570"/>
    <w:rsid w:val="00837B21"/>
    <w:rsid w:val="00842AA9"/>
    <w:rsid w:val="0084323F"/>
    <w:rsid w:val="008434A7"/>
    <w:rsid w:val="00843979"/>
    <w:rsid w:val="00843AC7"/>
    <w:rsid w:val="00843E9A"/>
    <w:rsid w:val="0084428F"/>
    <w:rsid w:val="00845CB5"/>
    <w:rsid w:val="00845FA8"/>
    <w:rsid w:val="00851062"/>
    <w:rsid w:val="00852537"/>
    <w:rsid w:val="0085299E"/>
    <w:rsid w:val="00853586"/>
    <w:rsid w:val="008569A8"/>
    <w:rsid w:val="00856C58"/>
    <w:rsid w:val="00857805"/>
    <w:rsid w:val="00857BC3"/>
    <w:rsid w:val="00860141"/>
    <w:rsid w:val="00860145"/>
    <w:rsid w:val="00860619"/>
    <w:rsid w:val="00860DE6"/>
    <w:rsid w:val="00861BF6"/>
    <w:rsid w:val="00863CF6"/>
    <w:rsid w:val="00863F02"/>
    <w:rsid w:val="00865435"/>
    <w:rsid w:val="00865B24"/>
    <w:rsid w:val="00865BD7"/>
    <w:rsid w:val="00865C76"/>
    <w:rsid w:val="00871FF5"/>
    <w:rsid w:val="008720BF"/>
    <w:rsid w:val="00872ED9"/>
    <w:rsid w:val="00873DCE"/>
    <w:rsid w:val="0087608F"/>
    <w:rsid w:val="00881C45"/>
    <w:rsid w:val="00882DC2"/>
    <w:rsid w:val="00882F81"/>
    <w:rsid w:val="008862A0"/>
    <w:rsid w:val="00886F94"/>
    <w:rsid w:val="00893318"/>
    <w:rsid w:val="0089396F"/>
    <w:rsid w:val="00893EDE"/>
    <w:rsid w:val="00896D6A"/>
    <w:rsid w:val="0089762E"/>
    <w:rsid w:val="008976EC"/>
    <w:rsid w:val="008A5CD5"/>
    <w:rsid w:val="008B1506"/>
    <w:rsid w:val="008B2680"/>
    <w:rsid w:val="008B277F"/>
    <w:rsid w:val="008B41E1"/>
    <w:rsid w:val="008B51B0"/>
    <w:rsid w:val="008B5536"/>
    <w:rsid w:val="008B6ECB"/>
    <w:rsid w:val="008B73DC"/>
    <w:rsid w:val="008C145A"/>
    <w:rsid w:val="008C17D5"/>
    <w:rsid w:val="008C2264"/>
    <w:rsid w:val="008C3804"/>
    <w:rsid w:val="008C4126"/>
    <w:rsid w:val="008C4909"/>
    <w:rsid w:val="008C5805"/>
    <w:rsid w:val="008C600A"/>
    <w:rsid w:val="008D071D"/>
    <w:rsid w:val="008D0A67"/>
    <w:rsid w:val="008D285B"/>
    <w:rsid w:val="008D3942"/>
    <w:rsid w:val="008D49FC"/>
    <w:rsid w:val="008D6DE8"/>
    <w:rsid w:val="008D7658"/>
    <w:rsid w:val="008D7AF0"/>
    <w:rsid w:val="008E01D6"/>
    <w:rsid w:val="008E0D00"/>
    <w:rsid w:val="008E153B"/>
    <w:rsid w:val="008E1932"/>
    <w:rsid w:val="008E3215"/>
    <w:rsid w:val="008E35AE"/>
    <w:rsid w:val="008E3859"/>
    <w:rsid w:val="008F3155"/>
    <w:rsid w:val="008F5587"/>
    <w:rsid w:val="008F72C2"/>
    <w:rsid w:val="008F763E"/>
    <w:rsid w:val="008F7F72"/>
    <w:rsid w:val="0090147D"/>
    <w:rsid w:val="009022C8"/>
    <w:rsid w:val="00902DDE"/>
    <w:rsid w:val="00903CD6"/>
    <w:rsid w:val="00904754"/>
    <w:rsid w:val="009063C5"/>
    <w:rsid w:val="00906896"/>
    <w:rsid w:val="00906B3A"/>
    <w:rsid w:val="0090776A"/>
    <w:rsid w:val="00910688"/>
    <w:rsid w:val="009116C6"/>
    <w:rsid w:val="0091180E"/>
    <w:rsid w:val="00911E45"/>
    <w:rsid w:val="00912E69"/>
    <w:rsid w:val="0091353A"/>
    <w:rsid w:val="009141E7"/>
    <w:rsid w:val="0091422B"/>
    <w:rsid w:val="00915076"/>
    <w:rsid w:val="009153C9"/>
    <w:rsid w:val="00916494"/>
    <w:rsid w:val="0091795A"/>
    <w:rsid w:val="009206BB"/>
    <w:rsid w:val="009207B5"/>
    <w:rsid w:val="00921D55"/>
    <w:rsid w:val="00922C57"/>
    <w:rsid w:val="0092435E"/>
    <w:rsid w:val="00924D60"/>
    <w:rsid w:val="009277A4"/>
    <w:rsid w:val="009278DD"/>
    <w:rsid w:val="00927E11"/>
    <w:rsid w:val="00933CA2"/>
    <w:rsid w:val="00934638"/>
    <w:rsid w:val="009352E8"/>
    <w:rsid w:val="00935AA1"/>
    <w:rsid w:val="009365A6"/>
    <w:rsid w:val="0094069F"/>
    <w:rsid w:val="00941C0C"/>
    <w:rsid w:val="00942A59"/>
    <w:rsid w:val="0094301C"/>
    <w:rsid w:val="00943E2E"/>
    <w:rsid w:val="009454C6"/>
    <w:rsid w:val="009454E0"/>
    <w:rsid w:val="0094616C"/>
    <w:rsid w:val="0095015D"/>
    <w:rsid w:val="00950A55"/>
    <w:rsid w:val="00951164"/>
    <w:rsid w:val="009528F1"/>
    <w:rsid w:val="00952FD2"/>
    <w:rsid w:val="009534B1"/>
    <w:rsid w:val="00953758"/>
    <w:rsid w:val="00953B4D"/>
    <w:rsid w:val="009564A6"/>
    <w:rsid w:val="00960852"/>
    <w:rsid w:val="009638C3"/>
    <w:rsid w:val="00963AB8"/>
    <w:rsid w:val="00964846"/>
    <w:rsid w:val="009652B0"/>
    <w:rsid w:val="009652BC"/>
    <w:rsid w:val="00965F17"/>
    <w:rsid w:val="0096618D"/>
    <w:rsid w:val="0097012E"/>
    <w:rsid w:val="00971198"/>
    <w:rsid w:val="0097161D"/>
    <w:rsid w:val="00971CCF"/>
    <w:rsid w:val="00973187"/>
    <w:rsid w:val="009734FE"/>
    <w:rsid w:val="00973A12"/>
    <w:rsid w:val="00974940"/>
    <w:rsid w:val="00974A5B"/>
    <w:rsid w:val="00975941"/>
    <w:rsid w:val="00977350"/>
    <w:rsid w:val="00980A65"/>
    <w:rsid w:val="00980E4D"/>
    <w:rsid w:val="00981ECD"/>
    <w:rsid w:val="009827B9"/>
    <w:rsid w:val="00982B60"/>
    <w:rsid w:val="00983249"/>
    <w:rsid w:val="00983B5C"/>
    <w:rsid w:val="00983F14"/>
    <w:rsid w:val="009848D9"/>
    <w:rsid w:val="009849A7"/>
    <w:rsid w:val="0098534B"/>
    <w:rsid w:val="00986949"/>
    <w:rsid w:val="00990217"/>
    <w:rsid w:val="00991F0D"/>
    <w:rsid w:val="00993D38"/>
    <w:rsid w:val="0099460C"/>
    <w:rsid w:val="009958F4"/>
    <w:rsid w:val="009963A1"/>
    <w:rsid w:val="00997FD1"/>
    <w:rsid w:val="009A201D"/>
    <w:rsid w:val="009A25C8"/>
    <w:rsid w:val="009A3CE9"/>
    <w:rsid w:val="009A47EF"/>
    <w:rsid w:val="009A5738"/>
    <w:rsid w:val="009B22F1"/>
    <w:rsid w:val="009B3F74"/>
    <w:rsid w:val="009B43AF"/>
    <w:rsid w:val="009B4898"/>
    <w:rsid w:val="009B4EC3"/>
    <w:rsid w:val="009B5643"/>
    <w:rsid w:val="009B681D"/>
    <w:rsid w:val="009B71AA"/>
    <w:rsid w:val="009B741C"/>
    <w:rsid w:val="009C1B58"/>
    <w:rsid w:val="009C26D7"/>
    <w:rsid w:val="009C276C"/>
    <w:rsid w:val="009C287E"/>
    <w:rsid w:val="009C4570"/>
    <w:rsid w:val="009C5223"/>
    <w:rsid w:val="009C6FC4"/>
    <w:rsid w:val="009D23AF"/>
    <w:rsid w:val="009D390E"/>
    <w:rsid w:val="009D3EE0"/>
    <w:rsid w:val="009D69AD"/>
    <w:rsid w:val="009E1245"/>
    <w:rsid w:val="009E2EF6"/>
    <w:rsid w:val="009E30B1"/>
    <w:rsid w:val="009E379E"/>
    <w:rsid w:val="009E39CB"/>
    <w:rsid w:val="009E4B83"/>
    <w:rsid w:val="009E5E2E"/>
    <w:rsid w:val="009E609B"/>
    <w:rsid w:val="009E62C4"/>
    <w:rsid w:val="009E6373"/>
    <w:rsid w:val="009F0835"/>
    <w:rsid w:val="009F151C"/>
    <w:rsid w:val="009F770D"/>
    <w:rsid w:val="00A007EA"/>
    <w:rsid w:val="00A00B0F"/>
    <w:rsid w:val="00A00E65"/>
    <w:rsid w:val="00A01C3F"/>
    <w:rsid w:val="00A01CDC"/>
    <w:rsid w:val="00A023BA"/>
    <w:rsid w:val="00A0296D"/>
    <w:rsid w:val="00A03D06"/>
    <w:rsid w:val="00A048FF"/>
    <w:rsid w:val="00A04C5C"/>
    <w:rsid w:val="00A05BE6"/>
    <w:rsid w:val="00A05EE4"/>
    <w:rsid w:val="00A07AF7"/>
    <w:rsid w:val="00A115F0"/>
    <w:rsid w:val="00A12B75"/>
    <w:rsid w:val="00A154AA"/>
    <w:rsid w:val="00A15643"/>
    <w:rsid w:val="00A16B45"/>
    <w:rsid w:val="00A16D7B"/>
    <w:rsid w:val="00A178B9"/>
    <w:rsid w:val="00A20698"/>
    <w:rsid w:val="00A20919"/>
    <w:rsid w:val="00A20CE6"/>
    <w:rsid w:val="00A213D1"/>
    <w:rsid w:val="00A254A6"/>
    <w:rsid w:val="00A25538"/>
    <w:rsid w:val="00A267E3"/>
    <w:rsid w:val="00A33DAB"/>
    <w:rsid w:val="00A353C1"/>
    <w:rsid w:val="00A3568E"/>
    <w:rsid w:val="00A36A4E"/>
    <w:rsid w:val="00A41A8B"/>
    <w:rsid w:val="00A42DAF"/>
    <w:rsid w:val="00A456CE"/>
    <w:rsid w:val="00A45EB1"/>
    <w:rsid w:val="00A472B3"/>
    <w:rsid w:val="00A47AEC"/>
    <w:rsid w:val="00A509F6"/>
    <w:rsid w:val="00A51492"/>
    <w:rsid w:val="00A529F2"/>
    <w:rsid w:val="00A52AA6"/>
    <w:rsid w:val="00A52B10"/>
    <w:rsid w:val="00A536AA"/>
    <w:rsid w:val="00A53FF4"/>
    <w:rsid w:val="00A565B3"/>
    <w:rsid w:val="00A60A10"/>
    <w:rsid w:val="00A6154E"/>
    <w:rsid w:val="00A6292A"/>
    <w:rsid w:val="00A63CDA"/>
    <w:rsid w:val="00A644D9"/>
    <w:rsid w:val="00A6574F"/>
    <w:rsid w:val="00A67B28"/>
    <w:rsid w:val="00A702E7"/>
    <w:rsid w:val="00A70BED"/>
    <w:rsid w:val="00A70F7D"/>
    <w:rsid w:val="00A722F2"/>
    <w:rsid w:val="00A72E2B"/>
    <w:rsid w:val="00A740F1"/>
    <w:rsid w:val="00A74BF1"/>
    <w:rsid w:val="00A74C54"/>
    <w:rsid w:val="00A74ED7"/>
    <w:rsid w:val="00A75580"/>
    <w:rsid w:val="00A75920"/>
    <w:rsid w:val="00A76A30"/>
    <w:rsid w:val="00A80B76"/>
    <w:rsid w:val="00A81DB4"/>
    <w:rsid w:val="00A827F3"/>
    <w:rsid w:val="00A83C9D"/>
    <w:rsid w:val="00A843D3"/>
    <w:rsid w:val="00A845DE"/>
    <w:rsid w:val="00A86204"/>
    <w:rsid w:val="00A87A41"/>
    <w:rsid w:val="00A87A7A"/>
    <w:rsid w:val="00A90050"/>
    <w:rsid w:val="00A93636"/>
    <w:rsid w:val="00A941A0"/>
    <w:rsid w:val="00A94AC6"/>
    <w:rsid w:val="00A97100"/>
    <w:rsid w:val="00AA0E33"/>
    <w:rsid w:val="00AA15FA"/>
    <w:rsid w:val="00AA5765"/>
    <w:rsid w:val="00AA5C52"/>
    <w:rsid w:val="00AA6B75"/>
    <w:rsid w:val="00AA6E5B"/>
    <w:rsid w:val="00AB02B6"/>
    <w:rsid w:val="00AB0B4B"/>
    <w:rsid w:val="00AB20AC"/>
    <w:rsid w:val="00AB33EF"/>
    <w:rsid w:val="00AB5C14"/>
    <w:rsid w:val="00AB639E"/>
    <w:rsid w:val="00AB676B"/>
    <w:rsid w:val="00AB7A04"/>
    <w:rsid w:val="00AC0032"/>
    <w:rsid w:val="00AC0FDE"/>
    <w:rsid w:val="00AC188A"/>
    <w:rsid w:val="00AC1BB8"/>
    <w:rsid w:val="00AC22F0"/>
    <w:rsid w:val="00AC2F58"/>
    <w:rsid w:val="00AC4C8E"/>
    <w:rsid w:val="00AC6D4D"/>
    <w:rsid w:val="00AC772C"/>
    <w:rsid w:val="00AD194F"/>
    <w:rsid w:val="00AD2C90"/>
    <w:rsid w:val="00AD36AF"/>
    <w:rsid w:val="00AD3DF3"/>
    <w:rsid w:val="00AD4F12"/>
    <w:rsid w:val="00AD4F29"/>
    <w:rsid w:val="00AD67DD"/>
    <w:rsid w:val="00AE02F4"/>
    <w:rsid w:val="00AE2F02"/>
    <w:rsid w:val="00AE43B9"/>
    <w:rsid w:val="00AE6116"/>
    <w:rsid w:val="00AE6C14"/>
    <w:rsid w:val="00AE6E62"/>
    <w:rsid w:val="00AF0B43"/>
    <w:rsid w:val="00AF281D"/>
    <w:rsid w:val="00AF36A7"/>
    <w:rsid w:val="00AF4430"/>
    <w:rsid w:val="00AF50A0"/>
    <w:rsid w:val="00AF53FF"/>
    <w:rsid w:val="00AF5E11"/>
    <w:rsid w:val="00AF730E"/>
    <w:rsid w:val="00AF7D35"/>
    <w:rsid w:val="00AF7F30"/>
    <w:rsid w:val="00B028EA"/>
    <w:rsid w:val="00B04660"/>
    <w:rsid w:val="00B04BCC"/>
    <w:rsid w:val="00B04F48"/>
    <w:rsid w:val="00B060F8"/>
    <w:rsid w:val="00B109A7"/>
    <w:rsid w:val="00B11E8E"/>
    <w:rsid w:val="00B12551"/>
    <w:rsid w:val="00B12F3E"/>
    <w:rsid w:val="00B142AD"/>
    <w:rsid w:val="00B14B9D"/>
    <w:rsid w:val="00B14BBA"/>
    <w:rsid w:val="00B16F1D"/>
    <w:rsid w:val="00B17D2F"/>
    <w:rsid w:val="00B21862"/>
    <w:rsid w:val="00B22FBB"/>
    <w:rsid w:val="00B25955"/>
    <w:rsid w:val="00B25A3F"/>
    <w:rsid w:val="00B26C3E"/>
    <w:rsid w:val="00B30FCC"/>
    <w:rsid w:val="00B311A9"/>
    <w:rsid w:val="00B35377"/>
    <w:rsid w:val="00B35C69"/>
    <w:rsid w:val="00B36804"/>
    <w:rsid w:val="00B37182"/>
    <w:rsid w:val="00B41D24"/>
    <w:rsid w:val="00B455C6"/>
    <w:rsid w:val="00B45AFA"/>
    <w:rsid w:val="00B46578"/>
    <w:rsid w:val="00B46AC3"/>
    <w:rsid w:val="00B520E7"/>
    <w:rsid w:val="00B53959"/>
    <w:rsid w:val="00B54F15"/>
    <w:rsid w:val="00B55175"/>
    <w:rsid w:val="00B55769"/>
    <w:rsid w:val="00B604EC"/>
    <w:rsid w:val="00B61A8F"/>
    <w:rsid w:val="00B646D5"/>
    <w:rsid w:val="00B65348"/>
    <w:rsid w:val="00B6568D"/>
    <w:rsid w:val="00B67000"/>
    <w:rsid w:val="00B67BC1"/>
    <w:rsid w:val="00B710D0"/>
    <w:rsid w:val="00B71453"/>
    <w:rsid w:val="00B73A68"/>
    <w:rsid w:val="00B73FD6"/>
    <w:rsid w:val="00B74132"/>
    <w:rsid w:val="00B7419E"/>
    <w:rsid w:val="00B7574D"/>
    <w:rsid w:val="00B76404"/>
    <w:rsid w:val="00B7689A"/>
    <w:rsid w:val="00B80A23"/>
    <w:rsid w:val="00B81CF7"/>
    <w:rsid w:val="00B82909"/>
    <w:rsid w:val="00B829B7"/>
    <w:rsid w:val="00B8311C"/>
    <w:rsid w:val="00B849F9"/>
    <w:rsid w:val="00B85278"/>
    <w:rsid w:val="00B86768"/>
    <w:rsid w:val="00B87496"/>
    <w:rsid w:val="00B91966"/>
    <w:rsid w:val="00B93458"/>
    <w:rsid w:val="00B93B59"/>
    <w:rsid w:val="00B93BC6"/>
    <w:rsid w:val="00B94493"/>
    <w:rsid w:val="00B94B3D"/>
    <w:rsid w:val="00B9614B"/>
    <w:rsid w:val="00B969E2"/>
    <w:rsid w:val="00B96CA6"/>
    <w:rsid w:val="00B9722B"/>
    <w:rsid w:val="00B974A5"/>
    <w:rsid w:val="00B97B7E"/>
    <w:rsid w:val="00B97F5E"/>
    <w:rsid w:val="00BA0B98"/>
    <w:rsid w:val="00BA1213"/>
    <w:rsid w:val="00BA2738"/>
    <w:rsid w:val="00BA2BAD"/>
    <w:rsid w:val="00BA3804"/>
    <w:rsid w:val="00BA3F40"/>
    <w:rsid w:val="00BA4A15"/>
    <w:rsid w:val="00BA60EF"/>
    <w:rsid w:val="00BA7559"/>
    <w:rsid w:val="00BB0763"/>
    <w:rsid w:val="00BB171F"/>
    <w:rsid w:val="00BB2AC2"/>
    <w:rsid w:val="00BB3BA9"/>
    <w:rsid w:val="00BB714F"/>
    <w:rsid w:val="00BC00F3"/>
    <w:rsid w:val="00BC0329"/>
    <w:rsid w:val="00BC0603"/>
    <w:rsid w:val="00BC1F49"/>
    <w:rsid w:val="00BC278A"/>
    <w:rsid w:val="00BC2A76"/>
    <w:rsid w:val="00BC455B"/>
    <w:rsid w:val="00BC5101"/>
    <w:rsid w:val="00BC5EC8"/>
    <w:rsid w:val="00BC6683"/>
    <w:rsid w:val="00BC7F9C"/>
    <w:rsid w:val="00BD042D"/>
    <w:rsid w:val="00BD0500"/>
    <w:rsid w:val="00BD07D0"/>
    <w:rsid w:val="00BD1CD1"/>
    <w:rsid w:val="00BD22D6"/>
    <w:rsid w:val="00BD2DD4"/>
    <w:rsid w:val="00BD4DB4"/>
    <w:rsid w:val="00BD4E4D"/>
    <w:rsid w:val="00BD608E"/>
    <w:rsid w:val="00BD79DA"/>
    <w:rsid w:val="00BE0185"/>
    <w:rsid w:val="00BE079E"/>
    <w:rsid w:val="00BE1E61"/>
    <w:rsid w:val="00BE2236"/>
    <w:rsid w:val="00BE3BFD"/>
    <w:rsid w:val="00BE686C"/>
    <w:rsid w:val="00BE6CA3"/>
    <w:rsid w:val="00BE6DA2"/>
    <w:rsid w:val="00BE7DE0"/>
    <w:rsid w:val="00BF03F7"/>
    <w:rsid w:val="00BF2331"/>
    <w:rsid w:val="00BF3C24"/>
    <w:rsid w:val="00BF49C4"/>
    <w:rsid w:val="00BF51C6"/>
    <w:rsid w:val="00BF51F3"/>
    <w:rsid w:val="00BF5AB5"/>
    <w:rsid w:val="00BF67AD"/>
    <w:rsid w:val="00BF6A5E"/>
    <w:rsid w:val="00BF6AB7"/>
    <w:rsid w:val="00BF6B86"/>
    <w:rsid w:val="00BF6E14"/>
    <w:rsid w:val="00BF7A88"/>
    <w:rsid w:val="00BF7BEC"/>
    <w:rsid w:val="00C023F4"/>
    <w:rsid w:val="00C03616"/>
    <w:rsid w:val="00C05D59"/>
    <w:rsid w:val="00C0636E"/>
    <w:rsid w:val="00C06A17"/>
    <w:rsid w:val="00C06AB0"/>
    <w:rsid w:val="00C079E2"/>
    <w:rsid w:val="00C1029E"/>
    <w:rsid w:val="00C10A54"/>
    <w:rsid w:val="00C10FBA"/>
    <w:rsid w:val="00C12E42"/>
    <w:rsid w:val="00C1664C"/>
    <w:rsid w:val="00C2280C"/>
    <w:rsid w:val="00C240F3"/>
    <w:rsid w:val="00C25401"/>
    <w:rsid w:val="00C25BB5"/>
    <w:rsid w:val="00C25F9A"/>
    <w:rsid w:val="00C26C21"/>
    <w:rsid w:val="00C270AA"/>
    <w:rsid w:val="00C2768B"/>
    <w:rsid w:val="00C339B5"/>
    <w:rsid w:val="00C33D1E"/>
    <w:rsid w:val="00C33F37"/>
    <w:rsid w:val="00C34BBF"/>
    <w:rsid w:val="00C36418"/>
    <w:rsid w:val="00C37220"/>
    <w:rsid w:val="00C4033E"/>
    <w:rsid w:val="00C4502D"/>
    <w:rsid w:val="00C46012"/>
    <w:rsid w:val="00C460C3"/>
    <w:rsid w:val="00C46744"/>
    <w:rsid w:val="00C469E0"/>
    <w:rsid w:val="00C46D73"/>
    <w:rsid w:val="00C47941"/>
    <w:rsid w:val="00C533A3"/>
    <w:rsid w:val="00C54091"/>
    <w:rsid w:val="00C54935"/>
    <w:rsid w:val="00C55014"/>
    <w:rsid w:val="00C55A72"/>
    <w:rsid w:val="00C55DA5"/>
    <w:rsid w:val="00C56881"/>
    <w:rsid w:val="00C600E6"/>
    <w:rsid w:val="00C63A74"/>
    <w:rsid w:val="00C63F99"/>
    <w:rsid w:val="00C64C91"/>
    <w:rsid w:val="00C6638F"/>
    <w:rsid w:val="00C664A5"/>
    <w:rsid w:val="00C75EED"/>
    <w:rsid w:val="00C76682"/>
    <w:rsid w:val="00C76E1C"/>
    <w:rsid w:val="00C77C38"/>
    <w:rsid w:val="00C80087"/>
    <w:rsid w:val="00C806F2"/>
    <w:rsid w:val="00C83A54"/>
    <w:rsid w:val="00C8568E"/>
    <w:rsid w:val="00C85E27"/>
    <w:rsid w:val="00C86138"/>
    <w:rsid w:val="00C87D69"/>
    <w:rsid w:val="00C903AE"/>
    <w:rsid w:val="00C91487"/>
    <w:rsid w:val="00C92015"/>
    <w:rsid w:val="00C92826"/>
    <w:rsid w:val="00C92AB1"/>
    <w:rsid w:val="00C96843"/>
    <w:rsid w:val="00C977AB"/>
    <w:rsid w:val="00CA0E46"/>
    <w:rsid w:val="00CA2F1A"/>
    <w:rsid w:val="00CA3DA6"/>
    <w:rsid w:val="00CA45A4"/>
    <w:rsid w:val="00CA61CD"/>
    <w:rsid w:val="00CA63A4"/>
    <w:rsid w:val="00CB040D"/>
    <w:rsid w:val="00CB3ADC"/>
    <w:rsid w:val="00CB4198"/>
    <w:rsid w:val="00CB459B"/>
    <w:rsid w:val="00CB474A"/>
    <w:rsid w:val="00CB52BC"/>
    <w:rsid w:val="00CB6193"/>
    <w:rsid w:val="00CB67A0"/>
    <w:rsid w:val="00CB6FB3"/>
    <w:rsid w:val="00CC0191"/>
    <w:rsid w:val="00CC101A"/>
    <w:rsid w:val="00CC1904"/>
    <w:rsid w:val="00CC5450"/>
    <w:rsid w:val="00CC670B"/>
    <w:rsid w:val="00CD0D43"/>
    <w:rsid w:val="00CD1C24"/>
    <w:rsid w:val="00CD2613"/>
    <w:rsid w:val="00CD2702"/>
    <w:rsid w:val="00CD3660"/>
    <w:rsid w:val="00CD4053"/>
    <w:rsid w:val="00CD477C"/>
    <w:rsid w:val="00CD4FEE"/>
    <w:rsid w:val="00CD6403"/>
    <w:rsid w:val="00CD657E"/>
    <w:rsid w:val="00CE0866"/>
    <w:rsid w:val="00CE134E"/>
    <w:rsid w:val="00CE38D4"/>
    <w:rsid w:val="00CE466D"/>
    <w:rsid w:val="00CE61ED"/>
    <w:rsid w:val="00CE7833"/>
    <w:rsid w:val="00CF15EF"/>
    <w:rsid w:val="00CF2F0F"/>
    <w:rsid w:val="00CF363E"/>
    <w:rsid w:val="00CF37EC"/>
    <w:rsid w:val="00CF63E4"/>
    <w:rsid w:val="00CF66BB"/>
    <w:rsid w:val="00CF78DB"/>
    <w:rsid w:val="00D01180"/>
    <w:rsid w:val="00D023BB"/>
    <w:rsid w:val="00D02A81"/>
    <w:rsid w:val="00D0419B"/>
    <w:rsid w:val="00D048D3"/>
    <w:rsid w:val="00D125E6"/>
    <w:rsid w:val="00D1296E"/>
    <w:rsid w:val="00D13B6C"/>
    <w:rsid w:val="00D14996"/>
    <w:rsid w:val="00D20264"/>
    <w:rsid w:val="00D20852"/>
    <w:rsid w:val="00D21B65"/>
    <w:rsid w:val="00D22D0B"/>
    <w:rsid w:val="00D230B5"/>
    <w:rsid w:val="00D23108"/>
    <w:rsid w:val="00D239AE"/>
    <w:rsid w:val="00D24907"/>
    <w:rsid w:val="00D24E20"/>
    <w:rsid w:val="00D251BC"/>
    <w:rsid w:val="00D25353"/>
    <w:rsid w:val="00D2689C"/>
    <w:rsid w:val="00D26BB0"/>
    <w:rsid w:val="00D26F92"/>
    <w:rsid w:val="00D27CDA"/>
    <w:rsid w:val="00D30F7C"/>
    <w:rsid w:val="00D33AF0"/>
    <w:rsid w:val="00D35759"/>
    <w:rsid w:val="00D35C02"/>
    <w:rsid w:val="00D36188"/>
    <w:rsid w:val="00D37136"/>
    <w:rsid w:val="00D411D6"/>
    <w:rsid w:val="00D42952"/>
    <w:rsid w:val="00D50B70"/>
    <w:rsid w:val="00D50BB9"/>
    <w:rsid w:val="00D528A3"/>
    <w:rsid w:val="00D540C2"/>
    <w:rsid w:val="00D545D7"/>
    <w:rsid w:val="00D55159"/>
    <w:rsid w:val="00D5695C"/>
    <w:rsid w:val="00D6002D"/>
    <w:rsid w:val="00D60594"/>
    <w:rsid w:val="00D63182"/>
    <w:rsid w:val="00D6349D"/>
    <w:rsid w:val="00D64A1B"/>
    <w:rsid w:val="00D654D0"/>
    <w:rsid w:val="00D672E7"/>
    <w:rsid w:val="00D6784E"/>
    <w:rsid w:val="00D67EE1"/>
    <w:rsid w:val="00D70149"/>
    <w:rsid w:val="00D71378"/>
    <w:rsid w:val="00D746B1"/>
    <w:rsid w:val="00D76E29"/>
    <w:rsid w:val="00D80A18"/>
    <w:rsid w:val="00D82E68"/>
    <w:rsid w:val="00D82FE1"/>
    <w:rsid w:val="00D85635"/>
    <w:rsid w:val="00D865D2"/>
    <w:rsid w:val="00D87C6F"/>
    <w:rsid w:val="00D90296"/>
    <w:rsid w:val="00D91981"/>
    <w:rsid w:val="00D9209E"/>
    <w:rsid w:val="00D94CE2"/>
    <w:rsid w:val="00D95C75"/>
    <w:rsid w:val="00D95CC0"/>
    <w:rsid w:val="00D95EAB"/>
    <w:rsid w:val="00D96035"/>
    <w:rsid w:val="00DA0080"/>
    <w:rsid w:val="00DA02DF"/>
    <w:rsid w:val="00DA0B12"/>
    <w:rsid w:val="00DA0F1B"/>
    <w:rsid w:val="00DA17BB"/>
    <w:rsid w:val="00DA1CB1"/>
    <w:rsid w:val="00DA1D7C"/>
    <w:rsid w:val="00DA4822"/>
    <w:rsid w:val="00DA5946"/>
    <w:rsid w:val="00DA7902"/>
    <w:rsid w:val="00DB1E6F"/>
    <w:rsid w:val="00DB3883"/>
    <w:rsid w:val="00DB3BA2"/>
    <w:rsid w:val="00DB419D"/>
    <w:rsid w:val="00DB4E89"/>
    <w:rsid w:val="00DB509D"/>
    <w:rsid w:val="00DB5822"/>
    <w:rsid w:val="00DB7388"/>
    <w:rsid w:val="00DC23D2"/>
    <w:rsid w:val="00DC3C35"/>
    <w:rsid w:val="00DC44C4"/>
    <w:rsid w:val="00DC4A38"/>
    <w:rsid w:val="00DC5692"/>
    <w:rsid w:val="00DC6A99"/>
    <w:rsid w:val="00DC7B9E"/>
    <w:rsid w:val="00DD2499"/>
    <w:rsid w:val="00DD2B1F"/>
    <w:rsid w:val="00DD2FB7"/>
    <w:rsid w:val="00DD5BB2"/>
    <w:rsid w:val="00DD6CC5"/>
    <w:rsid w:val="00DD6E67"/>
    <w:rsid w:val="00DE5BC1"/>
    <w:rsid w:val="00DE5F34"/>
    <w:rsid w:val="00DE6857"/>
    <w:rsid w:val="00DE7153"/>
    <w:rsid w:val="00DE7FC6"/>
    <w:rsid w:val="00DF0C0C"/>
    <w:rsid w:val="00DF1C49"/>
    <w:rsid w:val="00DF3385"/>
    <w:rsid w:val="00DF4C00"/>
    <w:rsid w:val="00DF65DB"/>
    <w:rsid w:val="00DF6DC2"/>
    <w:rsid w:val="00E00C81"/>
    <w:rsid w:val="00E022E2"/>
    <w:rsid w:val="00E03987"/>
    <w:rsid w:val="00E03BEA"/>
    <w:rsid w:val="00E03D25"/>
    <w:rsid w:val="00E06360"/>
    <w:rsid w:val="00E0771A"/>
    <w:rsid w:val="00E10A77"/>
    <w:rsid w:val="00E10E39"/>
    <w:rsid w:val="00E117A2"/>
    <w:rsid w:val="00E13502"/>
    <w:rsid w:val="00E144C9"/>
    <w:rsid w:val="00E16B47"/>
    <w:rsid w:val="00E16F53"/>
    <w:rsid w:val="00E2041E"/>
    <w:rsid w:val="00E218A7"/>
    <w:rsid w:val="00E2226F"/>
    <w:rsid w:val="00E22AA2"/>
    <w:rsid w:val="00E22C91"/>
    <w:rsid w:val="00E23DBA"/>
    <w:rsid w:val="00E27344"/>
    <w:rsid w:val="00E2739B"/>
    <w:rsid w:val="00E30AE5"/>
    <w:rsid w:val="00E326EE"/>
    <w:rsid w:val="00E32855"/>
    <w:rsid w:val="00E32C5B"/>
    <w:rsid w:val="00E32D97"/>
    <w:rsid w:val="00E345B6"/>
    <w:rsid w:val="00E35ABE"/>
    <w:rsid w:val="00E35EA0"/>
    <w:rsid w:val="00E362A6"/>
    <w:rsid w:val="00E414B7"/>
    <w:rsid w:val="00E417D5"/>
    <w:rsid w:val="00E41A59"/>
    <w:rsid w:val="00E430B5"/>
    <w:rsid w:val="00E43FB0"/>
    <w:rsid w:val="00E43FE3"/>
    <w:rsid w:val="00E441E1"/>
    <w:rsid w:val="00E44766"/>
    <w:rsid w:val="00E45D58"/>
    <w:rsid w:val="00E46407"/>
    <w:rsid w:val="00E46F24"/>
    <w:rsid w:val="00E4751B"/>
    <w:rsid w:val="00E47729"/>
    <w:rsid w:val="00E47760"/>
    <w:rsid w:val="00E50AE1"/>
    <w:rsid w:val="00E51614"/>
    <w:rsid w:val="00E51F14"/>
    <w:rsid w:val="00E52642"/>
    <w:rsid w:val="00E53730"/>
    <w:rsid w:val="00E5438A"/>
    <w:rsid w:val="00E57561"/>
    <w:rsid w:val="00E57EAF"/>
    <w:rsid w:val="00E62270"/>
    <w:rsid w:val="00E65303"/>
    <w:rsid w:val="00E700C1"/>
    <w:rsid w:val="00E7017B"/>
    <w:rsid w:val="00E7122E"/>
    <w:rsid w:val="00E71C98"/>
    <w:rsid w:val="00E71D16"/>
    <w:rsid w:val="00E73D33"/>
    <w:rsid w:val="00E74078"/>
    <w:rsid w:val="00E75011"/>
    <w:rsid w:val="00E76C1B"/>
    <w:rsid w:val="00E80FDC"/>
    <w:rsid w:val="00E83472"/>
    <w:rsid w:val="00E83FB0"/>
    <w:rsid w:val="00E84BF6"/>
    <w:rsid w:val="00E84E0B"/>
    <w:rsid w:val="00E85F6F"/>
    <w:rsid w:val="00E90832"/>
    <w:rsid w:val="00E9191E"/>
    <w:rsid w:val="00E91B06"/>
    <w:rsid w:val="00E94798"/>
    <w:rsid w:val="00E96AA1"/>
    <w:rsid w:val="00E97EEA"/>
    <w:rsid w:val="00EA24E9"/>
    <w:rsid w:val="00EA2989"/>
    <w:rsid w:val="00EA2B2B"/>
    <w:rsid w:val="00EA3B0C"/>
    <w:rsid w:val="00EA6DE8"/>
    <w:rsid w:val="00EB0A64"/>
    <w:rsid w:val="00EB10F4"/>
    <w:rsid w:val="00EB1710"/>
    <w:rsid w:val="00EB18AE"/>
    <w:rsid w:val="00EB22CD"/>
    <w:rsid w:val="00EB277F"/>
    <w:rsid w:val="00EB2EF0"/>
    <w:rsid w:val="00EB6ADD"/>
    <w:rsid w:val="00EC0401"/>
    <w:rsid w:val="00EC0BB3"/>
    <w:rsid w:val="00EC1192"/>
    <w:rsid w:val="00EC21E5"/>
    <w:rsid w:val="00EC2B24"/>
    <w:rsid w:val="00EC37FD"/>
    <w:rsid w:val="00EC7538"/>
    <w:rsid w:val="00ED06AC"/>
    <w:rsid w:val="00ED0D2F"/>
    <w:rsid w:val="00ED0EAD"/>
    <w:rsid w:val="00ED2F5E"/>
    <w:rsid w:val="00ED2FBF"/>
    <w:rsid w:val="00ED4319"/>
    <w:rsid w:val="00ED647A"/>
    <w:rsid w:val="00ED7682"/>
    <w:rsid w:val="00EE01DE"/>
    <w:rsid w:val="00EE0FCF"/>
    <w:rsid w:val="00EE10D1"/>
    <w:rsid w:val="00EE30AC"/>
    <w:rsid w:val="00EE7B2D"/>
    <w:rsid w:val="00EE7B95"/>
    <w:rsid w:val="00EF0B1B"/>
    <w:rsid w:val="00EF19C2"/>
    <w:rsid w:val="00EF4279"/>
    <w:rsid w:val="00EF61FB"/>
    <w:rsid w:val="00F024EC"/>
    <w:rsid w:val="00F0294B"/>
    <w:rsid w:val="00F03C36"/>
    <w:rsid w:val="00F05753"/>
    <w:rsid w:val="00F05758"/>
    <w:rsid w:val="00F058C7"/>
    <w:rsid w:val="00F05AEF"/>
    <w:rsid w:val="00F05B14"/>
    <w:rsid w:val="00F10E0F"/>
    <w:rsid w:val="00F114A5"/>
    <w:rsid w:val="00F1178D"/>
    <w:rsid w:val="00F12143"/>
    <w:rsid w:val="00F1285B"/>
    <w:rsid w:val="00F1378A"/>
    <w:rsid w:val="00F1494E"/>
    <w:rsid w:val="00F14A22"/>
    <w:rsid w:val="00F14E00"/>
    <w:rsid w:val="00F15133"/>
    <w:rsid w:val="00F1526D"/>
    <w:rsid w:val="00F15F56"/>
    <w:rsid w:val="00F16882"/>
    <w:rsid w:val="00F178A1"/>
    <w:rsid w:val="00F213CB"/>
    <w:rsid w:val="00F21483"/>
    <w:rsid w:val="00F21AD7"/>
    <w:rsid w:val="00F23A91"/>
    <w:rsid w:val="00F25A01"/>
    <w:rsid w:val="00F27AA9"/>
    <w:rsid w:val="00F31510"/>
    <w:rsid w:val="00F328B8"/>
    <w:rsid w:val="00F32B9E"/>
    <w:rsid w:val="00F32FEC"/>
    <w:rsid w:val="00F333F1"/>
    <w:rsid w:val="00F33D76"/>
    <w:rsid w:val="00F3418D"/>
    <w:rsid w:val="00F353C5"/>
    <w:rsid w:val="00F3543D"/>
    <w:rsid w:val="00F36456"/>
    <w:rsid w:val="00F36B58"/>
    <w:rsid w:val="00F36FC0"/>
    <w:rsid w:val="00F42564"/>
    <w:rsid w:val="00F42A4E"/>
    <w:rsid w:val="00F438E7"/>
    <w:rsid w:val="00F43F08"/>
    <w:rsid w:val="00F459F6"/>
    <w:rsid w:val="00F46179"/>
    <w:rsid w:val="00F4659E"/>
    <w:rsid w:val="00F46904"/>
    <w:rsid w:val="00F511CF"/>
    <w:rsid w:val="00F53280"/>
    <w:rsid w:val="00F54086"/>
    <w:rsid w:val="00F54261"/>
    <w:rsid w:val="00F54ECA"/>
    <w:rsid w:val="00F60272"/>
    <w:rsid w:val="00F61708"/>
    <w:rsid w:val="00F6291A"/>
    <w:rsid w:val="00F6344E"/>
    <w:rsid w:val="00F6373B"/>
    <w:rsid w:val="00F66A27"/>
    <w:rsid w:val="00F713AA"/>
    <w:rsid w:val="00F71CE4"/>
    <w:rsid w:val="00F71E65"/>
    <w:rsid w:val="00F72878"/>
    <w:rsid w:val="00F7362F"/>
    <w:rsid w:val="00F73733"/>
    <w:rsid w:val="00F7396E"/>
    <w:rsid w:val="00F73D0C"/>
    <w:rsid w:val="00F749B3"/>
    <w:rsid w:val="00F74B2D"/>
    <w:rsid w:val="00F768F3"/>
    <w:rsid w:val="00F807E0"/>
    <w:rsid w:val="00F80F38"/>
    <w:rsid w:val="00F83B23"/>
    <w:rsid w:val="00F84207"/>
    <w:rsid w:val="00F84B4E"/>
    <w:rsid w:val="00F865F1"/>
    <w:rsid w:val="00F86D54"/>
    <w:rsid w:val="00F90EDF"/>
    <w:rsid w:val="00F9138C"/>
    <w:rsid w:val="00F938C9"/>
    <w:rsid w:val="00F93E06"/>
    <w:rsid w:val="00F9495A"/>
    <w:rsid w:val="00F94D9C"/>
    <w:rsid w:val="00F95110"/>
    <w:rsid w:val="00F96690"/>
    <w:rsid w:val="00F96DE6"/>
    <w:rsid w:val="00F975EC"/>
    <w:rsid w:val="00FA02EF"/>
    <w:rsid w:val="00FA14CB"/>
    <w:rsid w:val="00FA15D6"/>
    <w:rsid w:val="00FA2420"/>
    <w:rsid w:val="00FA2F3C"/>
    <w:rsid w:val="00FA4F66"/>
    <w:rsid w:val="00FA6B25"/>
    <w:rsid w:val="00FB0543"/>
    <w:rsid w:val="00FB1B2E"/>
    <w:rsid w:val="00FB2286"/>
    <w:rsid w:val="00FB4582"/>
    <w:rsid w:val="00FB470C"/>
    <w:rsid w:val="00FB4785"/>
    <w:rsid w:val="00FB5847"/>
    <w:rsid w:val="00FC1244"/>
    <w:rsid w:val="00FC136F"/>
    <w:rsid w:val="00FC1DC6"/>
    <w:rsid w:val="00FC2A56"/>
    <w:rsid w:val="00FC2F8A"/>
    <w:rsid w:val="00FC3B4D"/>
    <w:rsid w:val="00FC40F7"/>
    <w:rsid w:val="00FC4887"/>
    <w:rsid w:val="00FC7E60"/>
    <w:rsid w:val="00FD151F"/>
    <w:rsid w:val="00FD3486"/>
    <w:rsid w:val="00FD4337"/>
    <w:rsid w:val="00FD47CF"/>
    <w:rsid w:val="00FD5AFE"/>
    <w:rsid w:val="00FD63AD"/>
    <w:rsid w:val="00FE25D3"/>
    <w:rsid w:val="00FE305E"/>
    <w:rsid w:val="00FE625F"/>
    <w:rsid w:val="00FE6E7F"/>
    <w:rsid w:val="00FE735F"/>
    <w:rsid w:val="00FF15C0"/>
    <w:rsid w:val="00FF1605"/>
    <w:rsid w:val="00FF1B5C"/>
    <w:rsid w:val="00FF1E7F"/>
    <w:rsid w:val="00FF596B"/>
    <w:rsid w:val="00FF6F7D"/>
    <w:rsid w:val="00FF7EEB"/>
    <w:rsid w:val="01661CB9"/>
    <w:rsid w:val="0176D4E1"/>
    <w:rsid w:val="02E18AA0"/>
    <w:rsid w:val="04B13CA0"/>
    <w:rsid w:val="059FBED5"/>
    <w:rsid w:val="05A098D3"/>
    <w:rsid w:val="06313388"/>
    <w:rsid w:val="06E88B81"/>
    <w:rsid w:val="0834DF60"/>
    <w:rsid w:val="090EDC0A"/>
    <w:rsid w:val="094396C0"/>
    <w:rsid w:val="0946CB6A"/>
    <w:rsid w:val="097982BC"/>
    <w:rsid w:val="0A54A063"/>
    <w:rsid w:val="0ADE742F"/>
    <w:rsid w:val="0B36F577"/>
    <w:rsid w:val="0BC511A7"/>
    <w:rsid w:val="0C5DE46F"/>
    <w:rsid w:val="0E67360F"/>
    <w:rsid w:val="0ECA3781"/>
    <w:rsid w:val="0ED5A955"/>
    <w:rsid w:val="10701C98"/>
    <w:rsid w:val="10B7114D"/>
    <w:rsid w:val="10D66096"/>
    <w:rsid w:val="1148870F"/>
    <w:rsid w:val="122BA80B"/>
    <w:rsid w:val="1419ED7D"/>
    <w:rsid w:val="14E05719"/>
    <w:rsid w:val="153DD125"/>
    <w:rsid w:val="15F2F137"/>
    <w:rsid w:val="1627769D"/>
    <w:rsid w:val="162EC808"/>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C4355D"/>
    <w:rsid w:val="2DE7322B"/>
    <w:rsid w:val="2E9F9F94"/>
    <w:rsid w:val="2EE14846"/>
    <w:rsid w:val="2F3B404F"/>
    <w:rsid w:val="2F44A5AF"/>
    <w:rsid w:val="31398FA3"/>
    <w:rsid w:val="327CF9A6"/>
    <w:rsid w:val="32B48E37"/>
    <w:rsid w:val="335CC664"/>
    <w:rsid w:val="3496D445"/>
    <w:rsid w:val="35E971D3"/>
    <w:rsid w:val="36AC610F"/>
    <w:rsid w:val="36CF1743"/>
    <w:rsid w:val="36FF8F41"/>
    <w:rsid w:val="37ADA350"/>
    <w:rsid w:val="3835CEAB"/>
    <w:rsid w:val="38907EA4"/>
    <w:rsid w:val="3B3B6A1B"/>
    <w:rsid w:val="3CEF8B6D"/>
    <w:rsid w:val="3FA7CD96"/>
    <w:rsid w:val="3FD1156A"/>
    <w:rsid w:val="40E485F2"/>
    <w:rsid w:val="41439DF7"/>
    <w:rsid w:val="414B8B7D"/>
    <w:rsid w:val="42E75BDE"/>
    <w:rsid w:val="43240110"/>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11112"/>
    <w:rsid w:val="53D81A3E"/>
    <w:rsid w:val="55149A61"/>
    <w:rsid w:val="555A82E3"/>
    <w:rsid w:val="56C70BB5"/>
    <w:rsid w:val="570FBB00"/>
    <w:rsid w:val="57AD1CA8"/>
    <w:rsid w:val="57C55A52"/>
    <w:rsid w:val="58C3FACB"/>
    <w:rsid w:val="58E76D85"/>
    <w:rsid w:val="59A37644"/>
    <w:rsid w:val="59A73647"/>
    <w:rsid w:val="5A812ACC"/>
    <w:rsid w:val="5B1CC70A"/>
    <w:rsid w:val="5B8AEC64"/>
    <w:rsid w:val="5CAC72A9"/>
    <w:rsid w:val="614D799B"/>
    <w:rsid w:val="63D6A9E4"/>
    <w:rsid w:val="64622C22"/>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8D04DEB5-D466-4E95-A1C2-20B75360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
    <w:basedOn w:val="Normal"/>
    <w:link w:val="ListParagraphChar"/>
    <w:uiPriority w:val="99"/>
    <w:qFormat/>
    <w:rsid w:val="00BC0603"/>
    <w:p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styleId="UnresolvedMention">
    <w:name w:val="Unresolved Mention"/>
    <w:basedOn w:val="DefaultParagraphFont"/>
    <w:uiPriority w:val="99"/>
    <w:semiHidden/>
    <w:unhideWhenUsed/>
    <w:rsid w:val="007E1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nonwater.sharepoint.com/:w:/r/sites/cdms/Published%20Documents/Board%20Policy%20Framework.DOCX?d=w4f0f9bfb4cf647f9a40c42f69268686b&amp;csf=1&amp;web=1&amp;e=QBIBA4"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annonwater.sharepoint.com/:w:/r/sites/cdms/Published%20Documents/Zero%20Harm%20Policy.DOCX?d=w28a88858bc424da988df5d4ce744b530&amp;csf=1&amp;web=1&amp;e=HqISrW"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annonwater.sharepoint.com/:w:/r/sites/cdms/Published%20Documents/Hazard%20Reporting%20Procedure.DOCX?d=w904e88d68b3b409ab8920915600f1c91&amp;csf=1&amp;web=1&amp;e=AwGOrz"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Risk%20Management%20Plan.DOCX?d=w33796fbdcb554dccab223228e7f43198&amp;csf=1&amp;web=1&amp;e=8eqMe0"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3886E3A2B24356BAFF3579096EF4DA"/>
        <w:category>
          <w:name w:val="General"/>
          <w:gallery w:val="placeholder"/>
        </w:category>
        <w:types>
          <w:type w:val="bbPlcHdr"/>
        </w:types>
        <w:behaviors>
          <w:behavior w:val="content"/>
        </w:behaviors>
        <w:guid w:val="{754F63BD-9CAE-4B9D-90E6-FABC9D8D1E88}"/>
      </w:docPartPr>
      <w:docPartBody>
        <w:p w:rsidR="00000000" w:rsidRDefault="00DC784E">
          <w:pPr>
            <w:pStyle w:val="A63886E3A2B24356BAFF3579096EF4DA"/>
          </w:pPr>
          <w:r w:rsidRPr="007772BD">
            <w:rPr>
              <w:sz w:val="12"/>
              <w:szCs w:val="12"/>
            </w:rPr>
            <w:t>SS Test - Document Properties</w:t>
          </w:r>
        </w:p>
      </w:docPartBody>
    </w:docPart>
    <w:docPart>
      <w:docPartPr>
        <w:name w:val="014BC5C292BA45DB822E15B78F996C13"/>
        <w:category>
          <w:name w:val="General"/>
          <w:gallery w:val="placeholder"/>
        </w:category>
        <w:types>
          <w:type w:val="bbPlcHdr"/>
        </w:types>
        <w:behaviors>
          <w:behavior w:val="content"/>
        </w:behaviors>
        <w:guid w:val="{90915BF4-A822-4F45-82CA-2383D9D45F8D}"/>
      </w:docPartPr>
      <w:docPartBody>
        <w:p w:rsidR="00000000" w:rsidRDefault="00DC784E">
          <w:pPr>
            <w:pStyle w:val="014BC5C292BA45DB822E15B78F996C13"/>
          </w:pPr>
          <w:r w:rsidRPr="007772BD">
            <w:rPr>
              <w:sz w:val="12"/>
              <w:szCs w:val="12"/>
            </w:rPr>
            <w:t>1</w:t>
          </w:r>
        </w:p>
      </w:docPartBody>
    </w:docPart>
    <w:docPart>
      <w:docPartPr>
        <w:name w:val="87E504381AC44E98A754FF246FCF100D"/>
        <w:category>
          <w:name w:val="General"/>
          <w:gallery w:val="placeholder"/>
        </w:category>
        <w:types>
          <w:type w:val="bbPlcHdr"/>
        </w:types>
        <w:behaviors>
          <w:behavior w:val="content"/>
        </w:behaviors>
        <w:guid w:val="{F0317092-7F05-49CC-B773-F5379104BE2F}"/>
      </w:docPartPr>
      <w:docPartBody>
        <w:p w:rsidR="00000000" w:rsidRDefault="00DC784E">
          <w:pPr>
            <w:pStyle w:val="87E504381AC44E98A754FF246FCF100D"/>
          </w:pPr>
          <w:r w:rsidRPr="007772BD">
            <w:rPr>
              <w:rStyle w:val="PlaceholderText"/>
              <w:sz w:val="12"/>
              <w:szCs w:val="12"/>
            </w:rPr>
            <w:t>Digital Platform Manager - Assets</w:t>
          </w:r>
        </w:p>
      </w:docPartBody>
    </w:docPart>
    <w:docPart>
      <w:docPartPr>
        <w:name w:val="22313B24A04249CEA99D2218E02B66AD"/>
        <w:category>
          <w:name w:val="General"/>
          <w:gallery w:val="placeholder"/>
        </w:category>
        <w:types>
          <w:type w:val="bbPlcHdr"/>
        </w:types>
        <w:behaviors>
          <w:behavior w:val="content"/>
        </w:behaviors>
        <w:guid w:val="{05EF2B07-1EE3-4B8A-8A9D-324295A10A30}"/>
      </w:docPartPr>
      <w:docPartBody>
        <w:p w:rsidR="00000000" w:rsidRDefault="00DC784E">
          <w:pPr>
            <w:pStyle w:val="22313B24A04249CEA99D2218E02B66AD"/>
          </w:pPr>
          <w:r w:rsidRPr="007772BD">
            <w:rPr>
              <w:sz w:val="12"/>
              <w:szCs w:val="12"/>
            </w:rPr>
            <w:t>08/05/2022</w:t>
          </w:r>
        </w:p>
      </w:docPartBody>
    </w:docPart>
    <w:docPart>
      <w:docPartPr>
        <w:name w:val="5376BC7B1CEA47DCB6DB5DB248DA6200"/>
        <w:category>
          <w:name w:val="General"/>
          <w:gallery w:val="placeholder"/>
        </w:category>
        <w:types>
          <w:type w:val="bbPlcHdr"/>
        </w:types>
        <w:behaviors>
          <w:behavior w:val="content"/>
        </w:behaviors>
        <w:guid w:val="{5C718CA2-F82D-4DD9-8255-9E8C9899800F}"/>
      </w:docPartPr>
      <w:docPartBody>
        <w:p w:rsidR="00000000" w:rsidRDefault="00DC784E">
          <w:pPr>
            <w:pStyle w:val="5376BC7B1CEA47DCB6DB5DB248DA620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37333"/>
    <w:rsid w:val="000523A2"/>
    <w:rsid w:val="000D1F69"/>
    <w:rsid w:val="00117D90"/>
    <w:rsid w:val="001216BC"/>
    <w:rsid w:val="00222D20"/>
    <w:rsid w:val="002F215D"/>
    <w:rsid w:val="00350D0A"/>
    <w:rsid w:val="003E35E0"/>
    <w:rsid w:val="0059723B"/>
    <w:rsid w:val="005E4F5F"/>
    <w:rsid w:val="006C047E"/>
    <w:rsid w:val="006D2FE2"/>
    <w:rsid w:val="007936D4"/>
    <w:rsid w:val="00851B82"/>
    <w:rsid w:val="008873E9"/>
    <w:rsid w:val="009A1E02"/>
    <w:rsid w:val="009E62C4"/>
    <w:rsid w:val="00B1100A"/>
    <w:rsid w:val="00BA1213"/>
    <w:rsid w:val="00BC7DF5"/>
    <w:rsid w:val="00C90687"/>
    <w:rsid w:val="00CC54AD"/>
    <w:rsid w:val="00CC7EC7"/>
    <w:rsid w:val="00D601B6"/>
    <w:rsid w:val="00DC784E"/>
    <w:rsid w:val="00E51FF3"/>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 w:type="paragraph" w:customStyle="1" w:styleId="A63886E3A2B24356BAFF3579096EF4DA">
    <w:name w:val="A63886E3A2B24356BAFF3579096EF4DA"/>
    <w:pPr>
      <w:spacing w:line="278" w:lineRule="auto"/>
    </w:pPr>
    <w:rPr>
      <w:kern w:val="2"/>
      <w:sz w:val="24"/>
      <w:szCs w:val="24"/>
      <w14:ligatures w14:val="standardContextual"/>
    </w:rPr>
  </w:style>
  <w:style w:type="paragraph" w:customStyle="1" w:styleId="014BC5C292BA45DB822E15B78F996C13">
    <w:name w:val="014BC5C292BA45DB822E15B78F996C13"/>
    <w:pPr>
      <w:spacing w:line="278" w:lineRule="auto"/>
    </w:pPr>
    <w:rPr>
      <w:kern w:val="2"/>
      <w:sz w:val="24"/>
      <w:szCs w:val="24"/>
      <w14:ligatures w14:val="standardContextual"/>
    </w:rPr>
  </w:style>
  <w:style w:type="paragraph" w:customStyle="1" w:styleId="87E504381AC44E98A754FF246FCF100D">
    <w:name w:val="87E504381AC44E98A754FF246FCF100D"/>
    <w:pPr>
      <w:spacing w:line="278" w:lineRule="auto"/>
    </w:pPr>
    <w:rPr>
      <w:kern w:val="2"/>
      <w:sz w:val="24"/>
      <w:szCs w:val="24"/>
      <w14:ligatures w14:val="standardContextual"/>
    </w:rPr>
  </w:style>
  <w:style w:type="paragraph" w:customStyle="1" w:styleId="22313B24A04249CEA99D2218E02B66AD">
    <w:name w:val="22313B24A04249CEA99D2218E02B66AD"/>
    <w:pPr>
      <w:spacing w:line="278" w:lineRule="auto"/>
    </w:pPr>
    <w:rPr>
      <w:kern w:val="2"/>
      <w:sz w:val="24"/>
      <w:szCs w:val="24"/>
      <w14:ligatures w14:val="standardContextual"/>
    </w:rPr>
  </w:style>
  <w:style w:type="paragraph" w:customStyle="1" w:styleId="5376BC7B1CEA47DCB6DB5DB248DA6200">
    <w:name w:val="5376BC7B1CEA47DCB6DB5DB248DA620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3.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5.xml><?xml version="1.0" encoding="utf-8"?>
<ds:datastoreItem xmlns:ds="http://schemas.openxmlformats.org/officeDocument/2006/customXml" ds:itemID="{285AB3F7-2721-42A8-B070-4EC54F697C3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1934</Words>
  <Characters>11024</Characters>
  <Application>Microsoft Office Word</Application>
  <DocSecurity>0</DocSecurity>
  <Lines>91</Lines>
  <Paragraphs>25</Paragraphs>
  <ScaleCrop>false</ScaleCrop>
  <Company>Wannon Water</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343</cp:revision>
  <cp:lastPrinted>2022-05-31T06:56:00Z</cp:lastPrinted>
  <dcterms:created xsi:type="dcterms:W3CDTF">2021-12-23T23:21:00Z</dcterms:created>
  <dcterms:modified xsi:type="dcterms:W3CDTF">2024-07-05T03:22:00Z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