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ptos" w:hAnsi="Aptos"/>
          <w:b/>
          <w:color w:val="F97316"/>
          <w:sz w:val="20"/>
        </w:rPr>
        <w:t>VSA OPERATOR PLAYBOOK</w:t>
      </w:r>
    </w:p>
    <w:p>
      <w:pPr>
        <w:pStyle w:val="Title"/>
        <w:jc w:val="center"/>
      </w:pPr>
      <w:r>
        <w:t>The Prospecting</w:t>
        <w:br/>
        <w:t>Operating System</w:t>
      </w:r>
    </w:p>
    <w:p>
      <w:pPr>
        <w:pStyle w:val="Subtitle"/>
        <w:jc w:val="center"/>
      </w:pPr>
      <w:r>
        <w:t>The end-to-end daily engine for signal-led outbound execution</w:t>
      </w:r>
    </w:p>
    <w:p>
      <w:pPr>
        <w:jc w:val="center"/>
      </w:pPr>
      <w:r>
        <w:rPr>
          <w:color w:val="64748B"/>
          <w:sz w:val="22"/>
        </w:rPr>
        <w:t>For aspiring SDRs, new SDRs/BDRs, and early-career sellers progressing toward junior AE readiness</w:t>
      </w:r>
    </w:p>
    <w:p>
      <w:pPr>
        <w:spacing w:before="120" w:after="160"/>
        <w:ind w:left="202" w:right="202"/>
        <w:shd w:fill="ECFDF5"/>
        <w:pBdr>
          <w:left w:val="single" w:sz="20" w:space="8" w:color="10B981"/>
        </w:pBdr>
      </w:pPr>
      <w:r>
        <w:rPr>
          <w:rFonts w:ascii="Aptos" w:hAnsi="Aptos"/>
          <w:b/>
          <w:color w:val="10B981"/>
          <w:sz w:val="18"/>
        </w:rPr>
        <w:t>SYSTEM PROMISE</w:t>
      </w:r>
      <w:r>
        <w:rPr>
          <w:rFonts w:ascii="Aptos" w:hAnsi="Aptos"/>
          <w:color w:val="1E293B"/>
          <w:sz w:val="20"/>
        </w:rPr>
        <w:br/>
        <w:t>Turn verified account signals into relevant conversations, clean handoffs, and measurable learning - without confusing activity volume with pipeline quality.</w:t>
      </w:r>
    </w:p>
    <w:p>
      <w:pPr>
        <w:jc w:val="center"/>
      </w:pPr>
      <w:r>
        <w:rPr>
          <w:color w:val="64748B"/>
          <w:sz w:val="18"/>
        </w:rPr>
        <w:t>Version 1.0  |  August 2026</w:t>
      </w:r>
    </w:p>
    <w:p>
      <w:r>
        <w:br w:type="page"/>
      </w:r>
    </w:p>
    <w:p>
      <w:pPr>
        <w:pStyle w:val="Heading1"/>
      </w:pPr>
      <w:r>
        <w:t>How to use this operating system</w:t>
      </w:r>
    </w:p>
    <w:p>
      <w:r>
        <w:t>The POS is the connective tissue between VSA's scorecards, diagnostics, battlecards, calculators, and practice tools. It defines what a seller does next, what evidence must be recorded, and which metric reveals the next coaching move.</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2232"/>
        <w:gridCol w:w="3960"/>
        <w:gridCol w:w="3168"/>
      </w:tblGrid>
      <w:tr>
        <w:trPr>
          <w:tblHeader w:val="true"/>
        </w:trPr>
        <w:tc>
          <w:tcPr>
            <w:tcW w:type="dxa" w:w="2232"/>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If you need to...</w:t>
            </w:r>
          </w:p>
        </w:tc>
        <w:tc>
          <w:tcPr>
            <w:tcW w:type="dxa" w:w="3960"/>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Start here</w:t>
            </w:r>
          </w:p>
        </w:tc>
        <w:tc>
          <w:tcPr>
            <w:tcW w:type="dxa" w:w="3168"/>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Output</w:t>
            </w:r>
          </w:p>
        </w:tc>
      </w:tr>
      <w:tr>
        <w:tc>
          <w:tcPr>
            <w:tcW w:type="dxa" w:w="2232"/>
            <w:vAlign w:val="center"/>
            <w:tcMar>
              <w:top w:w="80" w:type="dxa"/>
              <w:start w:w="120" w:type="dxa"/>
              <w:bottom w:w="80" w:type="dxa"/>
              <w:end w:w="120" w:type="dxa"/>
            </w:tcMar>
          </w:tcPr>
          <w:p>
            <w:pPr>
              <w:spacing w:before="0" w:after="0" w:line="252" w:lineRule="auto"/>
              <w:jc w:val="left"/>
            </w:pPr>
            <w:r/>
            <w:r>
              <w:rPr>
                <w:rFonts w:ascii="Aptos" w:hAnsi="Aptos"/>
                <w:b/>
                <w:color w:val="1E293B"/>
                <w:sz w:val="17"/>
              </w:rPr>
              <w:t>Choose accounts</w:t>
            </w:r>
          </w:p>
        </w:tc>
        <w:tc>
          <w:tcPr>
            <w:tcW w:type="dxa" w:w="3960"/>
            <w:vAlign w:val="center"/>
            <w:tcMar>
              <w:top w:w="80" w:type="dxa"/>
              <w:start w:w="120" w:type="dxa"/>
              <w:bottom w:w="80" w:type="dxa"/>
              <w:end w:w="120" w:type="dxa"/>
            </w:tcMar>
          </w:tcPr>
          <w:p>
            <w:pPr>
              <w:spacing w:before="0" w:after="0" w:line="252" w:lineRule="auto"/>
              <w:jc w:val="left"/>
            </w:pPr>
            <w:r/>
            <w:r>
              <w:rPr>
                <w:rFonts w:ascii="Aptos" w:hAnsi="Aptos"/>
                <w:b w:val="0"/>
                <w:color w:val="1E293B"/>
                <w:sz w:val="17"/>
              </w:rPr>
              <w:t>Phase 1: Detect + Signal-to-Meeting Scorecard</w:t>
            </w:r>
          </w:p>
        </w:tc>
        <w:tc>
          <w:tcPr>
            <w:tcW w:type="dxa" w:w="3168"/>
            <w:vAlign w:val="center"/>
            <w:tcMar>
              <w:top w:w="80" w:type="dxa"/>
              <w:start w:w="120" w:type="dxa"/>
              <w:bottom w:w="80" w:type="dxa"/>
              <w:end w:w="120" w:type="dxa"/>
            </w:tcMar>
          </w:tcPr>
          <w:p>
            <w:pPr>
              <w:spacing w:before="0" w:after="0" w:line="252" w:lineRule="auto"/>
              <w:jc w:val="left"/>
            </w:pPr>
            <w:r/>
            <w:r>
              <w:rPr>
                <w:rFonts w:ascii="Aptos" w:hAnsi="Aptos"/>
                <w:b w:val="0"/>
                <w:color w:val="1E293B"/>
                <w:sz w:val="17"/>
              </w:rPr>
              <w:t>Ranked queue with action state</w:t>
            </w:r>
          </w:p>
        </w:tc>
      </w:tr>
      <w:tr>
        <w:tc>
          <w:tcPr>
            <w:tcW w:type="dxa" w:w="2232"/>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7"/>
              </w:rPr>
              <w:t>Prepare a point of view</w:t>
            </w:r>
          </w:p>
        </w:tc>
        <w:tc>
          <w:tcPr>
            <w:tcW w:type="dxa" w:w="3960"/>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7"/>
              </w:rPr>
              <w:t>Phase 2: Diagnose + hypothesis worksheet</w:t>
            </w:r>
          </w:p>
        </w:tc>
        <w:tc>
          <w:tcPr>
            <w:tcW w:type="dxa" w:w="3168"/>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7"/>
              </w:rPr>
              <w:t>Fact, inference, question, and proof</w:t>
            </w:r>
          </w:p>
        </w:tc>
      </w:tr>
      <w:tr>
        <w:tc>
          <w:tcPr>
            <w:tcW w:type="dxa" w:w="2232"/>
            <w:vAlign w:val="center"/>
            <w:tcMar>
              <w:top w:w="80" w:type="dxa"/>
              <w:start w:w="120" w:type="dxa"/>
              <w:bottom w:w="80" w:type="dxa"/>
              <w:end w:w="120" w:type="dxa"/>
            </w:tcMar>
          </w:tcPr>
          <w:p>
            <w:pPr>
              <w:spacing w:before="0" w:after="0" w:line="252" w:lineRule="auto"/>
              <w:jc w:val="left"/>
            </w:pPr>
            <w:r/>
            <w:r>
              <w:rPr>
                <w:rFonts w:ascii="Aptos" w:hAnsi="Aptos"/>
                <w:b/>
                <w:color w:val="1E293B"/>
                <w:sz w:val="17"/>
              </w:rPr>
              <w:t>Run outreach</w:t>
            </w:r>
          </w:p>
        </w:tc>
        <w:tc>
          <w:tcPr>
            <w:tcW w:type="dxa" w:w="3960"/>
            <w:vAlign w:val="center"/>
            <w:tcMar>
              <w:top w:w="80" w:type="dxa"/>
              <w:start w:w="120" w:type="dxa"/>
              <w:bottom w:w="80" w:type="dxa"/>
              <w:end w:w="120" w:type="dxa"/>
            </w:tcMar>
          </w:tcPr>
          <w:p>
            <w:pPr>
              <w:spacing w:before="0" w:after="0" w:line="252" w:lineRule="auto"/>
              <w:jc w:val="left"/>
            </w:pPr>
            <w:r/>
            <w:r>
              <w:rPr>
                <w:rFonts w:ascii="Aptos" w:hAnsi="Aptos"/>
                <w:b w:val="0"/>
                <w:color w:val="1E293B"/>
                <w:sz w:val="17"/>
              </w:rPr>
              <w:t>Phase 3: Deploy + channel-adapted cadence</w:t>
            </w:r>
          </w:p>
        </w:tc>
        <w:tc>
          <w:tcPr>
            <w:tcW w:type="dxa" w:w="3168"/>
            <w:vAlign w:val="center"/>
            <w:tcMar>
              <w:top w:w="80" w:type="dxa"/>
              <w:start w:w="120" w:type="dxa"/>
              <w:bottom w:w="80" w:type="dxa"/>
              <w:end w:w="120" w:type="dxa"/>
            </w:tcMar>
          </w:tcPr>
          <w:p>
            <w:pPr>
              <w:spacing w:before="0" w:after="0" w:line="252" w:lineRule="auto"/>
              <w:jc w:val="left"/>
            </w:pPr>
            <w:r/>
            <w:r>
              <w:rPr>
                <w:rFonts w:ascii="Aptos" w:hAnsi="Aptos"/>
                <w:b w:val="0"/>
                <w:color w:val="1E293B"/>
                <w:sz w:val="17"/>
              </w:rPr>
              <w:t>Six-touch baseline or calibrated variant</w:t>
            </w:r>
          </w:p>
        </w:tc>
      </w:tr>
      <w:tr>
        <w:tc>
          <w:tcPr>
            <w:tcW w:type="dxa" w:w="2232"/>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7"/>
              </w:rPr>
              <w:t>Convert and hand off</w:t>
            </w:r>
          </w:p>
        </w:tc>
        <w:tc>
          <w:tcPr>
            <w:tcW w:type="dxa" w:w="3960"/>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7"/>
              </w:rPr>
              <w:t>Phase 4: Drive + handoff standard</w:t>
            </w:r>
          </w:p>
        </w:tc>
        <w:tc>
          <w:tcPr>
            <w:tcW w:type="dxa" w:w="3168"/>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7"/>
              </w:rPr>
              <w:t>Meeting, nurture, referral, or closed loop</w:t>
            </w:r>
          </w:p>
        </w:tc>
      </w:tr>
      <w:tr>
        <w:tc>
          <w:tcPr>
            <w:tcW w:type="dxa" w:w="2232"/>
            <w:vAlign w:val="center"/>
            <w:tcMar>
              <w:top w:w="80" w:type="dxa"/>
              <w:start w:w="120" w:type="dxa"/>
              <w:bottom w:w="80" w:type="dxa"/>
              <w:end w:w="120" w:type="dxa"/>
            </w:tcMar>
          </w:tcPr>
          <w:p>
            <w:pPr>
              <w:spacing w:before="0" w:after="0" w:line="252" w:lineRule="auto"/>
              <w:jc w:val="left"/>
            </w:pPr>
            <w:r/>
            <w:r>
              <w:rPr>
                <w:rFonts w:ascii="Aptos" w:hAnsi="Aptos"/>
                <w:b/>
                <w:color w:val="1E293B"/>
                <w:sz w:val="17"/>
              </w:rPr>
              <w:t>Improve weekly</w:t>
            </w:r>
          </w:p>
        </w:tc>
        <w:tc>
          <w:tcPr>
            <w:tcW w:type="dxa" w:w="3960"/>
            <w:vAlign w:val="center"/>
            <w:tcMar>
              <w:top w:w="80" w:type="dxa"/>
              <w:start w:w="120" w:type="dxa"/>
              <w:bottom w:w="80" w:type="dxa"/>
              <w:end w:w="120" w:type="dxa"/>
            </w:tcMar>
          </w:tcPr>
          <w:p>
            <w:pPr>
              <w:spacing w:before="0" w:after="0" w:line="252" w:lineRule="auto"/>
              <w:jc w:val="left"/>
            </w:pPr>
            <w:r/>
            <w:r>
              <w:rPr>
                <w:rFonts w:ascii="Aptos" w:hAnsi="Aptos"/>
                <w:b w:val="0"/>
                <w:color w:val="1E293B"/>
                <w:sz w:val="17"/>
              </w:rPr>
              <w:t>Control layer + KPI diagnostic tree</w:t>
            </w:r>
          </w:p>
        </w:tc>
        <w:tc>
          <w:tcPr>
            <w:tcW w:type="dxa" w:w="3168"/>
            <w:vAlign w:val="center"/>
            <w:tcMar>
              <w:top w:w="80" w:type="dxa"/>
              <w:start w:w="120" w:type="dxa"/>
              <w:bottom w:w="80" w:type="dxa"/>
              <w:end w:w="120" w:type="dxa"/>
            </w:tcMar>
          </w:tcPr>
          <w:p>
            <w:pPr>
              <w:spacing w:before="0" w:after="0" w:line="252" w:lineRule="auto"/>
              <w:jc w:val="left"/>
            </w:pPr>
            <w:r/>
            <w:r>
              <w:rPr>
                <w:rFonts w:ascii="Aptos" w:hAnsi="Aptos"/>
                <w:b w:val="0"/>
                <w:color w:val="1E293B"/>
                <w:sz w:val="17"/>
              </w:rPr>
              <w:t>One tested change and a documented lesson</w:t>
            </w:r>
          </w:p>
        </w:tc>
      </w:tr>
    </w:tbl>
    <w:p>
      <w:pPr>
        <w:spacing w:after="0"/>
      </w:pPr>
    </w:p>
    <w:p>
      <w:pPr>
        <w:spacing w:before="120" w:after="160"/>
        <w:ind w:left="202" w:right="202"/>
        <w:shd w:fill="FFF7ED"/>
        <w:pBdr>
          <w:left w:val="single" w:sz="20" w:space="8" w:color="F97316"/>
        </w:pBdr>
      </w:pPr>
      <w:r>
        <w:rPr>
          <w:rFonts w:ascii="Aptos" w:hAnsi="Aptos"/>
          <w:b/>
          <w:color w:val="F97316"/>
          <w:sz w:val="18"/>
        </w:rPr>
        <w:t>BEGINNER SAFETY RULE</w:t>
      </w:r>
      <w:r>
        <w:rPr>
          <w:rFonts w:ascii="Aptos" w:hAnsi="Aptos"/>
          <w:color w:val="1E293B"/>
          <w:sz w:val="20"/>
        </w:rPr>
        <w:br/>
        <w:t>A signal is not a fact about pain. Write observed facts separately from seller inferences, then use outreach and discovery to test the inference.</w:t>
      </w:r>
    </w:p>
    <w:p>
      <w:pPr>
        <w:pStyle w:val="Heading1"/>
      </w:pPr>
      <w:r>
        <w:t>What is stronger than the supplied blueprint</w:t>
      </w:r>
    </w:p>
    <w:p>
      <w:r>
        <w:t>The supplied four-phase loop is retained. Nine operating controls make it materially more complete:</w:t>
      </w:r>
    </w:p>
    <w:p>
      <w:pPr>
        <w:pStyle w:val="ListBullet"/>
      </w:pPr>
      <w:r>
        <w:t>A preflight layer defining ICP, persona, offer, proof, required fields, and compliance boundaries.</w:t>
      </w:r>
    </w:p>
    <w:p>
      <w:pPr>
        <w:pStyle w:val="ListBullet"/>
      </w:pPr>
      <w:r>
        <w:t>An evidence ladder that records source, date, freshness, confidence, and fact-versus-inference status.</w:t>
      </w:r>
    </w:p>
    <w:p>
      <w:pPr>
        <w:pStyle w:val="ListBullet"/>
      </w:pPr>
      <w:r>
        <w:t>Queue states aligned to the existing VSA scorecard: Contact Now, Research Further, Nurture, and Disqualify.</w:t>
      </w:r>
    </w:p>
    <w:p>
      <w:pPr>
        <w:pStyle w:val="ListBullet"/>
      </w:pPr>
      <w:r>
        <w:t>Cadence variants for hot-signal, standard, and strategic accounts instead of one universal sequence.</w:t>
      </w:r>
    </w:p>
    <w:p>
      <w:pPr>
        <w:pStyle w:val="ListBullet"/>
      </w:pPr>
      <w:r>
        <w:t>Buyer-preference, opt-out, do-not-contact, stopping, recycling, and re-entry rules.</w:t>
      </w:r>
    </w:p>
    <w:p>
      <w:pPr>
        <w:pStyle w:val="ListBullet"/>
      </w:pPr>
      <w:r>
        <w:t>A CRM minimum-data contract and a meeting handoff acceptance checklist.</w:t>
      </w:r>
    </w:p>
    <w:p>
      <w:pPr>
        <w:pStyle w:val="ListBullet"/>
      </w:pPr>
      <w:r>
        <w:t>An outcome funnel connecting attempts to conversations, meetings held, qualified opportunities, and pipeline.</w:t>
      </w:r>
    </w:p>
    <w:p>
      <w:pPr>
        <w:pStyle w:val="ListBullet"/>
      </w:pPr>
      <w:r>
        <w:t>A single-variable weekly experiment loop so learning compounds without confounding results.</w:t>
      </w:r>
    </w:p>
    <w:p>
      <w:pPr>
        <w:pStyle w:val="ListBullet"/>
      </w:pPr>
      <w:r>
        <w:t>GIFT AI quality controls, low-stakes practice, and a 30-day adoption path for inexperienced sellers.</w:t>
      </w:r>
    </w:p>
    <w:p>
      <w:pPr>
        <w:spacing w:before="80" w:after="80"/>
      </w:pPr>
      <w:r>
        <w:rPr>
          <w:i/>
          <w:color w:val="64748B"/>
          <w:sz w:val="17"/>
        </w:rPr>
        <w:t>Evidence note: The 2026-08-10 VSM scan reviewed 27 roles. Organization appeared in 20, prospecting in 18, time management in 13, CRM hygiene in 12, and pipeline management in 10. These are observed sample frequencies, not universal market rates.</w:t>
      </w:r>
    </w:p>
    <w:p>
      <w:pPr>
        <w:pStyle w:val="Heading1"/>
      </w:pPr>
      <w:r>
        <w:t>System architecture</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1512"/>
        <w:gridCol w:w="1944"/>
        <w:gridCol w:w="1944"/>
        <w:gridCol w:w="1944"/>
        <w:gridCol w:w="2016"/>
      </w:tblGrid>
      <w:tr>
        <w:trPr>
          <w:tblHeader w:val="true"/>
        </w:trPr>
        <w:tc>
          <w:tcPr>
            <w:tcW w:type="dxa" w:w="1512"/>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Control layer</w:t>
            </w:r>
          </w:p>
        </w:tc>
        <w:tc>
          <w:tcPr>
            <w:tcW w:type="dxa" w:w="1944"/>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1. DETECT</w:t>
            </w:r>
          </w:p>
        </w:tc>
        <w:tc>
          <w:tcPr>
            <w:tcW w:type="dxa" w:w="1944"/>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2. DIAGNOSE</w:t>
            </w:r>
          </w:p>
        </w:tc>
        <w:tc>
          <w:tcPr>
            <w:tcW w:type="dxa" w:w="1944"/>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3. DEPLOY</w:t>
            </w:r>
          </w:p>
        </w:tc>
        <w:tc>
          <w:tcPr>
            <w:tcW w:type="dxa" w:w="2016"/>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4. DRIVE</w:t>
            </w:r>
          </w:p>
        </w:tc>
      </w:tr>
      <w:tr>
        <w:tc>
          <w:tcPr>
            <w:tcW w:type="dxa" w:w="1512"/>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Plan -&gt; Record -&gt; Review</w:t>
            </w:r>
          </w:p>
        </w:tc>
        <w:tc>
          <w:tcPr>
            <w:tcW w:type="dxa" w:w="1944"/>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Find and rank a verified reason to act</w:t>
            </w:r>
          </w:p>
        </w:tc>
        <w:tc>
          <w:tcPr>
            <w:tcW w:type="dxa" w:w="1944"/>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Convert evidence into a testable problem hypothesis</w:t>
            </w:r>
          </w:p>
        </w:tc>
        <w:tc>
          <w:tcPr>
            <w:tcW w:type="dxa" w:w="1944"/>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Execute a relevant multichannel sequence</w:t>
            </w:r>
          </w:p>
        </w:tc>
        <w:tc>
          <w:tcPr>
            <w:tcW w:type="dxa" w:w="2016"/>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Convert response into a meeting, nurture, referral, or close</w:t>
            </w:r>
          </w:p>
        </w:tc>
      </w:tr>
    </w:tbl>
    <w:p>
      <w:pPr>
        <w:spacing w:after="0"/>
      </w:pPr>
    </w:p>
    <w:p>
      <w:r>
        <w:t>The loop is continuous: every response, objection, meeting result, and disqualification becomes new evidence for the next Detect cycle.</w:t>
      </w:r>
    </w:p>
    <w:p>
      <w:pPr>
        <w:pStyle w:val="Heading1"/>
      </w:pPr>
      <w:r>
        <w:t>0. Preflight: configure before you prospect</w:t>
      </w:r>
    </w:p>
    <w:p>
      <w:r>
        <w:t>Do not launch a cadence until the operating inputs are clear. If the employer has already defined them, use the employer's rules. If not, treat the POS defaults as a starting hypothesis to test.</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1440"/>
        <w:gridCol w:w="5112"/>
        <w:gridCol w:w="2808"/>
      </w:tblGrid>
      <w:tr>
        <w:trPr>
          <w:tblHeader w:val="true"/>
        </w:trPr>
        <w:tc>
          <w:tcPr>
            <w:tcW w:type="dxa" w:w="1440"/>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Input</w:t>
            </w:r>
          </w:p>
        </w:tc>
        <w:tc>
          <w:tcPr>
            <w:tcW w:type="dxa" w:w="5112"/>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Minimum usable definition</w:t>
            </w:r>
          </w:p>
        </w:tc>
        <w:tc>
          <w:tcPr>
            <w:tcW w:type="dxa" w:w="2808"/>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Failure signal</w:t>
            </w:r>
          </w:p>
        </w:tc>
      </w:tr>
      <w:tr>
        <w:tc>
          <w:tcPr>
            <w:tcW w:type="dxa" w:w="1440"/>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ICP</w:t>
            </w:r>
          </w:p>
        </w:tc>
        <w:tc>
          <w:tcPr>
            <w:tcW w:type="dxa" w:w="5112"/>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Industry, size, geography, business model, exclusions</w:t>
            </w:r>
          </w:p>
        </w:tc>
        <w:tc>
          <w:tcPr>
            <w:tcW w:type="dxa" w:w="2808"/>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Almost every account appears to fit</w:t>
            </w:r>
          </w:p>
        </w:tc>
      </w:tr>
      <w:tr>
        <w:tc>
          <w:tcPr>
            <w:tcW w:type="dxa" w:w="1440"/>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Persona</w:t>
            </w:r>
          </w:p>
        </w:tc>
        <w:tc>
          <w:tcPr>
            <w:tcW w:type="dxa" w:w="5112"/>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Role, responsibility, likely metric, channel pattern</w:t>
            </w:r>
          </w:p>
        </w:tc>
        <w:tc>
          <w:tcPr>
            <w:tcW w:type="dxa" w:w="2808"/>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Message could be sent to any title</w:t>
            </w:r>
          </w:p>
        </w:tc>
      </w:tr>
      <w:tr>
        <w:tc>
          <w:tcPr>
            <w:tcW w:type="dxa" w:w="1440"/>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Offer</w:t>
            </w:r>
          </w:p>
        </w:tc>
        <w:tc>
          <w:tcPr>
            <w:tcW w:type="dxa" w:w="5112"/>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One low-friction reason to continue</w:t>
            </w:r>
          </w:p>
        </w:tc>
        <w:tc>
          <w:tcPr>
            <w:tcW w:type="dxa" w:w="2808"/>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CTA jumps directly to a generic demo</w:t>
            </w:r>
          </w:p>
        </w:tc>
      </w:tr>
      <w:tr>
        <w:tc>
          <w:tcPr>
            <w:tcW w:type="dxa" w:w="1440"/>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Proof</w:t>
            </w:r>
          </w:p>
        </w:tc>
        <w:tc>
          <w:tcPr>
            <w:tcW w:type="dxa" w:w="5112"/>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Approved customer evidence, benchmark, or useful asset</w:t>
            </w:r>
          </w:p>
        </w:tc>
        <w:tc>
          <w:tcPr>
            <w:tcW w:type="dxa" w:w="2808"/>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Invented peer, number, or outcome</w:t>
            </w:r>
          </w:p>
        </w:tc>
      </w:tr>
      <w:tr>
        <w:tc>
          <w:tcPr>
            <w:tcW w:type="dxa" w:w="1440"/>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CRM fields</w:t>
            </w:r>
          </w:p>
        </w:tc>
        <w:tc>
          <w:tcPr>
            <w:tcW w:type="dxa" w:w="5112"/>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Owner, status, source/date, next step/date, disposition</w:t>
            </w:r>
          </w:p>
        </w:tc>
        <w:tc>
          <w:tcPr>
            <w:tcW w:type="dxa" w:w="2808"/>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Work cannot be audited or handed off</w:t>
            </w:r>
          </w:p>
        </w:tc>
      </w:tr>
      <w:tr>
        <w:tc>
          <w:tcPr>
            <w:tcW w:type="dxa" w:w="1440"/>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Boundaries</w:t>
            </w:r>
          </w:p>
        </w:tc>
        <w:tc>
          <w:tcPr>
            <w:tcW w:type="dxa" w:w="5112"/>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Approved tools, consent/opt-out, DNC and privacy rules</w:t>
            </w:r>
          </w:p>
        </w:tc>
        <w:tc>
          <w:tcPr>
            <w:tcW w:type="dxa" w:w="2808"/>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Automation can send without human review</w:t>
            </w:r>
          </w:p>
        </w:tc>
      </w:tr>
    </w:tbl>
    <w:p>
      <w:pPr>
        <w:spacing w:after="0"/>
      </w:pPr>
    </w:p>
    <w:p>
      <w:pPr>
        <w:pStyle w:val="Heading1"/>
      </w:pPr>
      <w:r>
        <w:t>1. Detect: signal mining and account qualification</w:t>
      </w:r>
    </w:p>
    <w:p>
      <w:r>
        <w:t>Goal: build a small, auditable queue of accounts with enough evidence to justify attention today.</w:t>
      </w:r>
    </w:p>
    <w:p>
      <w:pPr>
        <w:pStyle w:val="Heading2"/>
      </w:pPr>
      <w:r>
        <w:t>The evidence ladder</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1224"/>
        <w:gridCol w:w="4752"/>
        <w:gridCol w:w="3384"/>
      </w:tblGrid>
      <w:tr>
        <w:trPr>
          <w:tblHeader w:val="true"/>
        </w:trPr>
        <w:tc>
          <w:tcPr>
            <w:tcW w:type="dxa" w:w="1224"/>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Strength</w:t>
            </w:r>
          </w:p>
        </w:tc>
        <w:tc>
          <w:tcPr>
            <w:tcW w:type="dxa" w:w="4752"/>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Examples</w:t>
            </w:r>
          </w:p>
        </w:tc>
        <w:tc>
          <w:tcPr>
            <w:tcW w:type="dxa" w:w="3384"/>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Required seller action</w:t>
            </w:r>
          </w:p>
        </w:tc>
      </w:tr>
      <w:tr>
        <w:tc>
          <w:tcPr>
            <w:tcW w:type="dxa" w:w="1224"/>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A - Direct</w:t>
            </w:r>
          </w:p>
        </w:tc>
        <w:tc>
          <w:tcPr>
            <w:tcW w:type="dxa" w:w="4752"/>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Buyer reply, referral, event conversation, approved first-party engagement</w:t>
            </w:r>
          </w:p>
        </w:tc>
        <w:tc>
          <w:tcPr>
            <w:tcW w:type="dxa" w:w="3384"/>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Work first; verify context and preference</w:t>
            </w:r>
          </w:p>
        </w:tc>
      </w:tr>
      <w:tr>
        <w:tc>
          <w:tcPr>
            <w:tcW w:type="dxa" w:w="1224"/>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B - Time-bound</w:t>
            </w:r>
          </w:p>
        </w:tc>
        <w:tc>
          <w:tcPr>
            <w:tcW w:type="dxa" w:w="4752"/>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Leadership change, hiring pattern, launch, funding, expansion, regulatory event</w:t>
            </w:r>
          </w:p>
        </w:tc>
        <w:tc>
          <w:tcPr>
            <w:tcW w:type="dxa" w:w="3384"/>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Record source/date; connect to role impact</w:t>
            </w:r>
          </w:p>
        </w:tc>
      </w:tr>
      <w:tr>
        <w:tc>
          <w:tcPr>
            <w:tcW w:type="dxa" w:w="1224"/>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C - Structural</w:t>
            </w:r>
          </w:p>
        </w:tc>
        <w:tc>
          <w:tcPr>
            <w:tcW w:type="dxa" w:w="4752"/>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ICP, technology, operating model, geography, likely workflow</w:t>
            </w:r>
          </w:p>
        </w:tc>
        <w:tc>
          <w:tcPr>
            <w:tcW w:type="dxa" w:w="3384"/>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Use as fit evidence, not proof of active pain</w:t>
            </w:r>
          </w:p>
        </w:tc>
      </w:tr>
      <w:tr>
        <w:tc>
          <w:tcPr>
            <w:tcW w:type="dxa" w:w="1224"/>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D - Speculative</w:t>
            </w:r>
          </w:p>
        </w:tc>
        <w:tc>
          <w:tcPr>
            <w:tcW w:type="dxa" w:w="4752"/>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Generic industry claim, unverified intent, AI-inferred pain</w:t>
            </w:r>
          </w:p>
        </w:tc>
        <w:tc>
          <w:tcPr>
            <w:tcW w:type="dxa" w:w="3384"/>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Research or discard; never present as buyer fact</w:t>
            </w:r>
          </w:p>
        </w:tc>
      </w:tr>
    </w:tbl>
    <w:p>
      <w:pPr>
        <w:spacing w:after="0"/>
      </w:pPr>
    </w:p>
    <w:p>
      <w:pPr>
        <w:pStyle w:val="Heading2"/>
      </w:pPr>
      <w:r>
        <w:t>Daily detection protocol</w:t>
      </w:r>
    </w:p>
    <w:p>
      <w:pPr>
        <w:pStyle w:val="ListNumber"/>
      </w:pPr>
      <w:r>
        <w:t>Open the existing queue before adding new accounts. Complete overdue next steps first.</w:t>
      </w:r>
    </w:p>
    <w:p>
      <w:pPr>
        <w:pStyle w:val="ListNumber"/>
      </w:pPr>
      <w:r>
        <w:t>Capture one source URL and date for every time-sensitive trigger.</w:t>
      </w:r>
    </w:p>
    <w:p>
      <w:pPr>
        <w:pStyle w:val="ListNumber"/>
      </w:pPr>
      <w:r>
        <w:t>Separate observed fact, seller inference, and validation question.</w:t>
      </w:r>
    </w:p>
    <w:p>
      <w:pPr>
        <w:pStyle w:val="ListNumber"/>
      </w:pPr>
      <w:r>
        <w:t>Score the seven VSA criteria: fit, trigger, intent, persona, pain hypothesis, relationship, and message readiness.</w:t>
      </w:r>
    </w:p>
    <w:p>
      <w:pPr>
        <w:pStyle w:val="ListNumber"/>
      </w:pPr>
      <w:r>
        <w:t>Assign the action state and next review date. Never leave a scored account without a state.</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1440"/>
        <w:gridCol w:w="2232"/>
        <w:gridCol w:w="5688"/>
      </w:tblGrid>
      <w:tr>
        <w:trPr>
          <w:tblHeader w:val="true"/>
        </w:trPr>
        <w:tc>
          <w:tcPr>
            <w:tcW w:type="dxa" w:w="1440"/>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Score</w:t>
            </w:r>
          </w:p>
        </w:tc>
        <w:tc>
          <w:tcPr>
            <w:tcW w:type="dxa" w:w="2232"/>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Queue state</w:t>
            </w:r>
          </w:p>
        </w:tc>
        <w:tc>
          <w:tcPr>
            <w:tcW w:type="dxa" w:w="5688"/>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Action</w:t>
            </w:r>
          </w:p>
        </w:tc>
      </w:tr>
      <w:tr>
        <w:tc>
          <w:tcPr>
            <w:tcW w:type="dxa" w:w="1440"/>
            <w:vAlign w:val="center"/>
            <w:tcMar>
              <w:top w:w="80" w:type="dxa"/>
              <w:start w:w="120" w:type="dxa"/>
              <w:bottom w:w="80" w:type="dxa"/>
              <w:end w:w="120" w:type="dxa"/>
            </w:tcMar>
          </w:tcPr>
          <w:p>
            <w:pPr>
              <w:spacing w:before="0" w:after="0" w:line="252" w:lineRule="auto"/>
              <w:jc w:val="left"/>
            </w:pPr>
            <w:r/>
            <w:r>
              <w:rPr>
                <w:rFonts w:ascii="Aptos" w:hAnsi="Aptos"/>
                <w:b/>
                <w:color w:val="1E293B"/>
                <w:sz w:val="17"/>
              </w:rPr>
              <w:t>80-100</w:t>
            </w:r>
          </w:p>
        </w:tc>
        <w:tc>
          <w:tcPr>
            <w:tcW w:type="dxa" w:w="2232"/>
            <w:vAlign w:val="center"/>
            <w:tcMar>
              <w:top w:w="80" w:type="dxa"/>
              <w:start w:w="120" w:type="dxa"/>
              <w:bottom w:w="80" w:type="dxa"/>
              <w:end w:w="120" w:type="dxa"/>
            </w:tcMar>
          </w:tcPr>
          <w:p>
            <w:pPr>
              <w:spacing w:before="0" w:after="0" w:line="252" w:lineRule="auto"/>
              <w:jc w:val="left"/>
            </w:pPr>
            <w:r/>
            <w:r>
              <w:rPr>
                <w:rFonts w:ascii="Aptos" w:hAnsi="Aptos"/>
                <w:b w:val="0"/>
                <w:color w:val="1E293B"/>
                <w:sz w:val="17"/>
              </w:rPr>
              <w:t>Contact Now</w:t>
            </w:r>
          </w:p>
        </w:tc>
        <w:tc>
          <w:tcPr>
            <w:tcW w:type="dxa" w:w="5688"/>
            <w:vAlign w:val="center"/>
            <w:tcMar>
              <w:top w:w="80" w:type="dxa"/>
              <w:start w:w="120" w:type="dxa"/>
              <w:bottom w:w="80" w:type="dxa"/>
              <w:end w:w="120" w:type="dxa"/>
            </w:tcMar>
          </w:tcPr>
          <w:p>
            <w:pPr>
              <w:spacing w:before="0" w:after="0" w:line="252" w:lineRule="auto"/>
              <w:jc w:val="left"/>
            </w:pPr>
            <w:r/>
            <w:r>
              <w:rPr>
                <w:rFonts w:ascii="Aptos" w:hAnsi="Aptos"/>
                <w:b w:val="0"/>
                <w:color w:val="1E293B"/>
                <w:sz w:val="17"/>
              </w:rPr>
              <w:t>Start the appropriate cadence today after GIFT review</w:t>
            </w:r>
          </w:p>
        </w:tc>
      </w:tr>
      <w:tr>
        <w:tc>
          <w:tcPr>
            <w:tcW w:type="dxa" w:w="1440"/>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7"/>
              </w:rPr>
              <w:t>60-79</w:t>
            </w:r>
          </w:p>
        </w:tc>
        <w:tc>
          <w:tcPr>
            <w:tcW w:type="dxa" w:w="2232"/>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7"/>
              </w:rPr>
              <w:t>Research Further</w:t>
            </w:r>
          </w:p>
        </w:tc>
        <w:tc>
          <w:tcPr>
            <w:tcW w:type="dxa" w:w="5688"/>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7"/>
              </w:rPr>
              <w:t>Find one missing trigger, persona link, or proof item</w:t>
            </w:r>
          </w:p>
        </w:tc>
      </w:tr>
      <w:tr>
        <w:tc>
          <w:tcPr>
            <w:tcW w:type="dxa" w:w="1440"/>
            <w:vAlign w:val="center"/>
            <w:tcMar>
              <w:top w:w="80" w:type="dxa"/>
              <w:start w:w="120" w:type="dxa"/>
              <w:bottom w:w="80" w:type="dxa"/>
              <w:end w:w="120" w:type="dxa"/>
            </w:tcMar>
          </w:tcPr>
          <w:p>
            <w:pPr>
              <w:spacing w:before="0" w:after="0" w:line="252" w:lineRule="auto"/>
              <w:jc w:val="left"/>
            </w:pPr>
            <w:r/>
            <w:r>
              <w:rPr>
                <w:rFonts w:ascii="Aptos" w:hAnsi="Aptos"/>
                <w:b/>
                <w:color w:val="1E293B"/>
                <w:sz w:val="17"/>
              </w:rPr>
              <w:t>40-59</w:t>
            </w:r>
          </w:p>
        </w:tc>
        <w:tc>
          <w:tcPr>
            <w:tcW w:type="dxa" w:w="2232"/>
            <w:vAlign w:val="center"/>
            <w:tcMar>
              <w:top w:w="80" w:type="dxa"/>
              <w:start w:w="120" w:type="dxa"/>
              <w:bottom w:w="80" w:type="dxa"/>
              <w:end w:w="120" w:type="dxa"/>
            </w:tcMar>
          </w:tcPr>
          <w:p>
            <w:pPr>
              <w:spacing w:before="0" w:after="0" w:line="252" w:lineRule="auto"/>
              <w:jc w:val="left"/>
            </w:pPr>
            <w:r/>
            <w:r>
              <w:rPr>
                <w:rFonts w:ascii="Aptos" w:hAnsi="Aptos"/>
                <w:b w:val="0"/>
                <w:color w:val="1E293B"/>
                <w:sz w:val="17"/>
              </w:rPr>
              <w:t>Nurture</w:t>
            </w:r>
          </w:p>
        </w:tc>
        <w:tc>
          <w:tcPr>
            <w:tcW w:type="dxa" w:w="5688"/>
            <w:vAlign w:val="center"/>
            <w:tcMar>
              <w:top w:w="80" w:type="dxa"/>
              <w:start w:w="120" w:type="dxa"/>
              <w:bottom w:w="80" w:type="dxa"/>
              <w:end w:w="120" w:type="dxa"/>
            </w:tcMar>
          </w:tcPr>
          <w:p>
            <w:pPr>
              <w:spacing w:before="0" w:after="0" w:line="252" w:lineRule="auto"/>
              <w:jc w:val="left"/>
            </w:pPr>
            <w:r/>
            <w:r>
              <w:rPr>
                <w:rFonts w:ascii="Aptos" w:hAnsi="Aptos"/>
                <w:b w:val="0"/>
                <w:color w:val="1E293B"/>
                <w:sz w:val="17"/>
              </w:rPr>
              <w:t>Set a future review or wait for a material signal</w:t>
            </w:r>
          </w:p>
        </w:tc>
      </w:tr>
      <w:tr>
        <w:tc>
          <w:tcPr>
            <w:tcW w:type="dxa" w:w="1440"/>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7"/>
              </w:rPr>
              <w:t>Below 40</w:t>
            </w:r>
          </w:p>
        </w:tc>
        <w:tc>
          <w:tcPr>
            <w:tcW w:type="dxa" w:w="2232"/>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7"/>
              </w:rPr>
              <w:t>Disqualify</w:t>
            </w:r>
          </w:p>
        </w:tc>
        <w:tc>
          <w:tcPr>
            <w:tcW w:type="dxa" w:w="5688"/>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7"/>
              </w:rPr>
              <w:t>Record reason; preserve seller time</w:t>
            </w:r>
          </w:p>
        </w:tc>
      </w:tr>
    </w:tbl>
    <w:p>
      <w:pPr>
        <w:spacing w:after="0"/>
      </w:pPr>
    </w:p>
    <w:p>
      <w:pPr>
        <w:spacing w:before="120" w:after="160"/>
        <w:ind w:left="202" w:right="202"/>
        <w:shd w:fill="FFF7ED"/>
        <w:pBdr>
          <w:left w:val="single" w:sz="20" w:space="8" w:color="F97316"/>
        </w:pBdr>
      </w:pPr>
      <w:r>
        <w:rPr>
          <w:rFonts w:ascii="Aptos" w:hAnsi="Aptos"/>
          <w:b/>
          <w:color w:val="F97316"/>
          <w:sz w:val="18"/>
        </w:rPr>
        <w:t>CORRECTION TO THE SUPPLIED RULE</w:t>
      </w:r>
      <w:r>
        <w:rPr>
          <w:rFonts w:ascii="Aptos" w:hAnsi="Aptos"/>
          <w:color w:val="1E293B"/>
          <w:sz w:val="20"/>
        </w:rPr>
        <w:br/>
        <w:t>Do not automatically archive every account below 60. The existing VSA scorecard assigns 40-59 to Nurture and below 40 to Disqualify. Employer data should eventually recalibrate these VSA starting thresholds.</w:t>
      </w:r>
    </w:p>
    <w:p>
      <w:pPr>
        <w:pStyle w:val="Heading1"/>
      </w:pPr>
      <w:r>
        <w:t>2. Diagnose: problem archaeology and implication mapping</w:t>
      </w:r>
    </w:p>
    <w:p>
      <w:r>
        <w:t>Goal: create a useful point of view without turning an inference into a claim.</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1656"/>
        <w:gridCol w:w="4680"/>
        <w:gridCol w:w="3024"/>
      </w:tblGrid>
      <w:tr>
        <w:trPr>
          <w:tblHeader w:val="true"/>
        </w:trPr>
        <w:tc>
          <w:tcPr>
            <w:tcW w:type="dxa" w:w="1656"/>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Layer</w:t>
            </w:r>
          </w:p>
        </w:tc>
        <w:tc>
          <w:tcPr>
            <w:tcW w:type="dxa" w:w="4680"/>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What to write</w:t>
            </w:r>
          </w:p>
        </w:tc>
        <w:tc>
          <w:tcPr>
            <w:tcW w:type="dxa" w:w="3024"/>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Quality check</w:t>
            </w:r>
          </w:p>
        </w:tc>
      </w:tr>
      <w:tr>
        <w:tc>
          <w:tcPr>
            <w:tcW w:type="dxa" w:w="1656"/>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Observed reality</w:t>
            </w:r>
          </w:p>
        </w:tc>
        <w:tc>
          <w:tcPr>
            <w:tcW w:type="dxa" w:w="4680"/>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A sourced, dated business or role change</w:t>
            </w:r>
          </w:p>
        </w:tc>
        <w:tc>
          <w:tcPr>
            <w:tcW w:type="dxa" w:w="3024"/>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Could another seller verify it?</w:t>
            </w:r>
          </w:p>
        </w:tc>
      </w:tr>
      <w:tr>
        <w:tc>
          <w:tcPr>
            <w:tcW w:type="dxa" w:w="1656"/>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Probable friction</w:t>
            </w:r>
          </w:p>
        </w:tc>
        <w:tc>
          <w:tcPr>
            <w:tcW w:type="dxa" w:w="4680"/>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A role-specific hypothesis stated with uncertainty</w:t>
            </w:r>
          </w:p>
        </w:tc>
        <w:tc>
          <w:tcPr>
            <w:tcW w:type="dxa" w:w="3024"/>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Does it avoid “you must be struggling”?</w:t>
            </w:r>
          </w:p>
        </w:tc>
      </w:tr>
      <w:tr>
        <w:tc>
          <w:tcPr>
            <w:tcW w:type="dxa" w:w="1656"/>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Potential impact</w:t>
            </w:r>
          </w:p>
        </w:tc>
        <w:tc>
          <w:tcPr>
            <w:tcW w:type="dxa" w:w="4680"/>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A mechanism connecting friction to time, cost, risk, or growth</w:t>
            </w:r>
          </w:p>
        </w:tc>
        <w:tc>
          <w:tcPr>
            <w:tcW w:type="dxa" w:w="3024"/>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Is the number buyer-provided or clearly labeled as an estimate?</w:t>
            </w:r>
          </w:p>
        </w:tc>
      </w:tr>
      <w:tr>
        <w:tc>
          <w:tcPr>
            <w:tcW w:type="dxa" w:w="1656"/>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Validation question</w:t>
            </w:r>
          </w:p>
        </w:tc>
        <w:tc>
          <w:tcPr>
            <w:tcW w:type="dxa" w:w="4680"/>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One open question that tests the hypothesis</w:t>
            </w:r>
          </w:p>
        </w:tc>
        <w:tc>
          <w:tcPr>
            <w:tcW w:type="dxa" w:w="3024"/>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Can the buyer answer without doing homework?</w:t>
            </w:r>
          </w:p>
        </w:tc>
      </w:tr>
      <w:tr>
        <w:tc>
          <w:tcPr>
            <w:tcW w:type="dxa" w:w="1656"/>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Relevant proof</w:t>
            </w:r>
          </w:p>
        </w:tc>
        <w:tc>
          <w:tcPr>
            <w:tcW w:type="dxa" w:w="4680"/>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Approved peer example, benchmark, or useful asset</w:t>
            </w:r>
          </w:p>
        </w:tc>
        <w:tc>
          <w:tcPr>
            <w:tcW w:type="dxa" w:w="3024"/>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Is every name, number, and claim verifiable?</w:t>
            </w:r>
          </w:p>
        </w:tc>
      </w:tr>
    </w:tbl>
    <w:p>
      <w:pPr>
        <w:spacing w:after="0"/>
      </w:pPr>
    </w:p>
    <w:p>
      <w:pPr>
        <w:pStyle w:val="Heading2"/>
      </w:pPr>
      <w:r>
        <w:t>Hypothesis builder</w:t>
      </w:r>
    </w:p>
    <w:p>
      <w:pPr>
        <w:spacing w:before="120" w:after="160"/>
        <w:ind w:left="202" w:right="202"/>
        <w:shd w:fill="EFF6FF"/>
        <w:pBdr>
          <w:left w:val="single" w:sz="20" w:space="8" w:color="2563EB"/>
        </w:pBdr>
      </w:pPr>
      <w:r>
        <w:rPr>
          <w:rFonts w:ascii="Aptos" w:hAnsi="Aptos"/>
          <w:b/>
          <w:color w:val="2563EB"/>
          <w:sz w:val="18"/>
        </w:rPr>
        <w:t>VSA FORMULA</w:t>
      </w:r>
      <w:r>
        <w:rPr>
          <w:rFonts w:ascii="Aptos" w:hAnsi="Aptos"/>
          <w:color w:val="1E293B"/>
          <w:sz w:val="20"/>
        </w:rPr>
        <w:br/>
        <w:t>Because [observed fact], [persona] may be dealing with [probable friction], which could affect [business measure]. I do not know whether that is true here, so I will test it with [validation question].</w:t>
      </w:r>
    </w:p>
    <w:p>
      <w:pPr>
        <w:pStyle w:val="Heading2"/>
      </w:pPr>
      <w:r>
        <w:t>Question ladder</w:t>
      </w:r>
    </w:p>
    <w:p>
      <w:pPr>
        <w:pStyle w:val="ListBullet"/>
      </w:pPr>
      <w:r>
        <w:t>Context: How does the team handle this today?</w:t>
      </w:r>
    </w:p>
    <w:p>
      <w:pPr>
        <w:pStyle w:val="ListBullet"/>
      </w:pPr>
      <w:r>
        <w:t>Friction: Where does that process slow down or create rework?</w:t>
      </w:r>
    </w:p>
    <w:p>
      <w:pPr>
        <w:pStyle w:val="ListBullet"/>
      </w:pPr>
      <w:r>
        <w:t>Impact: When that happens, what changes for time, quality, risk, or revenue?</w:t>
      </w:r>
    </w:p>
    <w:p>
      <w:pPr>
        <w:pStyle w:val="ListBullet"/>
      </w:pPr>
      <w:r>
        <w:t>Priority: Compared with the other initiatives on your plate, where does this sit?</w:t>
      </w:r>
    </w:p>
    <w:p>
      <w:pPr>
        <w:pStyle w:val="ListBullet"/>
      </w:pPr>
      <w:r>
        <w:t>Next step: Who else would need to validate whether this deserves action?</w:t>
      </w:r>
    </w:p>
    <w:p>
      <w:pPr>
        <w:pStyle w:val="Heading1"/>
      </w:pPr>
      <w:r>
        <w:t>3. Deploy: execute a calibrated multichannel cadence</w:t>
      </w:r>
    </w:p>
    <w:p>
      <w:r>
        <w:t>Goal: deliver useful, coordinated touches whose timing, channel, and message reflect the buyer and signal. The baseline below is a VSA starter model - not an external universal benchmark.</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792"/>
        <w:gridCol w:w="792"/>
        <w:gridCol w:w="1224"/>
        <w:gridCol w:w="4536"/>
        <w:gridCol w:w="2016"/>
      </w:tblGrid>
      <w:tr>
        <w:trPr>
          <w:tblHeader w:val="true"/>
        </w:trPr>
        <w:tc>
          <w:tcPr>
            <w:tcW w:type="dxa" w:w="792"/>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Touch</w:t>
            </w:r>
          </w:p>
        </w:tc>
        <w:tc>
          <w:tcPr>
            <w:tcW w:type="dxa" w:w="792"/>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Day</w:t>
            </w:r>
          </w:p>
        </w:tc>
        <w:tc>
          <w:tcPr>
            <w:tcW w:type="dxa" w:w="1224"/>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Channel</w:t>
            </w:r>
          </w:p>
        </w:tc>
        <w:tc>
          <w:tcPr>
            <w:tcW w:type="dxa" w:w="4536"/>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Execution pattern</w:t>
            </w:r>
          </w:p>
        </w:tc>
        <w:tc>
          <w:tcPr>
            <w:tcW w:type="dxa" w:w="2016"/>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Objective</w:t>
            </w:r>
          </w:p>
        </w:tc>
      </w:tr>
      <w:tr>
        <w:tc>
          <w:tcPr>
            <w:tcW w:type="dxa" w:w="792"/>
            <w:vAlign w:val="center"/>
            <w:tcMar>
              <w:top w:w="80" w:type="dxa"/>
              <w:start w:w="120" w:type="dxa"/>
              <w:bottom w:w="80" w:type="dxa"/>
              <w:end w:w="120" w:type="dxa"/>
            </w:tcMar>
          </w:tcPr>
          <w:p>
            <w:pPr>
              <w:spacing w:before="0" w:after="0" w:line="252" w:lineRule="auto"/>
              <w:jc w:val="left"/>
            </w:pPr>
            <w:r/>
            <w:r>
              <w:rPr>
                <w:rFonts w:ascii="Aptos" w:hAnsi="Aptos"/>
                <w:b/>
                <w:color w:val="1E293B"/>
                <w:sz w:val="15"/>
              </w:rPr>
              <w:t>1</w:t>
            </w:r>
          </w:p>
        </w:tc>
        <w:tc>
          <w:tcPr>
            <w:tcW w:type="dxa" w:w="792"/>
            <w:vAlign w:val="center"/>
            <w:tcMar>
              <w:top w:w="80" w:type="dxa"/>
              <w:start w:w="120" w:type="dxa"/>
              <w:bottom w:w="80" w:type="dxa"/>
              <w:end w:w="120" w:type="dxa"/>
            </w:tcMar>
          </w:tcPr>
          <w:p>
            <w:pPr>
              <w:spacing w:before="0" w:after="0" w:line="252" w:lineRule="auto"/>
              <w:jc w:val="left"/>
            </w:pPr>
            <w:r/>
            <w:r>
              <w:rPr>
                <w:rFonts w:ascii="Aptos" w:hAnsi="Aptos"/>
                <w:b w:val="0"/>
                <w:color w:val="1E293B"/>
                <w:sz w:val="15"/>
              </w:rPr>
              <w:t>1</w:t>
            </w:r>
          </w:p>
        </w:tc>
        <w:tc>
          <w:tcPr>
            <w:tcW w:type="dxa" w:w="1224"/>
            <w:vAlign w:val="center"/>
            <w:tcMar>
              <w:top w:w="80" w:type="dxa"/>
              <w:start w:w="120" w:type="dxa"/>
              <w:bottom w:w="80" w:type="dxa"/>
              <w:end w:w="120" w:type="dxa"/>
            </w:tcMar>
          </w:tcPr>
          <w:p>
            <w:pPr>
              <w:spacing w:before="0" w:after="0" w:line="252" w:lineRule="auto"/>
              <w:jc w:val="left"/>
            </w:pPr>
            <w:r/>
            <w:r>
              <w:rPr>
                <w:rFonts w:ascii="Aptos" w:hAnsi="Aptos"/>
                <w:b w:val="0"/>
                <w:color w:val="1E293B"/>
                <w:sz w:val="15"/>
              </w:rPr>
              <w:t>Email</w:t>
            </w:r>
          </w:p>
        </w:tc>
        <w:tc>
          <w:tcPr>
            <w:tcW w:type="dxa" w:w="4536"/>
            <w:vAlign w:val="center"/>
            <w:tcMar>
              <w:top w:w="80" w:type="dxa"/>
              <w:start w:w="120" w:type="dxa"/>
              <w:bottom w:w="80" w:type="dxa"/>
              <w:end w:w="120" w:type="dxa"/>
            </w:tcMar>
          </w:tcPr>
          <w:p>
            <w:pPr>
              <w:spacing w:before="0" w:after="0" w:line="252" w:lineRule="auto"/>
              <w:jc w:val="left"/>
            </w:pPr>
            <w:r/>
            <w:r>
              <w:rPr>
                <w:rFonts w:ascii="Aptos" w:hAnsi="Aptos"/>
                <w:b w:val="0"/>
                <w:color w:val="1E293B"/>
                <w:sz w:val="15"/>
              </w:rPr>
              <w:t>RECAP-style trigger note; interest-based CTA</w:t>
            </w:r>
          </w:p>
        </w:tc>
        <w:tc>
          <w:tcPr>
            <w:tcW w:type="dxa" w:w="2016"/>
            <w:vAlign w:val="center"/>
            <w:tcMar>
              <w:top w:w="80" w:type="dxa"/>
              <w:start w:w="120" w:type="dxa"/>
              <w:bottom w:w="80" w:type="dxa"/>
              <w:end w:w="120" w:type="dxa"/>
            </w:tcMar>
          </w:tcPr>
          <w:p>
            <w:pPr>
              <w:spacing w:before="0" w:after="0" w:line="252" w:lineRule="auto"/>
              <w:jc w:val="left"/>
            </w:pPr>
            <w:r/>
            <w:r>
              <w:rPr>
                <w:rFonts w:ascii="Aptos" w:hAnsi="Aptos"/>
                <w:b w:val="0"/>
                <w:color w:val="1E293B"/>
                <w:sz w:val="15"/>
              </w:rPr>
              <w:t>Establish relevance</w:t>
            </w:r>
          </w:p>
        </w:tc>
      </w:tr>
      <w:tr>
        <w:tc>
          <w:tcPr>
            <w:tcW w:type="dxa" w:w="792"/>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5"/>
              </w:rPr>
              <w:t>2</w:t>
            </w:r>
          </w:p>
        </w:tc>
        <w:tc>
          <w:tcPr>
            <w:tcW w:type="dxa" w:w="792"/>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5"/>
              </w:rPr>
              <w:t>1</w:t>
            </w:r>
          </w:p>
        </w:tc>
        <w:tc>
          <w:tcPr>
            <w:tcW w:type="dxa" w:w="1224"/>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5"/>
              </w:rPr>
              <w:t>Social</w:t>
            </w:r>
          </w:p>
        </w:tc>
        <w:tc>
          <w:tcPr>
            <w:tcW w:type="dxa" w:w="4536"/>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5"/>
              </w:rPr>
              <w:t>View; engage only when a genuine contribution exists</w:t>
            </w:r>
          </w:p>
        </w:tc>
        <w:tc>
          <w:tcPr>
            <w:tcW w:type="dxa" w:w="2016"/>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5"/>
              </w:rPr>
              <w:t>Build familiarity without theater</w:t>
            </w:r>
          </w:p>
        </w:tc>
      </w:tr>
      <w:tr>
        <w:tc>
          <w:tcPr>
            <w:tcW w:type="dxa" w:w="792"/>
            <w:vAlign w:val="center"/>
            <w:tcMar>
              <w:top w:w="80" w:type="dxa"/>
              <w:start w:w="120" w:type="dxa"/>
              <w:bottom w:w="80" w:type="dxa"/>
              <w:end w:w="120" w:type="dxa"/>
            </w:tcMar>
          </w:tcPr>
          <w:p>
            <w:pPr>
              <w:spacing w:before="0" w:after="0" w:line="252" w:lineRule="auto"/>
              <w:jc w:val="left"/>
            </w:pPr>
            <w:r/>
            <w:r>
              <w:rPr>
                <w:rFonts w:ascii="Aptos" w:hAnsi="Aptos"/>
                <w:b/>
                <w:color w:val="1E293B"/>
                <w:sz w:val="15"/>
              </w:rPr>
              <w:t>3</w:t>
            </w:r>
          </w:p>
        </w:tc>
        <w:tc>
          <w:tcPr>
            <w:tcW w:type="dxa" w:w="792"/>
            <w:vAlign w:val="center"/>
            <w:tcMar>
              <w:top w:w="80" w:type="dxa"/>
              <w:start w:w="120" w:type="dxa"/>
              <w:bottom w:w="80" w:type="dxa"/>
              <w:end w:w="120" w:type="dxa"/>
            </w:tcMar>
          </w:tcPr>
          <w:p>
            <w:pPr>
              <w:spacing w:before="0" w:after="0" w:line="252" w:lineRule="auto"/>
              <w:jc w:val="left"/>
            </w:pPr>
            <w:r/>
            <w:r>
              <w:rPr>
                <w:rFonts w:ascii="Aptos" w:hAnsi="Aptos"/>
                <w:b w:val="0"/>
                <w:color w:val="1E293B"/>
                <w:sz w:val="15"/>
              </w:rPr>
              <w:t>3</w:t>
            </w:r>
          </w:p>
        </w:tc>
        <w:tc>
          <w:tcPr>
            <w:tcW w:type="dxa" w:w="1224"/>
            <w:vAlign w:val="center"/>
            <w:tcMar>
              <w:top w:w="80" w:type="dxa"/>
              <w:start w:w="120" w:type="dxa"/>
              <w:bottom w:w="80" w:type="dxa"/>
              <w:end w:w="120" w:type="dxa"/>
            </w:tcMar>
          </w:tcPr>
          <w:p>
            <w:pPr>
              <w:spacing w:before="0" w:after="0" w:line="252" w:lineRule="auto"/>
              <w:jc w:val="left"/>
            </w:pPr>
            <w:r/>
            <w:r>
              <w:rPr>
                <w:rFonts w:ascii="Aptos" w:hAnsi="Aptos"/>
                <w:b w:val="0"/>
                <w:color w:val="1E293B"/>
                <w:sz w:val="15"/>
              </w:rPr>
              <w:t>Phone</w:t>
            </w:r>
          </w:p>
        </w:tc>
        <w:tc>
          <w:tcPr>
            <w:tcW w:type="dxa" w:w="4536"/>
            <w:vAlign w:val="center"/>
            <w:tcMar>
              <w:top w:w="80" w:type="dxa"/>
              <w:start w:w="120" w:type="dxa"/>
              <w:bottom w:w="80" w:type="dxa"/>
              <w:end w:w="120" w:type="dxa"/>
            </w:tcMar>
          </w:tcPr>
          <w:p>
            <w:pPr>
              <w:spacing w:before="0" w:after="0" w:line="252" w:lineRule="auto"/>
              <w:jc w:val="left"/>
            </w:pPr>
            <w:r/>
            <w:r>
              <w:rPr>
                <w:rFonts w:ascii="Aptos" w:hAnsi="Aptos"/>
                <w:b w:val="0"/>
                <w:color w:val="1E293B"/>
                <w:sz w:val="15"/>
              </w:rPr>
              <w:t>Reason-for-call opener; test one hypothesis</w:t>
            </w:r>
          </w:p>
        </w:tc>
        <w:tc>
          <w:tcPr>
            <w:tcW w:type="dxa" w:w="2016"/>
            <w:vAlign w:val="center"/>
            <w:tcMar>
              <w:top w:w="80" w:type="dxa"/>
              <w:start w:w="120" w:type="dxa"/>
              <w:bottom w:w="80" w:type="dxa"/>
              <w:end w:w="120" w:type="dxa"/>
            </w:tcMar>
          </w:tcPr>
          <w:p>
            <w:pPr>
              <w:spacing w:before="0" w:after="0" w:line="252" w:lineRule="auto"/>
              <w:jc w:val="left"/>
            </w:pPr>
            <w:r/>
            <w:r>
              <w:rPr>
                <w:rFonts w:ascii="Aptos" w:hAnsi="Aptos"/>
                <w:b w:val="0"/>
                <w:color w:val="1E293B"/>
                <w:sz w:val="15"/>
              </w:rPr>
              <w:t>Earn a short conversation</w:t>
            </w:r>
          </w:p>
        </w:tc>
      </w:tr>
      <w:tr>
        <w:tc>
          <w:tcPr>
            <w:tcW w:type="dxa" w:w="792"/>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5"/>
              </w:rPr>
              <w:t>4</w:t>
            </w:r>
          </w:p>
        </w:tc>
        <w:tc>
          <w:tcPr>
            <w:tcW w:type="dxa" w:w="792"/>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5"/>
              </w:rPr>
              <w:t>6</w:t>
            </w:r>
          </w:p>
        </w:tc>
        <w:tc>
          <w:tcPr>
            <w:tcW w:type="dxa" w:w="1224"/>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5"/>
              </w:rPr>
              <w:t>Email</w:t>
            </w:r>
          </w:p>
        </w:tc>
        <w:tc>
          <w:tcPr>
            <w:tcW w:type="dxa" w:w="4536"/>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5"/>
              </w:rPr>
              <w:t>Share one relevant proof point or useful asset</w:t>
            </w:r>
          </w:p>
        </w:tc>
        <w:tc>
          <w:tcPr>
            <w:tcW w:type="dxa" w:w="2016"/>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5"/>
              </w:rPr>
              <w:t>Provide value without repeating pitch</w:t>
            </w:r>
          </w:p>
        </w:tc>
      </w:tr>
      <w:tr>
        <w:tc>
          <w:tcPr>
            <w:tcW w:type="dxa" w:w="792"/>
            <w:vAlign w:val="center"/>
            <w:tcMar>
              <w:top w:w="80" w:type="dxa"/>
              <w:start w:w="120" w:type="dxa"/>
              <w:bottom w:w="80" w:type="dxa"/>
              <w:end w:w="120" w:type="dxa"/>
            </w:tcMar>
          </w:tcPr>
          <w:p>
            <w:pPr>
              <w:spacing w:before="0" w:after="0" w:line="252" w:lineRule="auto"/>
              <w:jc w:val="left"/>
            </w:pPr>
            <w:r/>
            <w:r>
              <w:rPr>
                <w:rFonts w:ascii="Aptos" w:hAnsi="Aptos"/>
                <w:b/>
                <w:color w:val="1E293B"/>
                <w:sz w:val="15"/>
              </w:rPr>
              <w:t>5</w:t>
            </w:r>
          </w:p>
        </w:tc>
        <w:tc>
          <w:tcPr>
            <w:tcW w:type="dxa" w:w="792"/>
            <w:vAlign w:val="center"/>
            <w:tcMar>
              <w:top w:w="80" w:type="dxa"/>
              <w:start w:w="120" w:type="dxa"/>
              <w:bottom w:w="80" w:type="dxa"/>
              <w:end w:w="120" w:type="dxa"/>
            </w:tcMar>
          </w:tcPr>
          <w:p>
            <w:pPr>
              <w:spacing w:before="0" w:after="0" w:line="252" w:lineRule="auto"/>
              <w:jc w:val="left"/>
            </w:pPr>
            <w:r/>
            <w:r>
              <w:rPr>
                <w:rFonts w:ascii="Aptos" w:hAnsi="Aptos"/>
                <w:b w:val="0"/>
                <w:color w:val="1E293B"/>
                <w:sz w:val="15"/>
              </w:rPr>
              <w:t>8</w:t>
            </w:r>
          </w:p>
        </w:tc>
        <w:tc>
          <w:tcPr>
            <w:tcW w:type="dxa" w:w="1224"/>
            <w:vAlign w:val="center"/>
            <w:tcMar>
              <w:top w:w="80" w:type="dxa"/>
              <w:start w:w="120" w:type="dxa"/>
              <w:bottom w:w="80" w:type="dxa"/>
              <w:end w:w="120" w:type="dxa"/>
            </w:tcMar>
          </w:tcPr>
          <w:p>
            <w:pPr>
              <w:spacing w:before="0" w:after="0" w:line="252" w:lineRule="auto"/>
              <w:jc w:val="left"/>
            </w:pPr>
            <w:r/>
            <w:r>
              <w:rPr>
                <w:rFonts w:ascii="Aptos" w:hAnsi="Aptos"/>
                <w:b w:val="0"/>
                <w:color w:val="1E293B"/>
                <w:sz w:val="15"/>
              </w:rPr>
              <w:t>Video/voice</w:t>
            </w:r>
          </w:p>
        </w:tc>
        <w:tc>
          <w:tcPr>
            <w:tcW w:type="dxa" w:w="4536"/>
            <w:vAlign w:val="center"/>
            <w:tcMar>
              <w:top w:w="80" w:type="dxa"/>
              <w:start w:w="120" w:type="dxa"/>
              <w:bottom w:w="80" w:type="dxa"/>
              <w:end w:w="120" w:type="dxa"/>
            </w:tcMar>
          </w:tcPr>
          <w:p>
            <w:pPr>
              <w:spacing w:before="0" w:after="0" w:line="252" w:lineRule="auto"/>
              <w:jc w:val="left"/>
            </w:pPr>
            <w:r/>
            <w:r>
              <w:rPr>
                <w:rFonts w:ascii="Aptos" w:hAnsi="Aptos"/>
                <w:b w:val="0"/>
                <w:color w:val="1E293B"/>
                <w:sz w:val="15"/>
              </w:rPr>
              <w:t>Optional 45-second personalized walkthrough</w:t>
            </w:r>
          </w:p>
        </w:tc>
        <w:tc>
          <w:tcPr>
            <w:tcW w:type="dxa" w:w="2016"/>
            <w:vAlign w:val="center"/>
            <w:tcMar>
              <w:top w:w="80" w:type="dxa"/>
              <w:start w:w="120" w:type="dxa"/>
              <w:bottom w:w="80" w:type="dxa"/>
              <w:end w:w="120" w:type="dxa"/>
            </w:tcMar>
          </w:tcPr>
          <w:p>
            <w:pPr>
              <w:spacing w:before="0" w:after="0" w:line="252" w:lineRule="auto"/>
              <w:jc w:val="left"/>
            </w:pPr>
            <w:r/>
            <w:r>
              <w:rPr>
                <w:rFonts w:ascii="Aptos" w:hAnsi="Aptos"/>
                <w:b w:val="0"/>
                <w:color w:val="1E293B"/>
                <w:sz w:val="15"/>
              </w:rPr>
              <w:t>Make the diagnosis concrete</w:t>
            </w:r>
          </w:p>
        </w:tc>
      </w:tr>
      <w:tr>
        <w:tc>
          <w:tcPr>
            <w:tcW w:type="dxa" w:w="792"/>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5"/>
              </w:rPr>
              <w:t>6</w:t>
            </w:r>
          </w:p>
        </w:tc>
        <w:tc>
          <w:tcPr>
            <w:tcW w:type="dxa" w:w="792"/>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5"/>
              </w:rPr>
              <w:t>10</w:t>
            </w:r>
          </w:p>
        </w:tc>
        <w:tc>
          <w:tcPr>
            <w:tcW w:type="dxa" w:w="1224"/>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5"/>
              </w:rPr>
              <w:t>Email</w:t>
            </w:r>
          </w:p>
        </w:tc>
        <w:tc>
          <w:tcPr>
            <w:tcW w:type="dxa" w:w="4536"/>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5"/>
              </w:rPr>
              <w:t>Permission-based close or documented nurture</w:t>
            </w:r>
          </w:p>
        </w:tc>
        <w:tc>
          <w:tcPr>
            <w:tcW w:type="dxa" w:w="2016"/>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5"/>
              </w:rPr>
              <w:t>Respectfully close the loop</w:t>
            </w:r>
          </w:p>
        </w:tc>
      </w:tr>
    </w:tbl>
    <w:p>
      <w:pPr>
        <w:spacing w:after="0"/>
      </w:pPr>
    </w:p>
    <w:p>
      <w:pPr>
        <w:pStyle w:val="Heading2"/>
      </w:pPr>
      <w:r>
        <w:t>Choose the cadence variant</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1440"/>
        <w:gridCol w:w="3096"/>
        <w:gridCol w:w="2088"/>
        <w:gridCol w:w="2736"/>
      </w:tblGrid>
      <w:tr>
        <w:trPr>
          <w:tblHeader w:val="true"/>
        </w:trPr>
        <w:tc>
          <w:tcPr>
            <w:tcW w:type="dxa" w:w="1440"/>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Variant</w:t>
            </w:r>
          </w:p>
        </w:tc>
        <w:tc>
          <w:tcPr>
            <w:tcW w:type="dxa" w:w="3096"/>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Use when</w:t>
            </w:r>
          </w:p>
        </w:tc>
        <w:tc>
          <w:tcPr>
            <w:tcW w:type="dxa" w:w="2088"/>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Starting design</w:t>
            </w:r>
          </w:p>
        </w:tc>
        <w:tc>
          <w:tcPr>
            <w:tcW w:type="dxa" w:w="2736"/>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Adaptation rule</w:t>
            </w:r>
          </w:p>
        </w:tc>
      </w:tr>
      <w:tr>
        <w:tc>
          <w:tcPr>
            <w:tcW w:type="dxa" w:w="1440"/>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Hot signal</w:t>
            </w:r>
          </w:p>
        </w:tc>
        <w:tc>
          <w:tcPr>
            <w:tcW w:type="dxa" w:w="3096"/>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Direct engagement, referral, active project, inbound hand raise</w:t>
            </w:r>
          </w:p>
        </w:tc>
        <w:tc>
          <w:tcPr>
            <w:tcW w:type="dxa" w:w="2088"/>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4 touches / 5 business days</w:t>
            </w:r>
          </w:p>
        </w:tc>
        <w:tc>
          <w:tcPr>
            <w:tcW w:type="dxa" w:w="2736"/>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Respond to the buyer's action and speed</w:t>
            </w:r>
          </w:p>
        </w:tc>
      </w:tr>
      <w:tr>
        <w:tc>
          <w:tcPr>
            <w:tcW w:type="dxa" w:w="1440"/>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Standard</w:t>
            </w:r>
          </w:p>
        </w:tc>
        <w:tc>
          <w:tcPr>
            <w:tcW w:type="dxa" w:w="3096"/>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Good fit plus a credible time-bound signal</w:t>
            </w:r>
          </w:p>
        </w:tc>
        <w:tc>
          <w:tcPr>
            <w:tcW w:type="dxa" w:w="2088"/>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6 touches / 10 business days</w:t>
            </w:r>
          </w:p>
        </w:tc>
        <w:tc>
          <w:tcPr>
            <w:tcW w:type="dxa" w:w="2736"/>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Use the supplied VSA baseline</w:t>
            </w:r>
          </w:p>
        </w:tc>
      </w:tr>
      <w:tr>
        <w:tc>
          <w:tcPr>
            <w:tcW w:type="dxa" w:w="1440"/>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Strategic</w:t>
            </w:r>
          </w:p>
        </w:tc>
        <w:tc>
          <w:tcPr>
            <w:tcW w:type="dxa" w:w="3096"/>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High-value account with multiple stakeholders</w:t>
            </w:r>
          </w:p>
        </w:tc>
        <w:tc>
          <w:tcPr>
            <w:tcW w:type="dxa" w:w="2088"/>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8 touches / 15 business days</w:t>
            </w:r>
          </w:p>
        </w:tc>
        <w:tc>
          <w:tcPr>
            <w:tcW w:type="dxa" w:w="2736"/>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Research deeper, add breathing room, multithread carefully</w:t>
            </w:r>
          </w:p>
        </w:tc>
      </w:tr>
    </w:tbl>
    <w:p>
      <w:pPr>
        <w:spacing w:after="0"/>
      </w:pPr>
    </w:p>
    <w:p>
      <w:pPr>
        <w:spacing w:before="80" w:after="80"/>
      </w:pPr>
      <w:r>
        <w:rPr>
          <w:i/>
          <w:color w:val="64748B"/>
          <w:sz w:val="17"/>
        </w:rPr>
        <w:t>Evidence note: Gong recommends planning touchpoints, using multiple channels, and calibrating cadence length from historical results. SaaStr likewise cautions that touch counts depend on market context and should be tested.</w:t>
      </w:r>
    </w:p>
    <w:p>
      <w:pPr>
        <w:pStyle w:val="Heading2"/>
      </w:pPr>
      <w:r>
        <w:t>Channel-ready scripts</w:t>
      </w:r>
    </w:p>
    <w:p>
      <w:pPr>
        <w:spacing w:before="120" w:after="160"/>
        <w:ind w:left="202" w:right="202"/>
        <w:shd w:fill="EFF6FF"/>
        <w:pBdr>
          <w:left w:val="single" w:sz="20" w:space="8" w:color="2563EB"/>
        </w:pBdr>
      </w:pPr>
      <w:r>
        <w:rPr>
          <w:rFonts w:ascii="Aptos" w:hAnsi="Aptos"/>
          <w:b/>
          <w:color w:val="2563EB"/>
          <w:sz w:val="18"/>
        </w:rPr>
        <w:t>EMAIL</w:t>
      </w:r>
      <w:r>
        <w:rPr>
          <w:rFonts w:ascii="Aptos" w:hAnsi="Aptos"/>
          <w:color w:val="1E293B"/>
          <w:sz w:val="20"/>
        </w:rPr>
        <w:br/>
        <w:t>Subject: [company / signal]</w:t>
        <w:br/>
        <w:t>Hi [Name] - saw [verified signal]. Teams in [role context] sometimes find [hypothesis]. We created [useful asset/proof] to help assess it. Open to a copy?</w:t>
      </w:r>
    </w:p>
    <w:p>
      <w:pPr>
        <w:spacing w:before="120" w:after="160"/>
        <w:ind w:left="202" w:right="202"/>
        <w:shd w:fill="ECFDF5"/>
        <w:pBdr>
          <w:left w:val="single" w:sz="20" w:space="8" w:color="10B981"/>
        </w:pBdr>
      </w:pPr>
      <w:r>
        <w:rPr>
          <w:rFonts w:ascii="Aptos" w:hAnsi="Aptos"/>
          <w:b/>
          <w:color w:val="10B981"/>
          <w:sz w:val="18"/>
        </w:rPr>
        <w:t>PHONE</w:t>
      </w:r>
      <w:r>
        <w:rPr>
          <w:rFonts w:ascii="Aptos" w:hAnsi="Aptos"/>
          <w:color w:val="1E293B"/>
          <w:sz w:val="20"/>
        </w:rPr>
        <w:br/>
        <w:t>Hi [Name], this is [Rep] with [Company]. The reason for my call is [verified signal + role relevance]. I may be wrong, but I wondered whether [one testable friction] is showing up for your team. Worth a quick question?</w:t>
      </w:r>
    </w:p>
    <w:p>
      <w:pPr>
        <w:spacing w:before="120" w:after="160"/>
        <w:ind w:left="202" w:right="202"/>
        <w:shd w:fill="FFF7ED"/>
        <w:pBdr>
          <w:left w:val="single" w:sz="20" w:space="8" w:color="F97316"/>
        </w:pBdr>
      </w:pPr>
      <w:r>
        <w:rPr>
          <w:rFonts w:ascii="Aptos" w:hAnsi="Aptos"/>
          <w:b/>
          <w:color w:val="F97316"/>
          <w:sz w:val="18"/>
        </w:rPr>
        <w:t>CLEAN EXIT</w:t>
      </w:r>
      <w:r>
        <w:rPr>
          <w:rFonts w:ascii="Aptos" w:hAnsi="Aptos"/>
          <w:color w:val="1E293B"/>
          <w:sz w:val="20"/>
        </w:rPr>
        <w:br/>
        <w:t>It may be that timing or fit is off, so I will close the loop here. If [specific trigger] becomes relevant later, I am happy to share [useful resource].</w:t>
      </w:r>
    </w:p>
    <w:p>
      <w:pPr>
        <w:spacing w:before="120" w:after="160"/>
        <w:ind w:left="202" w:right="202"/>
        <w:shd w:fill="F8FAFC"/>
        <w:pBdr>
          <w:left w:val="single" w:sz="20" w:space="8" w:color="2563EB"/>
        </w:pBdr>
      </w:pPr>
      <w:r>
        <w:rPr>
          <w:rFonts w:ascii="Aptos" w:hAnsi="Aptos"/>
          <w:b/>
          <w:color w:val="2563EB"/>
          <w:sz w:val="18"/>
        </w:rPr>
        <w:t>COLD-EMAIL COACHING STANDARD</w:t>
      </w:r>
      <w:r>
        <w:rPr>
          <w:rFonts w:ascii="Aptos" w:hAnsi="Aptos"/>
          <w:color w:val="1E293B"/>
          <w:sz w:val="20"/>
        </w:rPr>
        <w:br/>
        <w:t>Use the VSA diagnostic before sending. “Under 75 words” is a useful starter constraint for first-touch discipline, not a universal law. Preserve buyer context, clarity, and verifiable proof over arbitrary brevity.</w:t>
      </w:r>
    </w:p>
    <w:p>
      <w:pPr>
        <w:pStyle w:val="Heading2"/>
      </w:pPr>
      <w:r>
        <w:t>Stop, recycle, and preference rules</w:t>
      </w:r>
    </w:p>
    <w:p>
      <w:pPr>
        <w:pStyle w:val="ListBullet"/>
      </w:pPr>
      <w:r>
        <w:t>Stop immediately after an opt-out, do-not-contact instruction, legal/compliance restriction, or clear no.</w:t>
      </w:r>
    </w:p>
    <w:p>
      <w:pPr>
        <w:pStyle w:val="ListBullet"/>
      </w:pPr>
      <w:r>
        <w:t>Pause when the buyer requests a channel or time preference; record that preference in the CRM.</w:t>
      </w:r>
    </w:p>
    <w:p>
      <w:pPr>
        <w:pStyle w:val="ListBullet"/>
      </w:pPr>
      <w:r>
        <w:t>Recycle “not now” only with a reason and future review date.</w:t>
      </w:r>
    </w:p>
    <w:p>
      <w:pPr>
        <w:pStyle w:val="ListBullet"/>
      </w:pPr>
      <w:r>
        <w:t>Re-enter active prospecting only when a defined event occurs: new engagement, role change, funding, initiative, referral, or agreed date.</w:t>
      </w:r>
    </w:p>
    <w:p>
      <w:pPr>
        <w:pStyle w:val="ListBullet"/>
      </w:pPr>
      <w:r>
        <w:t>Do not manufacture activity by extending an exhausted cadence without new evidence.</w:t>
      </w:r>
    </w:p>
    <w:p>
      <w:pPr>
        <w:pStyle w:val="Heading1"/>
      </w:pPr>
      <w:r>
        <w:t>4. Drive: meeting conversion and discovery handoff</w:t>
      </w:r>
    </w:p>
    <w:p>
      <w:r>
        <w:t>Goal: turn a positive or ambiguous response into the smallest sensible next step, then transfer context without making the buyer repeat the first conversation.</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1656"/>
        <w:gridCol w:w="4536"/>
        <w:gridCol w:w="3168"/>
      </w:tblGrid>
      <w:tr>
        <w:trPr>
          <w:tblHeader w:val="true"/>
        </w:trPr>
        <w:tc>
          <w:tcPr>
            <w:tcW w:type="dxa" w:w="1656"/>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Response state</w:t>
            </w:r>
          </w:p>
        </w:tc>
        <w:tc>
          <w:tcPr>
            <w:tcW w:type="dxa" w:w="4536"/>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Seller move</w:t>
            </w:r>
          </w:p>
        </w:tc>
        <w:tc>
          <w:tcPr>
            <w:tcW w:type="dxa" w:w="3168"/>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CRM result</w:t>
            </w:r>
          </w:p>
        </w:tc>
      </w:tr>
      <w:tr>
        <w:tc>
          <w:tcPr>
            <w:tcW w:type="dxa" w:w="1656"/>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Interested</w:t>
            </w:r>
          </w:p>
        </w:tc>
        <w:tc>
          <w:tcPr>
            <w:tcW w:type="dxa" w:w="4536"/>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Yield, clarify the problem, frame a short next step</w:t>
            </w:r>
          </w:p>
        </w:tc>
        <w:tc>
          <w:tcPr>
            <w:tcW w:type="dxa" w:w="3168"/>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Meeting booked + agenda + owner</w:t>
            </w:r>
          </w:p>
        </w:tc>
      </w:tr>
      <w:tr>
        <w:tc>
          <w:tcPr>
            <w:tcW w:type="dxa" w:w="1656"/>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Curious / asks for info</w:t>
            </w:r>
          </w:p>
        </w:tc>
        <w:tc>
          <w:tcPr>
            <w:tcW w:type="dxa" w:w="4536"/>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Send the promised asset; attach one question</w:t>
            </w:r>
          </w:p>
        </w:tc>
        <w:tc>
          <w:tcPr>
            <w:tcW w:type="dxa" w:w="3168"/>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Follow-up date + engagement state</w:t>
            </w:r>
          </w:p>
        </w:tc>
      </w:tr>
      <w:tr>
        <w:tc>
          <w:tcPr>
            <w:tcW w:type="dxa" w:w="1656"/>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Not now</w:t>
            </w:r>
          </w:p>
        </w:tc>
        <w:tc>
          <w:tcPr>
            <w:tcW w:type="dxa" w:w="4536"/>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Clarify timing or trigger; avoid forced meeting</w:t>
            </w:r>
          </w:p>
        </w:tc>
        <w:tc>
          <w:tcPr>
            <w:tcW w:type="dxa" w:w="3168"/>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Nurture + reason + review date</w:t>
            </w:r>
          </w:p>
        </w:tc>
      </w:tr>
      <w:tr>
        <w:tc>
          <w:tcPr>
            <w:tcW w:type="dxa" w:w="1656"/>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Wrong person</w:t>
            </w:r>
          </w:p>
        </w:tc>
        <w:tc>
          <w:tcPr>
            <w:tcW w:type="dxa" w:w="4536"/>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Ask for role guidance; use names only with permission</w:t>
            </w:r>
          </w:p>
        </w:tc>
        <w:tc>
          <w:tcPr>
            <w:tcW w:type="dxa" w:w="3168"/>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Referral path or persona correction</w:t>
            </w:r>
          </w:p>
        </w:tc>
      </w:tr>
      <w:tr>
        <w:tc>
          <w:tcPr>
            <w:tcW w:type="dxa" w:w="1656"/>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No / opt-out</w:t>
            </w:r>
          </w:p>
        </w:tc>
        <w:tc>
          <w:tcPr>
            <w:tcW w:type="dxa" w:w="4536"/>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Acknowledge and stop</w:t>
            </w:r>
          </w:p>
        </w:tc>
        <w:tc>
          <w:tcPr>
            <w:tcW w:type="dxa" w:w="3168"/>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Closed/disqualified + reason</w:t>
            </w:r>
          </w:p>
        </w:tc>
      </w:tr>
    </w:tbl>
    <w:p>
      <w:pPr>
        <w:spacing w:after="0"/>
      </w:pPr>
    </w:p>
    <w:p>
      <w:pPr>
        <w:pStyle w:val="Heading2"/>
      </w:pPr>
      <w:r>
        <w:t>Yield &amp; Frame meeting conversion</w:t>
      </w:r>
    </w:p>
    <w:p>
      <w:pPr>
        <w:spacing w:before="120" w:after="160"/>
        <w:ind w:left="202" w:right="202"/>
        <w:shd w:fill="ECFDF5"/>
        <w:pBdr>
          <w:left w:val="single" w:sz="20" w:space="8" w:color="10B981"/>
        </w:pBdr>
      </w:pPr>
      <w:r>
        <w:rPr>
          <w:rFonts w:ascii="Aptos" w:hAnsi="Aptos"/>
          <w:b/>
          <w:color w:val="10B981"/>
          <w:sz w:val="18"/>
        </w:rPr>
        <w:t>SCRIPT</w:t>
      </w:r>
      <w:r>
        <w:rPr>
          <w:rFonts w:ascii="Aptos" w:hAnsi="Aptos"/>
          <w:color w:val="1E293B"/>
          <w:sz w:val="20"/>
        </w:rPr>
        <w:br/>
        <w:t>Glad that is relevant. Rather than run a generic product tour, let us use 15 minutes to compare your current approach with [approved framework or verified peer pattern] and decide whether a deeper conversation is warranted. Would [option A] or [option B] work?</w:t>
      </w:r>
    </w:p>
    <w:p>
      <w:pPr>
        <w:spacing w:before="120" w:after="160"/>
        <w:ind w:left="202" w:right="202"/>
        <w:shd w:fill="FFF7ED"/>
        <w:pBdr>
          <w:left w:val="single" w:sz="20" w:space="8" w:color="F97316"/>
        </w:pBdr>
      </w:pPr>
      <w:r>
        <w:rPr>
          <w:rFonts w:ascii="Aptos" w:hAnsi="Aptos"/>
          <w:b/>
          <w:color w:val="F97316"/>
          <w:sz w:val="18"/>
        </w:rPr>
        <w:t>PROOF INTEGRITY</w:t>
      </w:r>
      <w:r>
        <w:rPr>
          <w:rFonts w:ascii="Aptos" w:hAnsi="Aptos"/>
          <w:color w:val="1E293B"/>
          <w:sz w:val="20"/>
        </w:rPr>
        <w:br/>
        <w:t>Never claim a named peer, competitor result, or “cut in half” outcome unless it is approved and verifiable. If no proof is available, frame the meeting around the buyer's process and the diagnostic worksheet.</w:t>
      </w:r>
    </w:p>
    <w:p>
      <w:pPr>
        <w:pStyle w:val="Heading2"/>
      </w:pPr>
      <w:r>
        <w:t>Handoff acceptance criteria</w:t>
      </w:r>
    </w:p>
    <w:p>
      <w:pPr>
        <w:pStyle w:val="ListBullet"/>
      </w:pPr>
      <w:r>
        <w:t>Confirmed problem or agreed area to explore - not just a polite calendar acceptance.</w:t>
      </w:r>
    </w:p>
    <w:p>
      <w:pPr>
        <w:pStyle w:val="ListBullet"/>
      </w:pPr>
      <w:r>
        <w:t>Target contact, role, and any known stakeholder or referral context.</w:t>
      </w:r>
    </w:p>
    <w:p>
      <w:pPr>
        <w:pStyle w:val="ListBullet"/>
      </w:pPr>
      <w:r>
        <w:t>Source signal, date, fact, inference, and buyer-corrected information.</w:t>
      </w:r>
    </w:p>
    <w:p>
      <w:pPr>
        <w:pStyle w:val="ListBullet"/>
      </w:pPr>
      <w:r>
        <w:t>Buyer language describing impact, priority, timing, or current process.</w:t>
      </w:r>
    </w:p>
    <w:p>
      <w:pPr>
        <w:pStyle w:val="ListBullet"/>
      </w:pPr>
      <w:r>
        <w:t>Agreed next step, meeting objective, owner, and date.</w:t>
      </w:r>
    </w:p>
    <w:p>
      <w:pPr>
        <w:pStyle w:val="ListBullet"/>
      </w:pPr>
      <w:r>
        <w:t>Relevant consent, communication preference, and do-not-contact status.</w:t>
      </w:r>
    </w:p>
    <w:p>
      <w:pPr>
        <w:pStyle w:val="Heading1"/>
      </w:pPr>
      <w:r>
        <w:t>The control layer: plan, record, review</w:t>
      </w:r>
    </w:p>
    <w:p>
      <w:pPr>
        <w:pStyle w:val="Heading2"/>
      </w:pPr>
      <w:r>
        <w:t>Daily IC rhythm</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1800"/>
        <w:gridCol w:w="1800"/>
        <w:gridCol w:w="5760"/>
      </w:tblGrid>
      <w:tr>
        <w:trPr>
          <w:tblHeader w:val="true"/>
        </w:trPr>
        <w:tc>
          <w:tcPr>
            <w:tcW w:type="dxa" w:w="1800"/>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Block</w:t>
            </w:r>
          </w:p>
        </w:tc>
        <w:tc>
          <w:tcPr>
            <w:tcW w:type="dxa" w:w="1800"/>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Default time</w:t>
            </w:r>
          </w:p>
        </w:tc>
        <w:tc>
          <w:tcPr>
            <w:tcW w:type="dxa" w:w="5760"/>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Required output</w:t>
            </w:r>
          </w:p>
        </w:tc>
      </w:tr>
      <w:tr>
        <w:tc>
          <w:tcPr>
            <w:tcW w:type="dxa" w:w="1800"/>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Queue reset</w:t>
            </w:r>
          </w:p>
        </w:tc>
        <w:tc>
          <w:tcPr>
            <w:tcW w:type="dxa" w:w="1800"/>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08:15-08:30</w:t>
            </w:r>
          </w:p>
        </w:tc>
        <w:tc>
          <w:tcPr>
            <w:tcW w:type="dxa" w:w="5760"/>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Overdue tasks cleared; top accounts selected</w:t>
            </w:r>
          </w:p>
        </w:tc>
      </w:tr>
      <w:tr>
        <w:tc>
          <w:tcPr>
            <w:tcW w:type="dxa" w:w="1800"/>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Detect</w:t>
            </w:r>
          </w:p>
        </w:tc>
        <w:tc>
          <w:tcPr>
            <w:tcW w:type="dxa" w:w="1800"/>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08:30-09:30</w:t>
            </w:r>
          </w:p>
        </w:tc>
        <w:tc>
          <w:tcPr>
            <w:tcW w:type="dxa" w:w="5760"/>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Five scored accounts with source/date</w:t>
            </w:r>
          </w:p>
        </w:tc>
      </w:tr>
      <w:tr>
        <w:tc>
          <w:tcPr>
            <w:tcW w:type="dxa" w:w="1800"/>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Live channels</w:t>
            </w:r>
          </w:p>
        </w:tc>
        <w:tc>
          <w:tcPr>
            <w:tcW w:type="dxa" w:w="1800"/>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09:30-11:00</w:t>
            </w:r>
          </w:p>
        </w:tc>
        <w:tc>
          <w:tcPr>
            <w:tcW w:type="dxa" w:w="5760"/>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Calls, voice, or time-sensitive replies</w:t>
            </w:r>
          </w:p>
        </w:tc>
      </w:tr>
      <w:tr>
        <w:tc>
          <w:tcPr>
            <w:tcW w:type="dxa" w:w="1800"/>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Diagnose + deploy</w:t>
            </w:r>
          </w:p>
        </w:tc>
        <w:tc>
          <w:tcPr>
            <w:tcW w:type="dxa" w:w="1800"/>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11:00-12:30</w:t>
            </w:r>
          </w:p>
        </w:tc>
        <w:tc>
          <w:tcPr>
            <w:tcW w:type="dxa" w:w="5760"/>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Reviewed messages and cadence steps</w:t>
            </w:r>
          </w:p>
        </w:tc>
      </w:tr>
      <w:tr>
        <w:tc>
          <w:tcPr>
            <w:tcW w:type="dxa" w:w="1800"/>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Meetings + practice</w:t>
            </w:r>
          </w:p>
        </w:tc>
        <w:tc>
          <w:tcPr>
            <w:tcW w:type="dxa" w:w="1800"/>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13:30-15:00</w:t>
            </w:r>
          </w:p>
        </w:tc>
        <w:tc>
          <w:tcPr>
            <w:tcW w:type="dxa" w:w="5760"/>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Discovery, role-play, or call review</w:t>
            </w:r>
          </w:p>
        </w:tc>
      </w:tr>
      <w:tr>
        <w:tc>
          <w:tcPr>
            <w:tcW w:type="dxa" w:w="1800"/>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Second live block</w:t>
            </w:r>
          </w:p>
        </w:tc>
        <w:tc>
          <w:tcPr>
            <w:tcW w:type="dxa" w:w="1800"/>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15:00-16:15</w:t>
            </w:r>
          </w:p>
        </w:tc>
        <w:tc>
          <w:tcPr>
            <w:tcW w:type="dxa" w:w="5760"/>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Calls, follow-ups, or stakeholder touches</w:t>
            </w:r>
          </w:p>
        </w:tc>
      </w:tr>
      <w:tr>
        <w:tc>
          <w:tcPr>
            <w:tcW w:type="dxa" w:w="1800"/>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Record + review</w:t>
            </w:r>
          </w:p>
        </w:tc>
        <w:tc>
          <w:tcPr>
            <w:tcW w:type="dxa" w:w="1800"/>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16:30-17:00</w:t>
            </w:r>
          </w:p>
        </w:tc>
        <w:tc>
          <w:tcPr>
            <w:tcW w:type="dxa" w:w="5760"/>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CRM complete; metrics and tomorrow queue updated</w:t>
            </w:r>
          </w:p>
        </w:tc>
      </w:tr>
    </w:tbl>
    <w:p>
      <w:pPr>
        <w:spacing w:after="0"/>
      </w:pPr>
    </w:p>
    <w:p>
      <w:pPr>
        <w:spacing w:before="120" w:after="160"/>
        <w:ind w:left="202" w:right="202"/>
        <w:shd w:fill="F8FAFC"/>
        <w:pBdr>
          <w:left w:val="single" w:sz="20" w:space="8" w:color="2563EB"/>
        </w:pBdr>
      </w:pPr>
      <w:r>
        <w:rPr>
          <w:rFonts w:ascii="Aptos" w:hAnsi="Aptos"/>
          <w:b/>
          <w:color w:val="2563EB"/>
          <w:sz w:val="18"/>
        </w:rPr>
        <w:t>ADAPTATION RULE</w:t>
      </w:r>
      <w:r>
        <w:rPr>
          <w:rFonts w:ascii="Aptos" w:hAnsi="Aptos"/>
          <w:color w:val="1E293B"/>
          <w:sz w:val="20"/>
        </w:rPr>
        <w:br/>
        <w:t>These times are a starter pattern. Protect the sequence of work - queue, live outreach, thoughtful drafting, practice, CRM closeout - and adapt the clock to buyer time zones, employer policy, accessibility needs, and actual response data.</w:t>
      </w:r>
    </w:p>
    <w:p>
      <w:pPr>
        <w:pStyle w:val="Heading2"/>
      </w:pPr>
      <w:r>
        <w:t>Capacity and pacing math</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1944"/>
        <w:gridCol w:w="3960"/>
        <w:gridCol w:w="3456"/>
      </w:tblGrid>
      <w:tr>
        <w:trPr>
          <w:tblHeader w:val="true"/>
        </w:trPr>
        <w:tc>
          <w:tcPr>
            <w:tcW w:type="dxa" w:w="1944"/>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Calculation</w:t>
            </w:r>
          </w:p>
        </w:tc>
        <w:tc>
          <w:tcPr>
            <w:tcW w:type="dxa" w:w="3960"/>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Formula</w:t>
            </w:r>
          </w:p>
        </w:tc>
        <w:tc>
          <w:tcPr>
            <w:tcW w:type="dxa" w:w="3456"/>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Use</w:t>
            </w:r>
          </w:p>
        </w:tc>
      </w:tr>
      <w:tr>
        <w:tc>
          <w:tcPr>
            <w:tcW w:type="dxa" w:w="1944"/>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Accounts required</w:t>
            </w:r>
          </w:p>
        </w:tc>
        <w:tc>
          <w:tcPr>
            <w:tcW w:type="dxa" w:w="3960"/>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Weekly meetings target / account-to-meeting rate</w:t>
            </w:r>
          </w:p>
        </w:tc>
        <w:tc>
          <w:tcPr>
            <w:tcW w:type="dxa" w:w="3456"/>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Estimate weekly active-account need</w:t>
            </w:r>
          </w:p>
        </w:tc>
      </w:tr>
      <w:tr>
        <w:tc>
          <w:tcPr>
            <w:tcW w:type="dxa" w:w="1944"/>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Daily new accounts</w:t>
            </w:r>
          </w:p>
        </w:tc>
        <w:tc>
          <w:tcPr>
            <w:tcW w:type="dxa" w:w="3960"/>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Accounts required / working days</w:t>
            </w:r>
          </w:p>
        </w:tc>
        <w:tc>
          <w:tcPr>
            <w:tcW w:type="dxa" w:w="3456"/>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Size the Detect block</w:t>
            </w:r>
          </w:p>
        </w:tc>
      </w:tr>
      <w:tr>
        <w:tc>
          <w:tcPr>
            <w:tcW w:type="dxa" w:w="1944"/>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Conversation need</w:t>
            </w:r>
          </w:p>
        </w:tc>
        <w:tc>
          <w:tcPr>
            <w:tcW w:type="dxa" w:w="3960"/>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Meetings target / conversation-to-meeting rate</w:t>
            </w:r>
          </w:p>
        </w:tc>
        <w:tc>
          <w:tcPr>
            <w:tcW w:type="dxa" w:w="3456"/>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Diagnose conversion pressure</w:t>
            </w:r>
          </w:p>
        </w:tc>
      </w:tr>
      <w:tr>
        <w:tc>
          <w:tcPr>
            <w:tcW w:type="dxa" w:w="1944"/>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Touch capacity</w:t>
            </w:r>
          </w:p>
        </w:tc>
        <w:tc>
          <w:tcPr>
            <w:tcW w:type="dxa" w:w="3960"/>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Available outreach minutes / average minutes per touch</w:t>
            </w:r>
          </w:p>
        </w:tc>
        <w:tc>
          <w:tcPr>
            <w:tcW w:type="dxa" w:w="3456"/>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Prevent an impossible cadence load</w:t>
            </w:r>
          </w:p>
        </w:tc>
      </w:tr>
    </w:tbl>
    <w:p>
      <w:pPr>
        <w:spacing w:after="0"/>
      </w:pPr>
    </w:p>
    <w:p>
      <w:pPr>
        <w:spacing w:before="120" w:after="160"/>
        <w:ind w:left="202" w:right="202"/>
        <w:shd w:fill="FFF7ED"/>
        <w:pBdr>
          <w:left w:val="single" w:sz="20" w:space="8" w:color="F97316"/>
        </w:pBdr>
      </w:pPr>
      <w:r>
        <w:rPr>
          <w:rFonts w:ascii="Aptos" w:hAnsi="Aptos"/>
          <w:b/>
          <w:color w:val="F97316"/>
          <w:sz w:val="18"/>
        </w:rPr>
        <w:t>NO INVENTED BENCHMARKS</w:t>
      </w:r>
      <w:r>
        <w:rPr>
          <w:rFonts w:ascii="Aptos" w:hAnsi="Aptos"/>
          <w:color w:val="1E293B"/>
          <w:sz w:val="20"/>
        </w:rPr>
        <w:br/>
        <w:t>Start with employer history. If none exists, label all inputs as assumptions and replace them after the first 2-4 weeks of actual outcomes.</w:t>
      </w:r>
    </w:p>
    <w:p>
      <w:pPr>
        <w:pStyle w:val="Heading2"/>
      </w:pPr>
      <w:r>
        <w:t>Outcome funnel and diagnostic actions</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2232"/>
        <w:gridCol w:w="3096"/>
        <w:gridCol w:w="4032"/>
      </w:tblGrid>
      <w:tr>
        <w:trPr>
          <w:tblHeader w:val="true"/>
        </w:trPr>
        <w:tc>
          <w:tcPr>
            <w:tcW w:type="dxa" w:w="2232"/>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Metric</w:t>
            </w:r>
          </w:p>
        </w:tc>
        <w:tc>
          <w:tcPr>
            <w:tcW w:type="dxa" w:w="3096"/>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Formula</w:t>
            </w:r>
          </w:p>
        </w:tc>
        <w:tc>
          <w:tcPr>
            <w:tcW w:type="dxa" w:w="4032"/>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If weak, inspect first</w:t>
            </w:r>
          </w:p>
        </w:tc>
      </w:tr>
      <w:tr>
        <w:tc>
          <w:tcPr>
            <w:tcW w:type="dxa" w:w="2232"/>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Connect rate</w:t>
            </w:r>
          </w:p>
        </w:tc>
        <w:tc>
          <w:tcPr>
            <w:tcW w:type="dxa" w:w="3096"/>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Live connects / call attempts</w:t>
            </w:r>
          </w:p>
        </w:tc>
        <w:tc>
          <w:tcPr>
            <w:tcW w:type="dxa" w:w="4032"/>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Data quality, timing, number accuracy</w:t>
            </w:r>
          </w:p>
        </w:tc>
      </w:tr>
      <w:tr>
        <w:tc>
          <w:tcPr>
            <w:tcW w:type="dxa" w:w="2232"/>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Positive reply rate</w:t>
            </w:r>
          </w:p>
        </w:tc>
        <w:tc>
          <w:tcPr>
            <w:tcW w:type="dxa" w:w="3096"/>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Positive replies / delivered emails</w:t>
            </w:r>
          </w:p>
        </w:tc>
        <w:tc>
          <w:tcPr>
            <w:tcW w:type="dxa" w:w="4032"/>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Signal relevance, persona, copy, proof</w:t>
            </w:r>
          </w:p>
        </w:tc>
      </w:tr>
      <w:tr>
        <w:tc>
          <w:tcPr>
            <w:tcW w:type="dxa" w:w="2232"/>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Conversation rate</w:t>
            </w:r>
          </w:p>
        </w:tc>
        <w:tc>
          <w:tcPr>
            <w:tcW w:type="dxa" w:w="3096"/>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Meaningful conversations / total touches</w:t>
            </w:r>
          </w:p>
        </w:tc>
        <w:tc>
          <w:tcPr>
            <w:tcW w:type="dxa" w:w="4032"/>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Channel mix and account selection</w:t>
            </w:r>
          </w:p>
        </w:tc>
      </w:tr>
      <w:tr>
        <w:tc>
          <w:tcPr>
            <w:tcW w:type="dxa" w:w="2232"/>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Meeting booked rate</w:t>
            </w:r>
          </w:p>
        </w:tc>
        <w:tc>
          <w:tcPr>
            <w:tcW w:type="dxa" w:w="3096"/>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Meetings booked / meaningful conversations</w:t>
            </w:r>
          </w:p>
        </w:tc>
        <w:tc>
          <w:tcPr>
            <w:tcW w:type="dxa" w:w="4032"/>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CTA, qualification, confidence</w:t>
            </w:r>
          </w:p>
        </w:tc>
      </w:tr>
      <w:tr>
        <w:tc>
          <w:tcPr>
            <w:tcW w:type="dxa" w:w="2232"/>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Meeting held rate</w:t>
            </w:r>
          </w:p>
        </w:tc>
        <w:tc>
          <w:tcPr>
            <w:tcW w:type="dxa" w:w="3096"/>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Meetings held / meetings booked</w:t>
            </w:r>
          </w:p>
        </w:tc>
        <w:tc>
          <w:tcPr>
            <w:tcW w:type="dxa" w:w="4032"/>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Expectation setting and reminders</w:t>
            </w:r>
          </w:p>
        </w:tc>
      </w:tr>
      <w:tr>
        <w:tc>
          <w:tcPr>
            <w:tcW w:type="dxa" w:w="2232"/>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Qualified-opportunity rate</w:t>
            </w:r>
          </w:p>
        </w:tc>
        <w:tc>
          <w:tcPr>
            <w:tcW w:type="dxa" w:w="3096"/>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Accepted opportunities / meetings held</w:t>
            </w:r>
          </w:p>
        </w:tc>
        <w:tc>
          <w:tcPr>
            <w:tcW w:type="dxa" w:w="4032"/>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ICP, diagnosis, handoff quality</w:t>
            </w:r>
          </w:p>
        </w:tc>
      </w:tr>
      <w:tr>
        <w:tc>
          <w:tcPr>
            <w:tcW w:type="dxa" w:w="2232"/>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Pipeline per active account</w:t>
            </w:r>
          </w:p>
        </w:tc>
        <w:tc>
          <w:tcPr>
            <w:tcW w:type="dxa" w:w="3096"/>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Qualified pipeline / active accounts</w:t>
            </w:r>
          </w:p>
        </w:tc>
        <w:tc>
          <w:tcPr>
            <w:tcW w:type="dxa" w:w="4032"/>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Account quality and opportunity value</w:t>
            </w:r>
          </w:p>
        </w:tc>
      </w:tr>
    </w:tbl>
    <w:p>
      <w:pPr>
        <w:spacing w:after="0"/>
      </w:pPr>
    </w:p>
    <w:p>
      <w:pPr>
        <w:spacing w:before="80" w:after="80"/>
      </w:pPr>
      <w:r>
        <w:rPr>
          <w:i/>
          <w:color w:val="64748B"/>
          <w:sz w:val="17"/>
        </w:rPr>
        <w:t>Evidence note: Salesloft connects connect rate, reply rate, meeting rate, and pipeline created to different upstream fixes. Clari cautions that activity is most useful as coaching input when connected to outcomes.</w:t>
      </w:r>
    </w:p>
    <w:p>
      <w:pPr>
        <w:pStyle w:val="Heading2"/>
      </w:pPr>
      <w:r>
        <w:t>Weekly evidence review</w:t>
      </w:r>
    </w:p>
    <w:p>
      <w:pPr>
        <w:pStyle w:val="ListNumber"/>
      </w:pPr>
      <w:r>
        <w:t>Review outcomes by persona, signal, channel, and cadence variant - not only totals.</w:t>
      </w:r>
    </w:p>
    <w:p>
      <w:pPr>
        <w:pStyle w:val="ListNumber"/>
      </w:pPr>
      <w:r>
        <w:t>Select the narrowest bottleneck in the outcome funnel.</w:t>
      </w:r>
    </w:p>
    <w:p>
      <w:pPr>
        <w:pStyle w:val="ListNumber"/>
      </w:pPr>
      <w:r>
        <w:t>Choose one change: opener, CTA, proof, channel order, spacing, or targeting rule.</w:t>
      </w:r>
    </w:p>
    <w:p>
      <w:pPr>
        <w:pStyle w:val="ListNumber"/>
      </w:pPr>
      <w:r>
        <w:t>Define the comparison group, success metric, time box, and minimum sample before launch.</w:t>
      </w:r>
    </w:p>
    <w:p>
      <w:pPr>
        <w:pStyle w:val="ListNumber"/>
      </w:pPr>
      <w:r>
        <w:t>Record the result as Adopt, Adapt, or Abandon. Preserve the losing lesson.</w:t>
      </w:r>
    </w:p>
    <w:p>
      <w:pPr>
        <w:spacing w:before="120" w:after="160"/>
        <w:ind w:left="202" w:right="202"/>
        <w:shd w:fill="EFF6FF"/>
        <w:pBdr>
          <w:left w:val="single" w:sz="20" w:space="8" w:color="2563EB"/>
        </w:pBdr>
      </w:pPr>
      <w:r>
        <w:rPr>
          <w:rFonts w:ascii="Aptos" w:hAnsi="Aptos"/>
          <w:b/>
          <w:color w:val="2563EB"/>
          <w:sz w:val="18"/>
        </w:rPr>
        <w:t>EXPERIMENT DISCIPLINE</w:t>
      </w:r>
      <w:r>
        <w:rPr>
          <w:rFonts w:ascii="Aptos" w:hAnsi="Aptos"/>
          <w:color w:val="1E293B"/>
          <w:sz w:val="20"/>
        </w:rPr>
        <w:br/>
        <w:t>Do not change targeting, message, channel order, and timing at once. A clean test changes one meaningful variable and records the sample and period.</w:t>
      </w:r>
    </w:p>
    <w:p>
      <w:pPr>
        <w:pStyle w:val="Heading1"/>
      </w:pPr>
      <w:r>
        <w:t>AI use: Automate, Supervise, Human Only</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1584"/>
        <w:gridCol w:w="4320"/>
        <w:gridCol w:w="3456"/>
      </w:tblGrid>
      <w:tr>
        <w:trPr>
          <w:tblHeader w:val="true"/>
        </w:trPr>
        <w:tc>
          <w:tcPr>
            <w:tcW w:type="dxa" w:w="1584"/>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Lane</w:t>
            </w:r>
          </w:p>
        </w:tc>
        <w:tc>
          <w:tcPr>
            <w:tcW w:type="dxa" w:w="4320"/>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Suitable work</w:t>
            </w:r>
          </w:p>
        </w:tc>
        <w:tc>
          <w:tcPr>
            <w:tcW w:type="dxa" w:w="3456"/>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Required guardrail</w:t>
            </w:r>
          </w:p>
        </w:tc>
      </w:tr>
      <w:tr>
        <w:tc>
          <w:tcPr>
            <w:tcW w:type="dxa" w:w="1584"/>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Automate</w:t>
            </w:r>
          </w:p>
        </w:tc>
        <w:tc>
          <w:tcPr>
            <w:tcW w:type="dxa" w:w="4320"/>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Formatting, task reminders, approved-data cleanup, transcription</w:t>
            </w:r>
          </w:p>
        </w:tc>
        <w:tc>
          <w:tcPr>
            <w:tcW w:type="dxa" w:w="3456"/>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No unsupervised external sending</w:t>
            </w:r>
          </w:p>
        </w:tc>
      </w:tr>
      <w:tr>
        <w:tc>
          <w:tcPr>
            <w:tcW w:type="dxa" w:w="1584"/>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Supervise</w:t>
            </w:r>
          </w:p>
        </w:tc>
        <w:tc>
          <w:tcPr>
            <w:tcW w:type="dxa" w:w="4320"/>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Research summary, first draft, call prep, CRM note suggestion</w:t>
            </w:r>
          </w:p>
        </w:tc>
        <w:tc>
          <w:tcPr>
            <w:tcW w:type="dxa" w:w="3456"/>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Seller verifies facts, context, tone, and ownership</w:t>
            </w:r>
          </w:p>
        </w:tc>
      </w:tr>
      <w:tr>
        <w:tc>
          <w:tcPr>
            <w:tcW w:type="dxa" w:w="1584"/>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Human Only</w:t>
            </w:r>
          </w:p>
        </w:tc>
        <w:tc>
          <w:tcPr>
            <w:tcW w:type="dxa" w:w="4320"/>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Live judgment, sensitive objections, pricing/legal promises, consent decisions</w:t>
            </w:r>
          </w:p>
        </w:tc>
        <w:tc>
          <w:tcPr>
            <w:tcW w:type="dxa" w:w="3456"/>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Escalate when authority or policy is unclear</w:t>
            </w:r>
          </w:p>
        </w:tc>
      </w:tr>
    </w:tbl>
    <w:p>
      <w:pPr>
        <w:spacing w:after="0"/>
      </w:pPr>
    </w:p>
    <w:p>
      <w:pPr>
        <w:spacing w:before="120" w:after="160"/>
        <w:ind w:left="202" w:right="202"/>
        <w:shd w:fill="ECFDF5"/>
        <w:pBdr>
          <w:left w:val="single" w:sz="20" w:space="8" w:color="10B981"/>
        </w:pBdr>
      </w:pPr>
      <w:r>
        <w:rPr>
          <w:rFonts w:ascii="Aptos" w:hAnsi="Aptos"/>
          <w:b/>
          <w:color w:val="10B981"/>
          <w:sz w:val="18"/>
        </w:rPr>
        <w:t>GIFT QUALITY GATE</w:t>
      </w:r>
      <w:r>
        <w:rPr>
          <w:rFonts w:ascii="Aptos" w:hAnsi="Aptos"/>
          <w:color w:val="1E293B"/>
          <w:sz w:val="20"/>
        </w:rPr>
        <w:br/>
        <w:t>Grounded: claims trace to a source or conversation. Individual: output fits this buyer and moment. Fact-checked: names, dates, numbers, links, and proof verified. Tone-matched: the message sounds like the seller who will continue the relationship.</w:t>
      </w:r>
    </w:p>
    <w:p>
      <w:pPr>
        <w:pStyle w:val="Heading1"/>
      </w:pPr>
      <w:r>
        <w:t>Thirty-day adoption path</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936"/>
        <w:gridCol w:w="2232"/>
        <w:gridCol w:w="3960"/>
        <w:gridCol w:w="2232"/>
      </w:tblGrid>
      <w:tr>
        <w:trPr>
          <w:tblHeader w:val="true"/>
        </w:trPr>
        <w:tc>
          <w:tcPr>
            <w:tcW w:type="dxa" w:w="936"/>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Week</w:t>
            </w:r>
          </w:p>
        </w:tc>
        <w:tc>
          <w:tcPr>
            <w:tcW w:type="dxa" w:w="2232"/>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Focus</w:t>
            </w:r>
          </w:p>
        </w:tc>
        <w:tc>
          <w:tcPr>
            <w:tcW w:type="dxa" w:w="3960"/>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Practice</w:t>
            </w:r>
          </w:p>
        </w:tc>
        <w:tc>
          <w:tcPr>
            <w:tcW w:type="dxa" w:w="2232"/>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Evidence of readiness</w:t>
            </w:r>
          </w:p>
        </w:tc>
      </w:tr>
      <w:tr>
        <w:tc>
          <w:tcPr>
            <w:tcW w:type="dxa" w:w="936"/>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1</w:t>
            </w:r>
          </w:p>
        </w:tc>
        <w:tc>
          <w:tcPr>
            <w:tcW w:type="dxa" w:w="2232"/>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Configure + Detect</w:t>
            </w:r>
          </w:p>
        </w:tc>
        <w:tc>
          <w:tcPr>
            <w:tcW w:type="dxa" w:w="3960"/>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Score sample accounts; separate facts from inferences</w:t>
            </w:r>
          </w:p>
        </w:tc>
        <w:tc>
          <w:tcPr>
            <w:tcW w:type="dxa" w:w="2232"/>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Ten auditable account records</w:t>
            </w:r>
          </w:p>
        </w:tc>
      </w:tr>
      <w:tr>
        <w:tc>
          <w:tcPr>
            <w:tcW w:type="dxa" w:w="936"/>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2</w:t>
            </w:r>
          </w:p>
        </w:tc>
        <w:tc>
          <w:tcPr>
            <w:tcW w:type="dxa" w:w="2232"/>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Diagnose + message</w:t>
            </w:r>
          </w:p>
        </w:tc>
        <w:tc>
          <w:tcPr>
            <w:tcW w:type="dxa" w:w="3960"/>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Write hypotheses; run email and cold-call drills</w:t>
            </w:r>
          </w:p>
        </w:tc>
        <w:tc>
          <w:tcPr>
            <w:tcW w:type="dxa" w:w="2232"/>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Five manager/peer-reviewed message sets</w:t>
            </w:r>
          </w:p>
        </w:tc>
      </w:tr>
      <w:tr>
        <w:tc>
          <w:tcPr>
            <w:tcW w:type="dxa" w:w="936"/>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3</w:t>
            </w:r>
          </w:p>
        </w:tc>
        <w:tc>
          <w:tcPr>
            <w:tcW w:type="dxa" w:w="2232"/>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Deploy + record</w:t>
            </w:r>
          </w:p>
        </w:tc>
        <w:tc>
          <w:tcPr>
            <w:tcW w:type="dxa" w:w="3960"/>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Run or simulate cadence blocks; log every disposition</w:t>
            </w:r>
          </w:p>
        </w:tc>
        <w:tc>
          <w:tcPr>
            <w:tcW w:type="dxa" w:w="2232"/>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Complete CRM records and first KPI baseline</w:t>
            </w:r>
          </w:p>
        </w:tc>
      </w:tr>
      <w:tr>
        <w:tc>
          <w:tcPr>
            <w:tcW w:type="dxa" w:w="936"/>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4</w:t>
            </w:r>
          </w:p>
        </w:tc>
        <w:tc>
          <w:tcPr>
            <w:tcW w:type="dxa" w:w="2232"/>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Drive + improve</w:t>
            </w:r>
          </w:p>
        </w:tc>
        <w:tc>
          <w:tcPr>
            <w:tcW w:type="dxa" w:w="3960"/>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Practice meeting conversion and handoff; run one test</w:t>
            </w:r>
          </w:p>
        </w:tc>
        <w:tc>
          <w:tcPr>
            <w:tcW w:type="dxa" w:w="2232"/>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Weekly review with Adopt/Adapt/Abandon decision</w:t>
            </w:r>
          </w:p>
        </w:tc>
      </w:tr>
    </w:tbl>
    <w:p>
      <w:pPr>
        <w:spacing w:after="0"/>
      </w:pPr>
    </w:p>
    <w:p>
      <w:pPr>
        <w:pStyle w:val="Heading1"/>
      </w:pPr>
      <w:r>
        <w:t>Low-stakes practice lab</w:t>
      </w:r>
    </w:p>
    <w:p>
      <w:r>
        <w:t>Run the operating system without contacting a real buyer. Use a public company, a fictional persona, and approved sources.</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1656"/>
        <w:gridCol w:w="7704"/>
      </w:tblGrid>
      <w:tr>
        <w:trPr>
          <w:tblHeader w:val="true"/>
        </w:trPr>
        <w:tc>
          <w:tcPr>
            <w:tcW w:type="dxa" w:w="1656"/>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Drill</w:t>
            </w:r>
          </w:p>
        </w:tc>
        <w:tc>
          <w:tcPr>
            <w:tcW w:type="dxa" w:w="7704"/>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Pass standard</w:t>
            </w:r>
          </w:p>
        </w:tc>
      </w:tr>
      <w:tr>
        <w:tc>
          <w:tcPr>
            <w:tcW w:type="dxa" w:w="1656"/>
            <w:vAlign w:val="center"/>
            <w:tcMar>
              <w:top w:w="80" w:type="dxa"/>
              <w:start w:w="120" w:type="dxa"/>
              <w:bottom w:w="80" w:type="dxa"/>
              <w:end w:w="120" w:type="dxa"/>
            </w:tcMar>
          </w:tcPr>
          <w:p>
            <w:pPr>
              <w:spacing w:before="0" w:after="0" w:line="252" w:lineRule="auto"/>
              <w:jc w:val="left"/>
            </w:pPr>
            <w:r/>
            <w:r>
              <w:rPr>
                <w:rFonts w:ascii="Aptos" w:hAnsi="Aptos"/>
                <w:b/>
                <w:color w:val="1E293B"/>
                <w:sz w:val="17"/>
              </w:rPr>
              <w:t>Detect</w:t>
            </w:r>
          </w:p>
        </w:tc>
        <w:tc>
          <w:tcPr>
            <w:tcW w:type="dxa" w:w="7704"/>
            <w:vAlign w:val="center"/>
            <w:tcMar>
              <w:top w:w="80" w:type="dxa"/>
              <w:start w:w="120" w:type="dxa"/>
              <w:bottom w:w="80" w:type="dxa"/>
              <w:end w:w="120" w:type="dxa"/>
            </w:tcMar>
          </w:tcPr>
          <w:p>
            <w:pPr>
              <w:spacing w:before="0" w:after="0" w:line="252" w:lineRule="auto"/>
              <w:jc w:val="left"/>
            </w:pPr>
            <w:r/>
            <w:r>
              <w:rPr>
                <w:rFonts w:ascii="Aptos" w:hAnsi="Aptos"/>
                <w:b w:val="0"/>
                <w:color w:val="1E293B"/>
                <w:sz w:val="17"/>
              </w:rPr>
              <w:t>Source, date, fact, inference, score, and queue action are complete</w:t>
            </w:r>
          </w:p>
        </w:tc>
      </w:tr>
      <w:tr>
        <w:tc>
          <w:tcPr>
            <w:tcW w:type="dxa" w:w="1656"/>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7"/>
              </w:rPr>
              <w:t>Diagnose</w:t>
            </w:r>
          </w:p>
        </w:tc>
        <w:tc>
          <w:tcPr>
            <w:tcW w:type="dxa" w:w="7704"/>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7"/>
              </w:rPr>
              <w:t>Hypothesis is plausible, qualified, and testable with one question</w:t>
            </w:r>
          </w:p>
        </w:tc>
      </w:tr>
      <w:tr>
        <w:tc>
          <w:tcPr>
            <w:tcW w:type="dxa" w:w="1656"/>
            <w:vAlign w:val="center"/>
            <w:tcMar>
              <w:top w:w="80" w:type="dxa"/>
              <w:start w:w="120" w:type="dxa"/>
              <w:bottom w:w="80" w:type="dxa"/>
              <w:end w:w="120" w:type="dxa"/>
            </w:tcMar>
          </w:tcPr>
          <w:p>
            <w:pPr>
              <w:spacing w:before="0" w:after="0" w:line="252" w:lineRule="auto"/>
              <w:jc w:val="left"/>
            </w:pPr>
            <w:r/>
            <w:r>
              <w:rPr>
                <w:rFonts w:ascii="Aptos" w:hAnsi="Aptos"/>
                <w:b/>
                <w:color w:val="1E293B"/>
                <w:sz w:val="17"/>
              </w:rPr>
              <w:t>Email</w:t>
            </w:r>
          </w:p>
        </w:tc>
        <w:tc>
          <w:tcPr>
            <w:tcW w:type="dxa" w:w="7704"/>
            <w:vAlign w:val="center"/>
            <w:tcMar>
              <w:top w:w="80" w:type="dxa"/>
              <w:start w:w="120" w:type="dxa"/>
              <w:bottom w:w="80" w:type="dxa"/>
              <w:end w:w="120" w:type="dxa"/>
            </w:tcMar>
          </w:tcPr>
          <w:p>
            <w:pPr>
              <w:spacing w:before="0" w:after="0" w:line="252" w:lineRule="auto"/>
              <w:jc w:val="left"/>
            </w:pPr>
            <w:r/>
            <w:r>
              <w:rPr>
                <w:rFonts w:ascii="Aptos" w:hAnsi="Aptos"/>
                <w:b w:val="0"/>
                <w:color w:val="1E293B"/>
                <w:sz w:val="17"/>
              </w:rPr>
              <w:t>Trigger, problem, proof, and one low-friction CTA pass the VSA diagnostic</w:t>
            </w:r>
          </w:p>
        </w:tc>
      </w:tr>
      <w:tr>
        <w:tc>
          <w:tcPr>
            <w:tcW w:type="dxa" w:w="1656"/>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7"/>
              </w:rPr>
              <w:t>Phone</w:t>
            </w:r>
          </w:p>
        </w:tc>
        <w:tc>
          <w:tcPr>
            <w:tcW w:type="dxa" w:w="7704"/>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7"/>
              </w:rPr>
              <w:t>Reason for call is clear; rep can adapt after two objections</w:t>
            </w:r>
          </w:p>
        </w:tc>
      </w:tr>
      <w:tr>
        <w:tc>
          <w:tcPr>
            <w:tcW w:type="dxa" w:w="1656"/>
            <w:vAlign w:val="center"/>
            <w:tcMar>
              <w:top w:w="80" w:type="dxa"/>
              <w:start w:w="120" w:type="dxa"/>
              <w:bottom w:w="80" w:type="dxa"/>
              <w:end w:w="120" w:type="dxa"/>
            </w:tcMar>
          </w:tcPr>
          <w:p>
            <w:pPr>
              <w:spacing w:before="0" w:after="0" w:line="252" w:lineRule="auto"/>
              <w:jc w:val="left"/>
            </w:pPr>
            <w:r/>
            <w:r>
              <w:rPr>
                <w:rFonts w:ascii="Aptos" w:hAnsi="Aptos"/>
                <w:b/>
                <w:color w:val="1E293B"/>
                <w:sz w:val="17"/>
              </w:rPr>
              <w:t>Handoff</w:t>
            </w:r>
          </w:p>
        </w:tc>
        <w:tc>
          <w:tcPr>
            <w:tcW w:type="dxa" w:w="7704"/>
            <w:vAlign w:val="center"/>
            <w:tcMar>
              <w:top w:w="80" w:type="dxa"/>
              <w:start w:w="120" w:type="dxa"/>
              <w:bottom w:w="80" w:type="dxa"/>
              <w:end w:w="120" w:type="dxa"/>
            </w:tcMar>
          </w:tcPr>
          <w:p>
            <w:pPr>
              <w:spacing w:before="0" w:after="0" w:line="252" w:lineRule="auto"/>
              <w:jc w:val="left"/>
            </w:pPr>
            <w:r/>
            <w:r>
              <w:rPr>
                <w:rFonts w:ascii="Aptos" w:hAnsi="Aptos"/>
                <w:b w:val="0"/>
                <w:color w:val="1E293B"/>
                <w:sz w:val="17"/>
              </w:rPr>
              <w:t>Another seller can run the meeting without asking the buyer to repeat context</w:t>
            </w:r>
          </w:p>
        </w:tc>
      </w:tr>
      <w:tr>
        <w:tc>
          <w:tcPr>
            <w:tcW w:type="dxa" w:w="1656"/>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7"/>
              </w:rPr>
              <w:t>Reflection</w:t>
            </w:r>
          </w:p>
        </w:tc>
        <w:tc>
          <w:tcPr>
            <w:tcW w:type="dxa" w:w="7704"/>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7"/>
              </w:rPr>
              <w:t>Rep names one behavior to keep and one to change</w:t>
            </w:r>
          </w:p>
        </w:tc>
      </w:tr>
    </w:tbl>
    <w:p>
      <w:pPr>
        <w:spacing w:after="0"/>
      </w:pPr>
    </w:p>
    <w:p>
      <w:pPr>
        <w:pStyle w:val="Heading1"/>
      </w:pPr>
      <w:r>
        <w:t>How the VSA assets connect</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1656"/>
        <w:gridCol w:w="3672"/>
        <w:gridCol w:w="4032"/>
      </w:tblGrid>
      <w:tr>
        <w:trPr>
          <w:tblHeader w:val="true"/>
        </w:trPr>
        <w:tc>
          <w:tcPr>
            <w:tcW w:type="dxa" w:w="1656"/>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POS moment</w:t>
            </w:r>
          </w:p>
        </w:tc>
        <w:tc>
          <w:tcPr>
            <w:tcW w:type="dxa" w:w="3672"/>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Existing asset</w:t>
            </w:r>
          </w:p>
        </w:tc>
        <w:tc>
          <w:tcPr>
            <w:tcW w:type="dxa" w:w="4032"/>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System job</w:t>
            </w:r>
          </w:p>
        </w:tc>
      </w:tr>
      <w:tr>
        <w:tc>
          <w:tcPr>
            <w:tcW w:type="dxa" w:w="1656"/>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Detect</w:t>
            </w:r>
          </w:p>
        </w:tc>
        <w:tc>
          <w:tcPr>
            <w:tcW w:type="dxa" w:w="3672"/>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Signal-to-Meeting Scorecard</w:t>
            </w:r>
          </w:p>
        </w:tc>
        <w:tc>
          <w:tcPr>
            <w:tcW w:type="dxa" w:w="4032"/>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Prioritize account attention</w:t>
            </w:r>
          </w:p>
        </w:tc>
      </w:tr>
      <w:tr>
        <w:tc>
          <w:tcPr>
            <w:tcW w:type="dxa" w:w="1656"/>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Diagnose</w:t>
            </w:r>
          </w:p>
        </w:tc>
        <w:tc>
          <w:tcPr>
            <w:tcW w:type="dxa" w:w="3672"/>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Digital Body Language Battlecard</w:t>
            </w:r>
          </w:p>
        </w:tc>
        <w:tc>
          <w:tcPr>
            <w:tcW w:type="dxa" w:w="4032"/>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Use observable cues to ask, not diagnose</w:t>
            </w:r>
          </w:p>
        </w:tc>
      </w:tr>
      <w:tr>
        <w:tc>
          <w:tcPr>
            <w:tcW w:type="dxa" w:w="1656"/>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Deploy</w:t>
            </w:r>
          </w:p>
        </w:tc>
        <w:tc>
          <w:tcPr>
            <w:tcW w:type="dxa" w:w="3672"/>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Cold Email Diagnostic</w:t>
            </w:r>
          </w:p>
        </w:tc>
        <w:tc>
          <w:tcPr>
            <w:tcW w:type="dxa" w:w="4032"/>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Review message quality before sending</w:t>
            </w:r>
          </w:p>
        </w:tc>
      </w:tr>
      <w:tr>
        <w:tc>
          <w:tcPr>
            <w:tcW w:type="dxa" w:w="1656"/>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Deploy</w:t>
            </w:r>
          </w:p>
        </w:tc>
        <w:tc>
          <w:tcPr>
            <w:tcW w:type="dxa" w:w="3672"/>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AI Workflow Decision Matrix</w:t>
            </w:r>
          </w:p>
        </w:tc>
        <w:tc>
          <w:tcPr>
            <w:tcW w:type="dxa" w:w="4032"/>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Assign the correct level of human control</w:t>
            </w:r>
          </w:p>
        </w:tc>
      </w:tr>
      <w:tr>
        <w:tc>
          <w:tcPr>
            <w:tcW w:type="dxa" w:w="1656"/>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Drive</w:t>
            </w:r>
          </w:p>
        </w:tc>
        <w:tc>
          <w:tcPr>
            <w:tcW w:type="dxa" w:w="3672"/>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Pipeline Coverage &amp; Quota Calculator</w:t>
            </w:r>
          </w:p>
        </w:tc>
        <w:tc>
          <w:tcPr>
            <w:tcW w:type="dxa" w:w="4032"/>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Connect prospecting output to pipeline need</w:t>
            </w:r>
          </w:p>
        </w:tc>
      </w:tr>
      <w:tr>
        <w:tc>
          <w:tcPr>
            <w:tcW w:type="dxa" w:w="1656"/>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Daily control</w:t>
            </w:r>
          </w:p>
        </w:tc>
        <w:tc>
          <w:tcPr>
            <w:tcW w:type="dxa" w:w="3672"/>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POS Execution Workbook</w:t>
            </w:r>
          </w:p>
        </w:tc>
        <w:tc>
          <w:tcPr>
            <w:tcW w:type="dxa" w:w="4032"/>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Run the queue, cadence, CRM, metrics, and review loop</w:t>
            </w:r>
          </w:p>
        </w:tc>
      </w:tr>
    </w:tbl>
    <w:p>
      <w:pPr>
        <w:spacing w:after="0"/>
      </w:pPr>
    </w:p>
    <w:p>
      <w:pPr>
        <w:pStyle w:val="Heading1"/>
      </w:pPr>
      <w:r>
        <w:t>Beginner dictionary</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1080"/>
        <w:gridCol w:w="3096"/>
        <w:gridCol w:w="5184"/>
      </w:tblGrid>
      <w:tr>
        <w:trPr>
          <w:tblHeader w:val="true"/>
        </w:trPr>
        <w:tc>
          <w:tcPr>
            <w:tcW w:type="dxa" w:w="1080"/>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Acronym</w:t>
            </w:r>
          </w:p>
        </w:tc>
        <w:tc>
          <w:tcPr>
            <w:tcW w:type="dxa" w:w="3096"/>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Meaning</w:t>
            </w:r>
          </w:p>
        </w:tc>
        <w:tc>
          <w:tcPr>
            <w:tcW w:type="dxa" w:w="5184"/>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Plain-language use</w:t>
            </w:r>
          </w:p>
        </w:tc>
      </w:tr>
      <w:tr>
        <w:tc>
          <w:tcPr>
            <w:tcW w:type="dxa" w:w="1080"/>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ABM</w:t>
            </w:r>
          </w:p>
        </w:tc>
        <w:tc>
          <w:tcPr>
            <w:tcW w:type="dxa" w:w="3096"/>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Account-Based Marketing</w:t>
            </w:r>
          </w:p>
        </w:tc>
        <w:tc>
          <w:tcPr>
            <w:tcW w:type="dxa" w:w="5184"/>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Coordinated focus on selected accounts.</w:t>
            </w:r>
          </w:p>
        </w:tc>
      </w:tr>
      <w:tr>
        <w:tc>
          <w:tcPr>
            <w:tcW w:type="dxa" w:w="1080"/>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ABSD</w:t>
            </w:r>
          </w:p>
        </w:tc>
        <w:tc>
          <w:tcPr>
            <w:tcW w:type="dxa" w:w="3096"/>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Account-Based Sales Development</w:t>
            </w:r>
          </w:p>
        </w:tc>
        <w:tc>
          <w:tcPr>
            <w:tcW w:type="dxa" w:w="5184"/>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SDR prospecting aimed at selected accounts and stakeholders.</w:t>
            </w:r>
          </w:p>
        </w:tc>
      </w:tr>
      <w:tr>
        <w:tc>
          <w:tcPr>
            <w:tcW w:type="dxa" w:w="1080"/>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AE</w:t>
            </w:r>
          </w:p>
        </w:tc>
        <w:tc>
          <w:tcPr>
            <w:tcW w:type="dxa" w:w="3096"/>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Account Executive</w:t>
            </w:r>
          </w:p>
        </w:tc>
        <w:tc>
          <w:tcPr>
            <w:tcW w:type="dxa" w:w="5184"/>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Seller typically responsible for opportunities and closing.</w:t>
            </w:r>
          </w:p>
        </w:tc>
      </w:tr>
      <w:tr>
        <w:tc>
          <w:tcPr>
            <w:tcW w:type="dxa" w:w="1080"/>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BDR</w:t>
            </w:r>
          </w:p>
        </w:tc>
        <w:tc>
          <w:tcPr>
            <w:tcW w:type="dxa" w:w="3096"/>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Business Development Representative</w:t>
            </w:r>
          </w:p>
        </w:tc>
        <w:tc>
          <w:tcPr>
            <w:tcW w:type="dxa" w:w="5184"/>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Seller focused on creating and qualifying new conversations.</w:t>
            </w:r>
          </w:p>
        </w:tc>
      </w:tr>
      <w:tr>
        <w:tc>
          <w:tcPr>
            <w:tcW w:type="dxa" w:w="1080"/>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CTA</w:t>
            </w:r>
          </w:p>
        </w:tc>
        <w:tc>
          <w:tcPr>
            <w:tcW w:type="dxa" w:w="3096"/>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Call to Action</w:t>
            </w:r>
          </w:p>
        </w:tc>
        <w:tc>
          <w:tcPr>
            <w:tcW w:type="dxa" w:w="5184"/>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The next step requested from a buyer.</w:t>
            </w:r>
          </w:p>
        </w:tc>
      </w:tr>
      <w:tr>
        <w:tc>
          <w:tcPr>
            <w:tcW w:type="dxa" w:w="1080"/>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CRM</w:t>
            </w:r>
          </w:p>
        </w:tc>
        <w:tc>
          <w:tcPr>
            <w:tcW w:type="dxa" w:w="3096"/>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Customer Relationship Management</w:t>
            </w:r>
          </w:p>
        </w:tc>
        <w:tc>
          <w:tcPr>
            <w:tcW w:type="dxa" w:w="5184"/>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System of record for accounts, contacts, activities, and opportunities.</w:t>
            </w:r>
          </w:p>
        </w:tc>
      </w:tr>
      <w:tr>
        <w:tc>
          <w:tcPr>
            <w:tcW w:type="dxa" w:w="1080"/>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DNC</w:t>
            </w:r>
          </w:p>
        </w:tc>
        <w:tc>
          <w:tcPr>
            <w:tcW w:type="dxa" w:w="3096"/>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Do Not Contact</w:t>
            </w:r>
          </w:p>
        </w:tc>
        <w:tc>
          <w:tcPr>
            <w:tcW w:type="dxa" w:w="5184"/>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Instruction or status that stops outreach.</w:t>
            </w:r>
          </w:p>
        </w:tc>
      </w:tr>
      <w:tr>
        <w:tc>
          <w:tcPr>
            <w:tcW w:type="dxa" w:w="1080"/>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ICP</w:t>
            </w:r>
          </w:p>
        </w:tc>
        <w:tc>
          <w:tcPr>
            <w:tcW w:type="dxa" w:w="3096"/>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Ideal Customer Profile</w:t>
            </w:r>
          </w:p>
        </w:tc>
        <w:tc>
          <w:tcPr>
            <w:tcW w:type="dxa" w:w="5184"/>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The company attributes associated with strong fit.</w:t>
            </w:r>
          </w:p>
        </w:tc>
      </w:tr>
      <w:tr>
        <w:tc>
          <w:tcPr>
            <w:tcW w:type="dxa" w:w="1080"/>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IC</w:t>
            </w:r>
          </w:p>
        </w:tc>
        <w:tc>
          <w:tcPr>
            <w:tcW w:type="dxa" w:w="3096"/>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Individual Contributor</w:t>
            </w:r>
          </w:p>
        </w:tc>
        <w:tc>
          <w:tcPr>
            <w:tcW w:type="dxa" w:w="5184"/>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A seller without people-management responsibility.</w:t>
            </w:r>
          </w:p>
        </w:tc>
      </w:tr>
      <w:tr>
        <w:tc>
          <w:tcPr>
            <w:tcW w:type="dxa" w:w="1080"/>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KPI</w:t>
            </w:r>
          </w:p>
        </w:tc>
        <w:tc>
          <w:tcPr>
            <w:tcW w:type="dxa" w:w="3096"/>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Key Performance Indicator</w:t>
            </w:r>
          </w:p>
        </w:tc>
        <w:tc>
          <w:tcPr>
            <w:tcW w:type="dxa" w:w="5184"/>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A metric used to monitor progress or diagnose execution.</w:t>
            </w:r>
          </w:p>
        </w:tc>
      </w:tr>
      <w:tr>
        <w:tc>
          <w:tcPr>
            <w:tcW w:type="dxa" w:w="1080"/>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MQL</w:t>
            </w:r>
          </w:p>
        </w:tc>
        <w:tc>
          <w:tcPr>
            <w:tcW w:type="dxa" w:w="3096"/>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Marketing Qualified Lead</w:t>
            </w:r>
          </w:p>
        </w:tc>
        <w:tc>
          <w:tcPr>
            <w:tcW w:type="dxa" w:w="5184"/>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Lead meeting marketing-defined engagement or fit criteria.</w:t>
            </w:r>
          </w:p>
        </w:tc>
      </w:tr>
      <w:tr>
        <w:tc>
          <w:tcPr>
            <w:tcW w:type="dxa" w:w="1080"/>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POS</w:t>
            </w:r>
          </w:p>
        </w:tc>
        <w:tc>
          <w:tcPr>
            <w:tcW w:type="dxa" w:w="3096"/>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Prospecting Operating System</w:t>
            </w:r>
          </w:p>
        </w:tc>
        <w:tc>
          <w:tcPr>
            <w:tcW w:type="dxa" w:w="5184"/>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VSA workflow connecting signals, diagnosis, outreach, handoff, and learning.</w:t>
            </w:r>
          </w:p>
        </w:tc>
      </w:tr>
      <w:tr>
        <w:tc>
          <w:tcPr>
            <w:tcW w:type="dxa" w:w="1080"/>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RECAP</w:t>
            </w:r>
          </w:p>
        </w:tc>
        <w:tc>
          <w:tcPr>
            <w:tcW w:type="dxa" w:w="3096"/>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Restate, Emphasize, Clarify, Action, Personalize</w:t>
            </w:r>
          </w:p>
        </w:tc>
        <w:tc>
          <w:tcPr>
            <w:tcW w:type="dxa" w:w="5184"/>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VSA structure for purposeful follow-up.</w:t>
            </w:r>
          </w:p>
        </w:tc>
      </w:tr>
      <w:tr>
        <w:tc>
          <w:tcPr>
            <w:tcW w:type="dxa" w:w="1080"/>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SDR</w:t>
            </w:r>
          </w:p>
        </w:tc>
        <w:tc>
          <w:tcPr>
            <w:tcW w:type="dxa" w:w="3096"/>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Sales Development Representative</w:t>
            </w:r>
          </w:p>
        </w:tc>
        <w:tc>
          <w:tcPr>
            <w:tcW w:type="dxa" w:w="5184"/>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Seller focused on prospecting and qualification.</w:t>
            </w:r>
          </w:p>
        </w:tc>
      </w:tr>
      <w:tr>
        <w:tc>
          <w:tcPr>
            <w:tcW w:type="dxa" w:w="1080"/>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SLA</w:t>
            </w:r>
          </w:p>
        </w:tc>
        <w:tc>
          <w:tcPr>
            <w:tcW w:type="dxa" w:w="3096"/>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Service-Level Agreement</w:t>
            </w:r>
          </w:p>
        </w:tc>
        <w:tc>
          <w:tcPr>
            <w:tcW w:type="dxa" w:w="5184"/>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Defined expectation for timing, ownership, or handoff quality.</w:t>
            </w:r>
          </w:p>
        </w:tc>
      </w:tr>
      <w:tr>
        <w:tc>
          <w:tcPr>
            <w:tcW w:type="dxa" w:w="1080"/>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SQL</w:t>
            </w:r>
          </w:p>
        </w:tc>
        <w:tc>
          <w:tcPr>
            <w:tcW w:type="dxa" w:w="3096"/>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Sales Qualified Lead</w:t>
            </w:r>
          </w:p>
        </w:tc>
        <w:tc>
          <w:tcPr>
            <w:tcW w:type="dxa" w:w="5184"/>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Lead accepted as ready for direct sales follow-up under company rules.</w:t>
            </w:r>
          </w:p>
        </w:tc>
      </w:tr>
      <w:tr>
        <w:tc>
          <w:tcPr>
            <w:tcW w:type="dxa" w:w="1080"/>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TAM</w:t>
            </w:r>
          </w:p>
        </w:tc>
        <w:tc>
          <w:tcPr>
            <w:tcW w:type="dxa" w:w="3096"/>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Total Addressable Market</w:t>
            </w:r>
          </w:p>
        </w:tc>
        <w:tc>
          <w:tcPr>
            <w:tcW w:type="dxa" w:w="5184"/>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The broad market that could theoretically buy.</w:t>
            </w:r>
          </w:p>
        </w:tc>
      </w:tr>
      <w:tr>
        <w:tc>
          <w:tcPr>
            <w:tcW w:type="dxa" w:w="1080"/>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TOF</w:t>
            </w:r>
          </w:p>
        </w:tc>
        <w:tc>
          <w:tcPr>
            <w:tcW w:type="dxa" w:w="3096"/>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Top of Funnel</w:t>
            </w:r>
          </w:p>
        </w:tc>
        <w:tc>
          <w:tcPr>
            <w:tcW w:type="dxa" w:w="5184"/>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Early prospecting and lead-development activity.</w:t>
            </w:r>
          </w:p>
        </w:tc>
      </w:tr>
      <w:tr>
        <w:tc>
          <w:tcPr>
            <w:tcW w:type="dxa" w:w="1080"/>
            <w:vAlign w:val="center"/>
            <w:tcMar>
              <w:top w:w="80" w:type="dxa"/>
              <w:start w:w="120" w:type="dxa"/>
              <w:bottom w:w="80" w:type="dxa"/>
              <w:end w:w="120" w:type="dxa"/>
            </w:tcMar>
          </w:tcPr>
          <w:p>
            <w:pPr>
              <w:spacing w:before="0" w:after="0" w:line="252" w:lineRule="auto"/>
              <w:jc w:val="left"/>
            </w:pPr>
            <w:r/>
            <w:r>
              <w:rPr>
                <w:rFonts w:ascii="Aptos" w:hAnsi="Aptos"/>
                <w:b/>
                <w:color w:val="1E293B"/>
                <w:sz w:val="16"/>
              </w:rPr>
              <w:t>WIIFM</w:t>
            </w:r>
          </w:p>
        </w:tc>
        <w:tc>
          <w:tcPr>
            <w:tcW w:type="dxa" w:w="3096"/>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What Is In It For Me</w:t>
            </w:r>
          </w:p>
        </w:tc>
        <w:tc>
          <w:tcPr>
            <w:tcW w:type="dxa" w:w="5184"/>
            <w:vAlign w:val="center"/>
            <w:tcMar>
              <w:top w:w="80" w:type="dxa"/>
              <w:start w:w="120" w:type="dxa"/>
              <w:bottom w:w="80" w:type="dxa"/>
              <w:end w:w="120" w:type="dxa"/>
            </w:tcMar>
          </w:tcPr>
          <w:p>
            <w:pPr>
              <w:spacing w:before="0" w:after="0" w:line="252" w:lineRule="auto"/>
              <w:jc w:val="left"/>
            </w:pPr>
            <w:r/>
            <w:r>
              <w:rPr>
                <w:rFonts w:ascii="Aptos" w:hAnsi="Aptos"/>
                <w:b w:val="0"/>
                <w:color w:val="1E293B"/>
                <w:sz w:val="16"/>
              </w:rPr>
              <w:t>A check that the message is useful from the buyer's point of view.</w:t>
            </w:r>
          </w:p>
        </w:tc>
      </w:tr>
    </w:tbl>
    <w:p>
      <w:pPr>
        <w:spacing w:after="0"/>
      </w:pPr>
    </w:p>
    <w:p>
      <w:pPr>
        <w:pStyle w:val="Heading1"/>
      </w:pPr>
      <w:r>
        <w:t>Source and originality ledger</w:t>
      </w:r>
    </w:p>
    <w:p>
      <w:r>
        <w:t>VSA-original or VSA-configured elements include the Detect-Diagnose-Deploy-Drive loop, score thresholds as instructional starting logic, RECAP/GIFT presentation, daily rhythm, cadence variants, hypothesis builder, handoff standard, practice rubric, experiment loop, and workbook architecture. External sources validate broader principles and selected data points; they do not establish universal guarantees.</w:t>
      </w:r>
    </w:p>
    <w:tbl>
      <w:tblPr>
        <w:tblW w:type="dxa" w:w="9360"/>
        <w:jc w:val="left"/>
        <w:tblLayout w:type="fixed"/>
        <w:tblLook w:firstColumn="1" w:firstRow="1" w:lastColumn="0" w:lastRow="0" w:noHBand="0" w:noVBand="1" w:val="04A0"/>
        <w:tblInd w:w="120" w:type="dxa"/>
        <w:tblBorders>
          <w:top w:val="single" w:sz="5" w:color="CBD5E1"/>
          <w:left w:val="single" w:sz="5" w:color="CBD5E1"/>
          <w:bottom w:val="single" w:sz="5" w:color="CBD5E1"/>
          <w:right w:val="single" w:sz="5" w:color="CBD5E1"/>
          <w:insideH w:val="single" w:sz="5" w:color="CBD5E1"/>
          <w:insideV w:val="single" w:sz="5" w:color="CBD5E1"/>
        </w:tblBorders>
      </w:tblPr>
      <w:tblGrid>
        <w:gridCol w:w="1800"/>
        <w:gridCol w:w="4824"/>
        <w:gridCol w:w="2736"/>
      </w:tblGrid>
      <w:tr>
        <w:trPr>
          <w:tblHeader w:val="true"/>
        </w:trPr>
        <w:tc>
          <w:tcPr>
            <w:tcW w:type="dxa" w:w="1800"/>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Source</w:t>
            </w:r>
          </w:p>
        </w:tc>
        <w:tc>
          <w:tcPr>
            <w:tcW w:type="dxa" w:w="4824"/>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How it informed this asset</w:t>
            </w:r>
          </w:p>
        </w:tc>
        <w:tc>
          <w:tcPr>
            <w:tcW w:type="dxa" w:w="2736"/>
            <w:shd w:fill="0F172A"/>
            <w:vAlign w:val="center"/>
            <w:tcMar>
              <w:top w:w="80" w:type="dxa"/>
              <w:start w:w="120" w:type="dxa"/>
              <w:bottom w:w="80" w:type="dxa"/>
              <w:end w:w="120" w:type="dxa"/>
            </w:tcMar>
          </w:tcPr>
          <w:p>
            <w:pPr>
              <w:spacing w:before="0" w:after="0" w:line="252" w:lineRule="auto"/>
              <w:jc w:val="left"/>
            </w:pPr>
            <w:r/>
            <w:r>
              <w:rPr>
                <w:rFonts w:ascii="Aptos" w:hAnsi="Aptos"/>
                <w:b/>
                <w:color w:val="FFFFFF"/>
                <w:sz w:val="18"/>
              </w:rPr>
              <w:t>URL / reference</w:t>
            </w:r>
          </w:p>
        </w:tc>
      </w:tr>
      <w:tr>
        <w:tc>
          <w:tcPr>
            <w:tcW w:type="dxa" w:w="1800"/>
            <w:vAlign w:val="center"/>
            <w:tcMar>
              <w:top w:w="80" w:type="dxa"/>
              <w:start w:w="120" w:type="dxa"/>
              <w:bottom w:w="80" w:type="dxa"/>
              <w:end w:w="120" w:type="dxa"/>
            </w:tcMar>
          </w:tcPr>
          <w:p>
            <w:pPr>
              <w:spacing w:before="0" w:after="0" w:line="252" w:lineRule="auto"/>
              <w:jc w:val="left"/>
            </w:pPr>
            <w:r/>
            <w:r>
              <w:rPr>
                <w:rFonts w:ascii="Aptos" w:hAnsi="Aptos"/>
                <w:b/>
                <w:color w:val="1E293B"/>
                <w:sz w:val="14"/>
              </w:rPr>
              <w:t>VSM early-career role scan</w:t>
            </w:r>
          </w:p>
        </w:tc>
        <w:tc>
          <w:tcPr>
            <w:tcW w:type="dxa" w:w="4824"/>
            <w:vAlign w:val="center"/>
            <w:tcMar>
              <w:top w:w="80" w:type="dxa"/>
              <w:start w:w="120" w:type="dxa"/>
              <w:bottom w:w="80" w:type="dxa"/>
              <w:end w:w="120" w:type="dxa"/>
            </w:tcMar>
          </w:tcPr>
          <w:p>
            <w:pPr>
              <w:spacing w:before="0" w:after="0" w:line="252" w:lineRule="auto"/>
              <w:jc w:val="left"/>
            </w:pPr>
            <w:r/>
            <w:r>
              <w:rPr>
                <w:rFonts w:ascii="Aptos" w:hAnsi="Aptos"/>
                <w:b w:val="0"/>
                <w:color w:val="1E293B"/>
                <w:sz w:val="14"/>
              </w:rPr>
              <w:t>27 reviewed U.S. postings, 2026-08-10. Organization 20/27; prospecting 18/27; time management 13/27; CRM hygiene 12/27; pipeline management 10/27.</w:t>
            </w:r>
          </w:p>
        </w:tc>
        <w:tc>
          <w:tcPr>
            <w:tcW w:type="dxa" w:w="2736"/>
            <w:vAlign w:val="center"/>
            <w:tcMar>
              <w:top w:w="80" w:type="dxa"/>
              <w:start w:w="120" w:type="dxa"/>
              <w:bottom w:w="80" w:type="dxa"/>
              <w:end w:w="120" w:type="dxa"/>
            </w:tcMar>
          </w:tcPr>
          <w:p>
            <w:pPr>
              <w:spacing w:before="0" w:after="0" w:line="252" w:lineRule="auto"/>
              <w:jc w:val="left"/>
            </w:pPr>
            <w:r/>
            <w:r>
              <w:rPr>
                <w:rFonts w:ascii="Aptos" w:hAnsi="Aptos"/>
                <w:b w:val="0"/>
                <w:color w:val="1E293B"/>
                <w:sz w:val="14"/>
              </w:rPr>
              <w:t>Internal market workbook</w:t>
            </w:r>
          </w:p>
        </w:tc>
      </w:tr>
      <w:tr>
        <w:tc>
          <w:tcPr>
            <w:tcW w:type="dxa" w:w="1800"/>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4"/>
              </w:rPr>
              <w:t>SaaStr</w:t>
            </w:r>
          </w:p>
        </w:tc>
        <w:tc>
          <w:tcPr>
            <w:tcW w:type="dxa" w:w="4824"/>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4"/>
              </w:rPr>
              <w:t>Use context-specific cadences, account-first targeting, disposition tracking, and controlled testing rather than copying universal touch counts.</w:t>
            </w:r>
          </w:p>
        </w:tc>
        <w:tc>
          <w:tcPr>
            <w:tcW w:type="dxa" w:w="2736"/>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4"/>
              </w:rPr>
              <w:t>https://www.saastr.com/kathy-lord-intacct-kyle-porter-salesloft-john-barrows-jbarrows-llc-how-to-really-do-outbound-sales-video-transcript/</w:t>
            </w:r>
          </w:p>
        </w:tc>
      </w:tr>
      <w:tr>
        <w:tc>
          <w:tcPr>
            <w:tcW w:type="dxa" w:w="1800"/>
            <w:vAlign w:val="center"/>
            <w:tcMar>
              <w:top w:w="80" w:type="dxa"/>
              <w:start w:w="120" w:type="dxa"/>
              <w:bottom w:w="80" w:type="dxa"/>
              <w:end w:w="120" w:type="dxa"/>
            </w:tcMar>
          </w:tcPr>
          <w:p>
            <w:pPr>
              <w:spacing w:before="0" w:after="0" w:line="252" w:lineRule="auto"/>
              <w:jc w:val="left"/>
            </w:pPr>
            <w:r/>
            <w:r>
              <w:rPr>
                <w:rFonts w:ascii="Aptos" w:hAnsi="Aptos"/>
                <w:b/>
                <w:color w:val="1E293B"/>
                <w:sz w:val="14"/>
              </w:rPr>
              <w:t>30 Minutes to President's Club</w:t>
            </w:r>
          </w:p>
        </w:tc>
        <w:tc>
          <w:tcPr>
            <w:tcW w:type="dxa" w:w="4824"/>
            <w:vAlign w:val="center"/>
            <w:tcMar>
              <w:top w:w="80" w:type="dxa"/>
              <w:start w:w="120" w:type="dxa"/>
              <w:bottom w:w="80" w:type="dxa"/>
              <w:end w:w="120" w:type="dxa"/>
            </w:tcMar>
          </w:tcPr>
          <w:p>
            <w:pPr>
              <w:spacing w:before="0" w:after="0" w:line="252" w:lineRule="auto"/>
              <w:jc w:val="left"/>
            </w:pPr>
            <w:r/>
            <w:r>
              <w:rPr>
                <w:rFonts w:ascii="Aptos" w:hAnsi="Aptos"/>
                <w:b w:val="0"/>
                <w:color w:val="1E293B"/>
                <w:sz w:val="14"/>
              </w:rPr>
              <w:t>Cold-call battlecard validates permission-based openers, concise problem language, and flexible objection responses.</w:t>
            </w:r>
          </w:p>
        </w:tc>
        <w:tc>
          <w:tcPr>
            <w:tcW w:type="dxa" w:w="2736"/>
            <w:vAlign w:val="center"/>
            <w:tcMar>
              <w:top w:w="80" w:type="dxa"/>
              <w:start w:w="120" w:type="dxa"/>
              <w:bottom w:w="80" w:type="dxa"/>
              <w:end w:w="120" w:type="dxa"/>
            </w:tcMar>
          </w:tcPr>
          <w:p>
            <w:pPr>
              <w:spacing w:before="0" w:after="0" w:line="252" w:lineRule="auto"/>
              <w:jc w:val="left"/>
            </w:pPr>
            <w:r/>
            <w:r>
              <w:rPr>
                <w:rFonts w:ascii="Aptos" w:hAnsi="Aptos"/>
                <w:b w:val="0"/>
                <w:color w:val="1E293B"/>
                <w:sz w:val="14"/>
              </w:rPr>
              <w:t>https://tactics.30mpc.com/hubfs/30MPC%20Cold%20Calling%20Battlecard.pdf</w:t>
            </w:r>
          </w:p>
        </w:tc>
      </w:tr>
      <w:tr>
        <w:tc>
          <w:tcPr>
            <w:tcW w:type="dxa" w:w="1800"/>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4"/>
              </w:rPr>
              <w:t>Salesloft</w:t>
            </w:r>
          </w:p>
        </w:tc>
        <w:tc>
          <w:tcPr>
            <w:tcW w:type="dxa" w:w="4824"/>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4"/>
              </w:rPr>
              <w:t>Prioritize by fit, intent, and engagement; connect activity to connect rate, reply rate, meeting rate, and pipeline created.</w:t>
            </w:r>
          </w:p>
        </w:tc>
        <w:tc>
          <w:tcPr>
            <w:tcW w:type="dxa" w:w="2736"/>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4"/>
              </w:rPr>
              <w:t>https://www.salesloft.com/resources/blog/sales-prospecting</w:t>
            </w:r>
          </w:p>
        </w:tc>
      </w:tr>
      <w:tr>
        <w:tc>
          <w:tcPr>
            <w:tcW w:type="dxa" w:w="1800"/>
            <w:vAlign w:val="center"/>
            <w:tcMar>
              <w:top w:w="80" w:type="dxa"/>
              <w:start w:w="120" w:type="dxa"/>
              <w:bottom w:w="80" w:type="dxa"/>
              <w:end w:w="120" w:type="dxa"/>
            </w:tcMar>
          </w:tcPr>
          <w:p>
            <w:pPr>
              <w:spacing w:before="0" w:after="0" w:line="252" w:lineRule="auto"/>
              <w:jc w:val="left"/>
            </w:pPr>
            <w:r/>
            <w:r>
              <w:rPr>
                <w:rFonts w:ascii="Aptos" w:hAnsi="Aptos"/>
                <w:b/>
                <w:color w:val="1E293B"/>
                <w:sz w:val="14"/>
              </w:rPr>
              <w:t>Gong - cadence</w:t>
            </w:r>
          </w:p>
        </w:tc>
        <w:tc>
          <w:tcPr>
            <w:tcW w:type="dxa" w:w="4824"/>
            <w:vAlign w:val="center"/>
            <w:tcMar>
              <w:top w:w="80" w:type="dxa"/>
              <w:start w:w="120" w:type="dxa"/>
              <w:bottom w:w="80" w:type="dxa"/>
              <w:end w:w="120" w:type="dxa"/>
            </w:tcMar>
          </w:tcPr>
          <w:p>
            <w:pPr>
              <w:spacing w:before="0" w:after="0" w:line="252" w:lineRule="auto"/>
              <w:jc w:val="left"/>
            </w:pPr>
            <w:r/>
            <w:r>
              <w:rPr>
                <w:rFonts w:ascii="Aptos" w:hAnsi="Aptos"/>
                <w:b w:val="0"/>
                <w:color w:val="1E293B"/>
                <w:sz w:val="14"/>
              </w:rPr>
              <w:t>Use planned multichannel touchpoints, measure results, test changes, and stop or recycle when the cadence is exhausted.</w:t>
            </w:r>
          </w:p>
        </w:tc>
        <w:tc>
          <w:tcPr>
            <w:tcW w:type="dxa" w:w="2736"/>
            <w:vAlign w:val="center"/>
            <w:tcMar>
              <w:top w:w="80" w:type="dxa"/>
              <w:start w:w="120" w:type="dxa"/>
              <w:bottom w:w="80" w:type="dxa"/>
              <w:end w:w="120" w:type="dxa"/>
            </w:tcMar>
          </w:tcPr>
          <w:p>
            <w:pPr>
              <w:spacing w:before="0" w:after="0" w:line="252" w:lineRule="auto"/>
              <w:jc w:val="left"/>
            </w:pPr>
            <w:r/>
            <w:r>
              <w:rPr>
                <w:rFonts w:ascii="Aptos" w:hAnsi="Aptos"/>
                <w:b w:val="0"/>
                <w:color w:val="1E293B"/>
                <w:sz w:val="14"/>
              </w:rPr>
              <w:t>https://www.gong.io/blog/sales-cadence</w:t>
            </w:r>
          </w:p>
        </w:tc>
      </w:tr>
      <w:tr>
        <w:tc>
          <w:tcPr>
            <w:tcW w:type="dxa" w:w="1800"/>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4"/>
              </w:rPr>
              <w:t>Gong - cold calls</w:t>
            </w:r>
          </w:p>
        </w:tc>
        <w:tc>
          <w:tcPr>
            <w:tcW w:type="dxa" w:w="4824"/>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4"/>
              </w:rPr>
              <w:t>State a clear reason for the call; Gong reports a 2.1x higher success rate in its analyzed call set.</w:t>
            </w:r>
          </w:p>
        </w:tc>
        <w:tc>
          <w:tcPr>
            <w:tcW w:type="dxa" w:w="2736"/>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4"/>
              </w:rPr>
              <w:t>https://www.gong.io/blog/cold-call-stats</w:t>
            </w:r>
          </w:p>
        </w:tc>
      </w:tr>
      <w:tr>
        <w:tc>
          <w:tcPr>
            <w:tcW w:type="dxa" w:w="1800"/>
            <w:vAlign w:val="center"/>
            <w:tcMar>
              <w:top w:w="80" w:type="dxa"/>
              <w:start w:w="120" w:type="dxa"/>
              <w:bottom w:w="80" w:type="dxa"/>
              <w:end w:w="120" w:type="dxa"/>
            </w:tcMar>
          </w:tcPr>
          <w:p>
            <w:pPr>
              <w:spacing w:before="0" w:after="0" w:line="252" w:lineRule="auto"/>
              <w:jc w:val="left"/>
            </w:pPr>
            <w:r/>
            <w:r>
              <w:rPr>
                <w:rFonts w:ascii="Aptos" w:hAnsi="Aptos"/>
                <w:b/>
                <w:color w:val="1E293B"/>
                <w:sz w:val="14"/>
              </w:rPr>
              <w:t>HubSpot</w:t>
            </w:r>
          </w:p>
        </w:tc>
        <w:tc>
          <w:tcPr>
            <w:tcW w:type="dxa" w:w="4824"/>
            <w:vAlign w:val="center"/>
            <w:tcMar>
              <w:top w:w="80" w:type="dxa"/>
              <w:start w:w="120" w:type="dxa"/>
              <w:bottom w:w="80" w:type="dxa"/>
              <w:end w:w="120" w:type="dxa"/>
            </w:tcMar>
          </w:tcPr>
          <w:p>
            <w:pPr>
              <w:spacing w:before="0" w:after="0" w:line="252" w:lineRule="auto"/>
              <w:jc w:val="left"/>
            </w:pPr>
            <w:r/>
            <w:r>
              <w:rPr>
                <w:rFonts w:ascii="Aptos" w:hAnsi="Aptos"/>
                <w:b w:val="0"/>
                <w:color w:val="1E293B"/>
                <w:sz w:val="14"/>
              </w:rPr>
              <w:t>Prospecting requires defined stages, exit criteria, clean CRM transitions, and nurture/recycling rules.</w:t>
            </w:r>
          </w:p>
        </w:tc>
        <w:tc>
          <w:tcPr>
            <w:tcW w:type="dxa" w:w="2736"/>
            <w:vAlign w:val="center"/>
            <w:tcMar>
              <w:top w:w="80" w:type="dxa"/>
              <w:start w:w="120" w:type="dxa"/>
              <w:bottom w:w="80" w:type="dxa"/>
              <w:end w:w="120" w:type="dxa"/>
            </w:tcMar>
          </w:tcPr>
          <w:p>
            <w:pPr>
              <w:spacing w:before="0" w:after="0" w:line="252" w:lineRule="auto"/>
              <w:jc w:val="left"/>
            </w:pPr>
            <w:r/>
            <w:r>
              <w:rPr>
                <w:rFonts w:ascii="Aptos" w:hAnsi="Aptos"/>
                <w:b w:val="0"/>
                <w:color w:val="1E293B"/>
                <w:sz w:val="14"/>
              </w:rPr>
              <w:t>https://blog.hubspot.com/sales/sales-prospecting-funnel</w:t>
            </w:r>
          </w:p>
        </w:tc>
      </w:tr>
      <w:tr>
        <w:tc>
          <w:tcPr>
            <w:tcW w:type="dxa" w:w="1800"/>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4"/>
              </w:rPr>
              <w:t>Highspot</w:t>
            </w:r>
          </w:p>
        </w:tc>
        <w:tc>
          <w:tcPr>
            <w:tcW w:type="dxa" w:w="4824"/>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4"/>
              </w:rPr>
              <w:t>Cadence is a learned behavior improved through practice, analytics, buyer context, and channel adaptation.</w:t>
            </w:r>
          </w:p>
        </w:tc>
        <w:tc>
          <w:tcPr>
            <w:tcW w:type="dxa" w:w="2736"/>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4"/>
              </w:rPr>
              <w:t>https://www.highspot.com/blog/sales-cadence/</w:t>
            </w:r>
          </w:p>
        </w:tc>
      </w:tr>
      <w:tr>
        <w:tc>
          <w:tcPr>
            <w:tcW w:type="dxa" w:w="1800"/>
            <w:vAlign w:val="center"/>
            <w:tcMar>
              <w:top w:w="80" w:type="dxa"/>
              <w:start w:w="120" w:type="dxa"/>
              <w:bottom w:w="80" w:type="dxa"/>
              <w:end w:w="120" w:type="dxa"/>
            </w:tcMar>
          </w:tcPr>
          <w:p>
            <w:pPr>
              <w:spacing w:before="0" w:after="0" w:line="252" w:lineRule="auto"/>
              <w:jc w:val="left"/>
            </w:pPr>
            <w:r/>
            <w:r>
              <w:rPr>
                <w:rFonts w:ascii="Aptos" w:hAnsi="Aptos"/>
                <w:b/>
                <w:color w:val="1E293B"/>
                <w:sz w:val="14"/>
              </w:rPr>
              <w:t>Clari</w:t>
            </w:r>
          </w:p>
        </w:tc>
        <w:tc>
          <w:tcPr>
            <w:tcW w:type="dxa" w:w="4824"/>
            <w:vAlign w:val="center"/>
            <w:tcMar>
              <w:top w:w="80" w:type="dxa"/>
              <w:start w:w="120" w:type="dxa"/>
              <w:bottom w:w="80" w:type="dxa"/>
              <w:end w:w="120" w:type="dxa"/>
            </w:tcMar>
          </w:tcPr>
          <w:p>
            <w:pPr>
              <w:spacing w:before="0" w:after="0" w:line="252" w:lineRule="auto"/>
              <w:jc w:val="left"/>
            </w:pPr>
            <w:r/>
            <w:r>
              <w:rPr>
                <w:rFonts w:ascii="Aptos" w:hAnsi="Aptos"/>
                <w:b w:val="0"/>
                <w:color w:val="1E293B"/>
                <w:sz w:val="14"/>
              </w:rPr>
              <w:t>Activity data should trigger coaching and action; dashboards should connect inputs to outcome quality and CRM completeness.</w:t>
            </w:r>
          </w:p>
        </w:tc>
        <w:tc>
          <w:tcPr>
            <w:tcW w:type="dxa" w:w="2736"/>
            <w:vAlign w:val="center"/>
            <w:tcMar>
              <w:top w:w="80" w:type="dxa"/>
              <w:start w:w="120" w:type="dxa"/>
              <w:bottom w:w="80" w:type="dxa"/>
              <w:end w:w="120" w:type="dxa"/>
            </w:tcMar>
          </w:tcPr>
          <w:p>
            <w:pPr>
              <w:spacing w:before="0" w:after="0" w:line="252" w:lineRule="auto"/>
              <w:jc w:val="left"/>
            </w:pPr>
            <w:r/>
            <w:r>
              <w:rPr>
                <w:rFonts w:ascii="Aptos" w:hAnsi="Aptos"/>
                <w:b w:val="0"/>
                <w:color w:val="1E293B"/>
                <w:sz w:val="14"/>
              </w:rPr>
              <w:t>https://www.clari.com/blog/sales-dashboards/</w:t>
            </w:r>
          </w:p>
        </w:tc>
      </w:tr>
      <w:tr>
        <w:tc>
          <w:tcPr>
            <w:tcW w:type="dxa" w:w="1800"/>
            <w:shd w:fill="F8FAFC"/>
            <w:vAlign w:val="center"/>
            <w:tcMar>
              <w:top w:w="80" w:type="dxa"/>
              <w:start w:w="120" w:type="dxa"/>
              <w:bottom w:w="80" w:type="dxa"/>
              <w:end w:w="120" w:type="dxa"/>
            </w:tcMar>
          </w:tcPr>
          <w:p>
            <w:pPr>
              <w:spacing w:before="0" w:after="0" w:line="252" w:lineRule="auto"/>
              <w:jc w:val="left"/>
            </w:pPr>
            <w:r/>
            <w:r>
              <w:rPr>
                <w:rFonts w:ascii="Aptos" w:hAnsi="Aptos"/>
                <w:b/>
                <w:color w:val="1E293B"/>
                <w:sz w:val="14"/>
              </w:rPr>
              <w:t>6sense</w:t>
            </w:r>
          </w:p>
        </w:tc>
        <w:tc>
          <w:tcPr>
            <w:tcW w:type="dxa" w:w="4824"/>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4"/>
              </w:rPr>
              <w:t>Modern buyers often research and establish preferences before speaking with sellers, increasing the value of useful, timely, signal-led outreach.</w:t>
            </w:r>
          </w:p>
        </w:tc>
        <w:tc>
          <w:tcPr>
            <w:tcW w:type="dxa" w:w="2736"/>
            <w:shd w:fill="F8FAFC"/>
            <w:vAlign w:val="center"/>
            <w:tcMar>
              <w:top w:w="80" w:type="dxa"/>
              <w:start w:w="120" w:type="dxa"/>
              <w:bottom w:w="80" w:type="dxa"/>
              <w:end w:w="120" w:type="dxa"/>
            </w:tcMar>
          </w:tcPr>
          <w:p>
            <w:pPr>
              <w:spacing w:before="0" w:after="0" w:line="252" w:lineRule="auto"/>
              <w:jc w:val="left"/>
            </w:pPr>
            <w:r/>
            <w:r>
              <w:rPr>
                <w:rFonts w:ascii="Aptos" w:hAnsi="Aptos"/>
                <w:b w:val="0"/>
                <w:color w:val="1E293B"/>
                <w:sz w:val="14"/>
              </w:rPr>
              <w:t>https://6sense.com/science-of-b2b/buyer-experience-report-2025/</w:t>
            </w:r>
          </w:p>
        </w:tc>
      </w:tr>
      <w:tr>
        <w:tc>
          <w:tcPr>
            <w:tcW w:type="dxa" w:w="1800"/>
            <w:vAlign w:val="center"/>
            <w:tcMar>
              <w:top w:w="80" w:type="dxa"/>
              <w:start w:w="120" w:type="dxa"/>
              <w:bottom w:w="80" w:type="dxa"/>
              <w:end w:w="120" w:type="dxa"/>
            </w:tcMar>
          </w:tcPr>
          <w:p>
            <w:pPr>
              <w:spacing w:before="0" w:after="0" w:line="252" w:lineRule="auto"/>
              <w:jc w:val="left"/>
            </w:pPr>
            <w:r/>
            <w:r>
              <w:rPr>
                <w:rFonts w:ascii="Aptos" w:hAnsi="Aptos"/>
                <w:b/>
                <w:color w:val="1E293B"/>
                <w:sz w:val="14"/>
              </w:rPr>
              <w:t>Apollo</w:t>
            </w:r>
          </w:p>
        </w:tc>
        <w:tc>
          <w:tcPr>
            <w:tcW w:type="dxa" w:w="4824"/>
            <w:vAlign w:val="center"/>
            <w:tcMar>
              <w:top w:w="80" w:type="dxa"/>
              <w:start w:w="120" w:type="dxa"/>
              <w:bottom w:w="80" w:type="dxa"/>
              <w:end w:w="120" w:type="dxa"/>
            </w:tcMar>
          </w:tcPr>
          <w:p>
            <w:pPr>
              <w:spacing w:before="0" w:after="0" w:line="252" w:lineRule="auto"/>
              <w:jc w:val="left"/>
            </w:pPr>
            <w:r/>
            <w:r>
              <w:rPr>
                <w:rFonts w:ascii="Aptos" w:hAnsi="Aptos"/>
                <w:b w:val="0"/>
                <w:color w:val="1E293B"/>
                <w:sz w:val="14"/>
              </w:rPr>
              <w:t>Modern multichannel sequences should rotate channels and respond to buyer signals rather than depend on email volume alone.</w:t>
            </w:r>
          </w:p>
        </w:tc>
        <w:tc>
          <w:tcPr>
            <w:tcW w:type="dxa" w:w="2736"/>
            <w:vAlign w:val="center"/>
            <w:tcMar>
              <w:top w:w="80" w:type="dxa"/>
              <w:start w:w="120" w:type="dxa"/>
              <w:bottom w:w="80" w:type="dxa"/>
              <w:end w:w="120" w:type="dxa"/>
            </w:tcMar>
          </w:tcPr>
          <w:p>
            <w:pPr>
              <w:spacing w:before="0" w:after="0" w:line="252" w:lineRule="auto"/>
              <w:jc w:val="left"/>
            </w:pPr>
            <w:r/>
            <w:r>
              <w:rPr>
                <w:rFonts w:ascii="Aptos" w:hAnsi="Aptos"/>
                <w:b w:val="0"/>
                <w:color w:val="1E293B"/>
                <w:sz w:val="14"/>
              </w:rPr>
              <w:t>https://www.apollo.io/insights/whats-the-ideal-cadence-for-a-multi-channel-outbound-sequence</w:t>
            </w:r>
          </w:p>
        </w:tc>
      </w:tr>
    </w:tbl>
    <w:p>
      <w:pPr>
        <w:spacing w:after="0"/>
      </w:pPr>
    </w:p>
    <w:p>
      <w:pPr>
        <w:spacing w:before="120" w:after="160"/>
        <w:ind w:left="202" w:right="202"/>
        <w:shd w:fill="FFF7ED"/>
        <w:pBdr>
          <w:left w:val="single" w:sz="20" w:space="8" w:color="F97316"/>
        </w:pBdr>
      </w:pPr>
      <w:r>
        <w:rPr>
          <w:rFonts w:ascii="Aptos" w:hAnsi="Aptos"/>
          <w:b/>
          <w:color w:val="F97316"/>
          <w:sz w:val="18"/>
        </w:rPr>
        <w:t>EVIDENCE BOUNDARY</w:t>
      </w:r>
      <w:r>
        <w:rPr>
          <w:rFonts w:ascii="Aptos" w:hAnsi="Aptos"/>
          <w:color w:val="1E293B"/>
          <w:sz w:val="20"/>
        </w:rPr>
        <w:br/>
        <w:t>Benchmarks are diagnostic starting points, not promises. Cadence length, timing, conversion rates, score thresholds, and activity targets should be calibrated with employer data, buyer preference, territory, market, and product complexity.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748B"/>
        <w:sz w:val="16"/>
      </w:rPr>
      <w:t xml:space="preserve">VSA First 90 Days Sales OS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64748B"/>
        <w:sz w:val="16"/>
      </w:rPr>
      <w:t>VIRTUAL SALES ACADEMY  |  PROSPECTING OPERATING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ptos" w:hAnsi="Aptos"/>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F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ptos" w:hAnsi="Aptos"/>
      <w:b w:val="0"/>
      <w:i/>
      <w:iCs/>
      <w:color w:val="64748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tos" w:hAnsi="Aptos"/>
      <w:sz w:val="22"/>
    </w:rPr>
  </w:style>
  <w:style w:type="paragraph" w:styleId="ListBullet2">
    <w:name w:val="List Bullet 2"/>
    <w:basedOn w:val="Normal"/>
    <w:uiPriority w:val="99"/>
    <w:unhideWhenUsed/>
    <w:rsid w:val="00326F90"/>
    <w:pPr>
      <w:numPr>
        <w:numId w:val="2"/>
      </w:numPr>
      <w:spacing w:after="80" w:line="300" w:lineRule="auto"/>
      <w:ind w:left="900" w:hanging="271"/>
      <w:contextualSpacing/>
    </w:pPr>
    <w:rPr>
      <w:rFonts w:ascii="Aptos" w:hAnsi="Aptos"/>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tos" w:hAnsi="Apto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