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21B1D" w:rsidRDefault="001F5A77">
      <w:pPr>
        <w:spacing w:after="200"/>
      </w:pPr>
      <w:r>
        <w:rPr>
          <w:noProof/>
        </w:rPr>
        <w:drawing>
          <wp:inline distT="0" distB="0" distL="0" distR="0">
            <wp:extent cx="5943600" cy="971550"/>
            <wp:effectExtent l="0" t="0" r="0" b="0"/>
            <wp:docPr id="1" name="logo" descr="Bank of America logo" title="Bank of America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43600" cy="971550"/>
                    </a:xfrm>
                    <a:prstGeom prst="rect">
                      <a:avLst/>
                    </a:prstGeom>
                  </pic:spPr>
                </pic:pic>
              </a:graphicData>
            </a:graphic>
          </wp:inline>
        </w:drawing>
      </w:r>
    </w:p>
    <w:p w:rsidR="00421B1D" w:rsidRDefault="001F5A77">
      <w:pPr>
        <w:pBdr>
          <w:bottom w:val="single" w:sz="18" w:space="8" w:color="E31837"/>
        </w:pBdr>
        <w:spacing w:before="200" w:after="160"/>
      </w:pPr>
      <w:r>
        <w:rPr>
          <w:b/>
          <w:bCs/>
          <w:color w:val="012169"/>
          <w:sz w:val="48"/>
          <w:szCs w:val="48"/>
        </w:rPr>
        <w:t>Strategic Investment Recommendations</w:t>
      </w:r>
    </w:p>
    <w:p w:rsidR="00421B1D" w:rsidRDefault="001F5A77">
      <w:pPr>
        <w:spacing w:after="60"/>
      </w:pPr>
      <w:r>
        <w:rPr>
          <w:b/>
          <w:bCs/>
        </w:rPr>
        <w:t>Client Name:</w:t>
      </w:r>
      <w:r>
        <w:t xml:space="preserve"> Summit Investments</w:t>
      </w:r>
    </w:p>
    <w:p w:rsidR="00421B1D" w:rsidRDefault="001F5A77">
      <w:pPr>
        <w:spacing w:after="60"/>
      </w:pPr>
      <w:r>
        <w:rPr>
          <w:b/>
          <w:bCs/>
        </w:rPr>
        <w:t>Analyst Name:</w:t>
      </w:r>
      <w:r>
        <w:t xml:space="preserve"> Ewan</w:t>
      </w:r>
      <w:r w:rsidR="00484AEF">
        <w:t xml:space="preserve"> Andrew Leon</w:t>
      </w:r>
      <w:bookmarkStart w:id="0" w:name="_GoBack"/>
      <w:bookmarkEnd w:id="0"/>
      <w:r>
        <w:t>, Sales and Trading Analyst</w:t>
      </w:r>
    </w:p>
    <w:p w:rsidR="00421B1D" w:rsidRDefault="001F5A77">
      <w:pPr>
        <w:spacing w:after="120"/>
      </w:pPr>
      <w:r>
        <w:rPr>
          <w:b/>
          <w:bCs/>
        </w:rPr>
        <w:t>Date:</w:t>
      </w:r>
      <w:r>
        <w:t xml:space="preserve"> October 1, 2026</w:t>
      </w:r>
    </w:p>
    <w:p w:rsidR="00421B1D" w:rsidRDefault="001F5A77">
      <w:pPr>
        <w:pStyle w:val="Heading1"/>
      </w:pPr>
      <w:r>
        <w:t>Executive Summary</w:t>
      </w:r>
    </w:p>
    <w:p w:rsidR="00421B1D" w:rsidRDefault="001F5A77">
      <w:pPr>
        <w:spacing w:after="120" w:line="264" w:lineRule="auto"/>
      </w:pPr>
      <w:r>
        <w:t>Summit Investments seeks sustainability, wider diversification and moderate growth without excessive volatility. Its main concerns are rising interest rates, limited exposure to fast-growing sectors such as renewable energy and technology, and geopolitical</w:t>
      </w:r>
      <w:r>
        <w:t xml:space="preserve"> uncertainty in emerging markets.</w:t>
      </w:r>
    </w:p>
    <w:p w:rsidR="00421B1D" w:rsidRDefault="001F5A77">
      <w:pPr>
        <w:spacing w:after="120" w:line="264" w:lineRule="auto"/>
      </w:pPr>
      <w:r>
        <w:t>We recommend two products, global green and ESG ETFs and emerging market bonds, introduced in two phases and funded from US large-cap equities and domestic bonds. Your overall mix of equities, bonds, real estate and cash s</w:t>
      </w:r>
      <w:r>
        <w:t>tays the same. Within it, you gain a 10% sustainable allocation, wider geographic exposure and less reliance on US large caps, with each step capped and reviewable.</w:t>
      </w:r>
    </w:p>
    <w:p w:rsidR="00421B1D" w:rsidRDefault="001F5A77">
      <w:pPr>
        <w:pStyle w:val="Heading1"/>
      </w:pPr>
      <w:r>
        <w:t>Client Priorities</w:t>
      </w:r>
    </w:p>
    <w:p w:rsidR="00421B1D" w:rsidRDefault="001F5A77">
      <w:pPr>
        <w:pStyle w:val="Heading2"/>
      </w:pPr>
      <w:r>
        <w:t>Diversification</w:t>
      </w:r>
    </w:p>
    <w:p w:rsidR="00421B1D" w:rsidRDefault="001F5A77">
      <w:pPr>
        <w:spacing w:after="120" w:line="264" w:lineRule="auto"/>
      </w:pPr>
      <w:r>
        <w:t xml:space="preserve">Roughly 10 points move out of US large-cap equities into </w:t>
      </w:r>
      <w:r>
        <w:t>global green funds, and 8 points of domestic bonds move into emerging market debt, spreading risk across more sectors and geographies.</w:t>
      </w:r>
    </w:p>
    <w:p w:rsidR="00421B1D" w:rsidRDefault="001F5A77">
      <w:pPr>
        <w:pStyle w:val="Heading2"/>
      </w:pPr>
      <w:r>
        <w:t>Sustainability</w:t>
      </w:r>
    </w:p>
    <w:p w:rsidR="00421B1D" w:rsidRDefault="001F5A77">
      <w:pPr>
        <w:spacing w:after="120" w:line="264" w:lineRule="auto"/>
      </w:pPr>
      <w:r>
        <w:t>Green and ESG ETFs meet Summit’s 10% target, and we favour green-labelled bond issues within emerging mark</w:t>
      </w:r>
      <w:r>
        <w:t>et debt where available.</w:t>
      </w:r>
    </w:p>
    <w:p w:rsidR="00421B1D" w:rsidRDefault="001F5A77">
      <w:pPr>
        <w:pStyle w:val="Heading2"/>
      </w:pPr>
      <w:r>
        <w:t>Moderate Growth</w:t>
      </w:r>
    </w:p>
    <w:p w:rsidR="00421B1D" w:rsidRDefault="001F5A77">
      <w:pPr>
        <w:spacing w:after="120" w:line="264" w:lineRule="auto"/>
      </w:pPr>
      <w:r>
        <w:t>The current 45/30/15/10 split between equities, bonds, real estate and cash is preserved. New exposure to renewable energy supports growth, while caps and phasing control volatility.</w:t>
      </w:r>
    </w:p>
    <w:p w:rsidR="00421B1D" w:rsidRDefault="001F5A77">
      <w:pPr>
        <w:pStyle w:val="Heading1"/>
      </w:pPr>
      <w:r>
        <w:t>Recommended Financial Products a</w:t>
      </w:r>
      <w:r>
        <w:t>nd Justifications</w:t>
      </w:r>
    </w:p>
    <w:p w:rsidR="00421B1D" w:rsidRDefault="001F5A77">
      <w:pPr>
        <w:pStyle w:val="Heading2"/>
      </w:pPr>
      <w:r>
        <w:t>Product 1: Global Green and ESG ETFs (10%)</w:t>
      </w:r>
    </w:p>
    <w:p w:rsidR="00421B1D" w:rsidRDefault="001F5A77">
      <w:pPr>
        <w:pStyle w:val="ListParagraph"/>
        <w:numPr>
          <w:ilvl w:val="0"/>
          <w:numId w:val="2"/>
        </w:numPr>
        <w:spacing w:after="80" w:line="264" w:lineRule="auto"/>
      </w:pPr>
      <w:r>
        <w:rPr>
          <w:b/>
          <w:bCs/>
        </w:rPr>
        <w:t>Why this product:</w:t>
      </w:r>
      <w:r>
        <w:t xml:space="preserve"> ETFs offer low fees, high liquidity and diversified exposure, and are well suited to sustainable investing.</w:t>
      </w:r>
    </w:p>
    <w:p w:rsidR="00421B1D" w:rsidRDefault="001F5A77">
      <w:pPr>
        <w:pStyle w:val="ListParagraph"/>
        <w:numPr>
          <w:ilvl w:val="0"/>
          <w:numId w:val="2"/>
        </w:numPr>
        <w:spacing w:after="80" w:line="264" w:lineRule="auto"/>
      </w:pPr>
      <w:r>
        <w:rPr>
          <w:b/>
          <w:bCs/>
        </w:rPr>
        <w:t>Justification:</w:t>
      </w:r>
      <w:r>
        <w:t xml:space="preserve"> They fill Summit’s gap in renewable energy, and many g</w:t>
      </w:r>
      <w:r>
        <w:t>reen and ESG funds also hold technology-linked companies, the other fast-growing area you want more exposure to. Global funds also add international exposure, and transparent holdings help with ESG reporting. We would choose broadly diversified funds rathe</w:t>
      </w:r>
      <w:r>
        <w:t>r than narrow single-theme ones to limit volatility.</w:t>
      </w:r>
    </w:p>
    <w:p w:rsidR="00421B1D" w:rsidRDefault="001F5A77">
      <w:pPr>
        <w:pStyle w:val="Heading2"/>
      </w:pPr>
      <w:r>
        <w:lastRenderedPageBreak/>
        <w:t>Product 2: Emerging Market Bonds (8%)</w:t>
      </w:r>
    </w:p>
    <w:p w:rsidR="00421B1D" w:rsidRDefault="001F5A77">
      <w:pPr>
        <w:pStyle w:val="ListParagraph"/>
        <w:numPr>
          <w:ilvl w:val="0"/>
          <w:numId w:val="2"/>
        </w:numPr>
        <w:spacing w:after="80" w:line="264" w:lineRule="auto"/>
      </w:pPr>
      <w:r>
        <w:rPr>
          <w:b/>
          <w:bCs/>
        </w:rPr>
        <w:t>Why this product:</w:t>
      </w:r>
      <w:r>
        <w:t xml:space="preserve"> They provide geographic diversification and moderate growth, and are the main route to the international and emerging market exposure Summit wants.</w:t>
      </w:r>
    </w:p>
    <w:p w:rsidR="00421B1D" w:rsidRDefault="001F5A77">
      <w:pPr>
        <w:pStyle w:val="ListParagraph"/>
        <w:numPr>
          <w:ilvl w:val="0"/>
          <w:numId w:val="2"/>
        </w:numPr>
        <w:spacing w:after="80" w:line="264" w:lineRule="auto"/>
      </w:pPr>
      <w:r>
        <w:rPr>
          <w:b/>
          <w:bCs/>
        </w:rPr>
        <w:t>Justification:</w:t>
      </w:r>
      <w:r>
        <w:t xml:space="preserve"> Their higher yields provide some cushion, although they still respond to US interest rate moves. We would use dollar-denominated bonds across many countries to limit currency risk, and cap the holding at 8% because of geopolitical uncertain</w:t>
      </w:r>
      <w:r>
        <w:t>ty. We have deliberately excluded derivatives, hedge funds and structured products, as their complexity and risk exceed Summit’s moderate profile.</w:t>
      </w:r>
    </w:p>
    <w:p w:rsidR="00421B1D" w:rsidRDefault="001F5A77">
      <w:pPr>
        <w:pStyle w:val="Heading1"/>
      </w:pPr>
      <w:r>
        <w:t>Proposed Actions</w:t>
      </w:r>
    </w:p>
    <w:p w:rsidR="00421B1D" w:rsidRDefault="001F5A77">
      <w:pPr>
        <w:pStyle w:val="ListParagraph"/>
        <w:numPr>
          <w:ilvl w:val="0"/>
          <w:numId w:val="3"/>
        </w:numPr>
        <w:spacing w:after="100" w:line="264" w:lineRule="auto"/>
      </w:pPr>
      <w:r>
        <w:rPr>
          <w:b/>
          <w:bCs/>
        </w:rPr>
        <w:t>Reallocate portfolio funds:</w:t>
      </w:r>
      <w:r>
        <w:t xml:space="preserve"> Move in two phases, as shown below. Real estate stays at 15% and cash at 10%, which remains Summit’s tactical reserve.</w:t>
      </w:r>
    </w:p>
    <w:p w:rsidR="00421B1D" w:rsidRDefault="00421B1D">
      <w:pPr>
        <w:spacing w:after="100"/>
      </w:pP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360"/>
        <w:gridCol w:w="2000"/>
        <w:gridCol w:w="2000"/>
        <w:gridCol w:w="2000"/>
      </w:tblGrid>
      <w:tr w:rsidR="00421B1D">
        <w:tblPrEx>
          <w:tblCellMar>
            <w:top w:w="0" w:type="dxa"/>
            <w:bottom w:w="0" w:type="dxa"/>
          </w:tblCellMar>
        </w:tblPrEx>
        <w:trPr>
          <w:cantSplit/>
          <w:tblHeader/>
        </w:trPr>
        <w:tc>
          <w:tcPr>
            <w:tcW w:w="3360" w:type="dxa"/>
            <w:tcBorders>
              <w:top w:val="single" w:sz="4" w:space="0" w:color="C8CCD4"/>
              <w:left w:val="single" w:sz="4" w:space="0" w:color="C8CCD4"/>
              <w:bottom w:val="single" w:sz="4" w:space="0" w:color="C8CCD4"/>
              <w:right w:val="single" w:sz="4" w:space="0" w:color="C8CCD4"/>
            </w:tcBorders>
            <w:shd w:val="clear" w:color="auto" w:fill="012169"/>
            <w:tcMar>
              <w:top w:w="70" w:type="dxa"/>
              <w:left w:w="100" w:type="dxa"/>
              <w:bottom w:w="70" w:type="dxa"/>
              <w:right w:w="100" w:type="dxa"/>
            </w:tcMar>
          </w:tcPr>
          <w:p w:rsidR="00421B1D" w:rsidRDefault="001F5A77">
            <w:pPr>
              <w:spacing w:line="252" w:lineRule="auto"/>
            </w:pPr>
            <w:r>
              <w:rPr>
                <w:b/>
                <w:bCs/>
                <w:color w:val="FFFFFF"/>
                <w:sz w:val="20"/>
                <w:szCs w:val="20"/>
              </w:rPr>
              <w:t>Asset class</w:t>
            </w:r>
          </w:p>
        </w:tc>
        <w:tc>
          <w:tcPr>
            <w:tcW w:w="2000" w:type="dxa"/>
            <w:tcBorders>
              <w:top w:val="single" w:sz="4" w:space="0" w:color="C8CCD4"/>
              <w:left w:val="single" w:sz="4" w:space="0" w:color="C8CCD4"/>
              <w:bottom w:val="single" w:sz="4" w:space="0" w:color="C8CCD4"/>
              <w:right w:val="single" w:sz="4" w:space="0" w:color="C8CCD4"/>
            </w:tcBorders>
            <w:shd w:val="clear" w:color="auto" w:fill="012169"/>
            <w:tcMar>
              <w:top w:w="70" w:type="dxa"/>
              <w:left w:w="100" w:type="dxa"/>
              <w:bottom w:w="70" w:type="dxa"/>
              <w:right w:w="100" w:type="dxa"/>
            </w:tcMar>
          </w:tcPr>
          <w:p w:rsidR="00421B1D" w:rsidRDefault="001F5A77">
            <w:pPr>
              <w:spacing w:line="252" w:lineRule="auto"/>
              <w:jc w:val="center"/>
            </w:pPr>
            <w:r>
              <w:rPr>
                <w:b/>
                <w:bCs/>
                <w:color w:val="FFFFFF"/>
                <w:sz w:val="20"/>
                <w:szCs w:val="20"/>
              </w:rPr>
              <w:t>Current</w:t>
            </w:r>
          </w:p>
        </w:tc>
        <w:tc>
          <w:tcPr>
            <w:tcW w:w="2000" w:type="dxa"/>
            <w:tcBorders>
              <w:top w:val="single" w:sz="4" w:space="0" w:color="C8CCD4"/>
              <w:left w:val="single" w:sz="4" w:space="0" w:color="C8CCD4"/>
              <w:bottom w:val="single" w:sz="4" w:space="0" w:color="C8CCD4"/>
              <w:right w:val="single" w:sz="4" w:space="0" w:color="C8CCD4"/>
            </w:tcBorders>
            <w:shd w:val="clear" w:color="auto" w:fill="012169"/>
            <w:tcMar>
              <w:top w:w="70" w:type="dxa"/>
              <w:left w:w="100" w:type="dxa"/>
              <w:bottom w:w="70" w:type="dxa"/>
              <w:right w:w="100" w:type="dxa"/>
            </w:tcMar>
          </w:tcPr>
          <w:p w:rsidR="00421B1D" w:rsidRDefault="001F5A77">
            <w:pPr>
              <w:spacing w:line="252" w:lineRule="auto"/>
              <w:jc w:val="center"/>
            </w:pPr>
            <w:r>
              <w:rPr>
                <w:b/>
                <w:bCs/>
                <w:color w:val="FFFFFF"/>
                <w:sz w:val="20"/>
                <w:szCs w:val="20"/>
              </w:rPr>
              <w:t>Phase 1 (now)</w:t>
            </w:r>
          </w:p>
        </w:tc>
        <w:tc>
          <w:tcPr>
            <w:tcW w:w="2000" w:type="dxa"/>
            <w:tcBorders>
              <w:top w:val="single" w:sz="4" w:space="0" w:color="C8CCD4"/>
              <w:left w:val="single" w:sz="4" w:space="0" w:color="C8CCD4"/>
              <w:bottom w:val="single" w:sz="4" w:space="0" w:color="C8CCD4"/>
              <w:right w:val="single" w:sz="4" w:space="0" w:color="C8CCD4"/>
            </w:tcBorders>
            <w:shd w:val="clear" w:color="auto" w:fill="012169"/>
            <w:tcMar>
              <w:top w:w="70" w:type="dxa"/>
              <w:left w:w="100" w:type="dxa"/>
              <w:bottom w:w="70" w:type="dxa"/>
              <w:right w:w="100" w:type="dxa"/>
            </w:tcMar>
          </w:tcPr>
          <w:p w:rsidR="00421B1D" w:rsidRDefault="001F5A77">
            <w:pPr>
              <w:spacing w:line="252" w:lineRule="auto"/>
              <w:jc w:val="center"/>
            </w:pPr>
            <w:r>
              <w:rPr>
                <w:b/>
                <w:bCs/>
                <w:color w:val="FFFFFF"/>
                <w:sz w:val="20"/>
                <w:szCs w:val="20"/>
              </w:rPr>
              <w:t>Phase 2 (60–90 days)</w:t>
            </w:r>
          </w:p>
        </w:tc>
      </w:tr>
      <w:tr w:rsidR="00421B1D">
        <w:tblPrEx>
          <w:tblCellMar>
            <w:top w:w="0" w:type="dxa"/>
            <w:bottom w:w="0" w:type="dxa"/>
          </w:tblCellMar>
        </w:tblPrEx>
        <w:trPr>
          <w:cantSplit/>
        </w:trPr>
        <w:tc>
          <w:tcPr>
            <w:tcW w:w="3360" w:type="dxa"/>
            <w:tcBorders>
              <w:top w:val="single" w:sz="4" w:space="0" w:color="C8CCD4"/>
              <w:left w:val="single" w:sz="4" w:space="0" w:color="C8CCD4"/>
              <w:bottom w:val="single" w:sz="4" w:space="0" w:color="C8CCD4"/>
              <w:right w:val="single" w:sz="4" w:space="0" w:color="C8CCD4"/>
            </w:tcBorders>
            <w:tcMar>
              <w:top w:w="70" w:type="dxa"/>
              <w:left w:w="100" w:type="dxa"/>
              <w:bottom w:w="70" w:type="dxa"/>
              <w:right w:w="100" w:type="dxa"/>
            </w:tcMar>
          </w:tcPr>
          <w:p w:rsidR="00421B1D" w:rsidRDefault="001F5A77">
            <w:pPr>
              <w:spacing w:line="252" w:lineRule="auto"/>
            </w:pPr>
            <w:r>
              <w:rPr>
                <w:sz w:val="20"/>
                <w:szCs w:val="20"/>
              </w:rPr>
              <w:t>Conventional equities (mainly US large-cap)</w:t>
            </w:r>
          </w:p>
        </w:tc>
        <w:tc>
          <w:tcPr>
            <w:tcW w:w="2000" w:type="dxa"/>
            <w:tcBorders>
              <w:top w:val="single" w:sz="4" w:space="0" w:color="C8CCD4"/>
              <w:left w:val="single" w:sz="4" w:space="0" w:color="C8CCD4"/>
              <w:bottom w:val="single" w:sz="4" w:space="0" w:color="C8CCD4"/>
              <w:right w:val="single" w:sz="4" w:space="0" w:color="C8CCD4"/>
            </w:tcBorders>
            <w:tcMar>
              <w:top w:w="70" w:type="dxa"/>
              <w:left w:w="100" w:type="dxa"/>
              <w:bottom w:w="70" w:type="dxa"/>
              <w:right w:w="100" w:type="dxa"/>
            </w:tcMar>
          </w:tcPr>
          <w:p w:rsidR="00421B1D" w:rsidRDefault="001F5A77">
            <w:pPr>
              <w:spacing w:line="252" w:lineRule="auto"/>
              <w:jc w:val="center"/>
            </w:pPr>
            <w:r>
              <w:rPr>
                <w:sz w:val="20"/>
                <w:szCs w:val="20"/>
              </w:rPr>
              <w:t>45%</w:t>
            </w:r>
          </w:p>
        </w:tc>
        <w:tc>
          <w:tcPr>
            <w:tcW w:w="2000" w:type="dxa"/>
            <w:tcBorders>
              <w:top w:val="single" w:sz="4" w:space="0" w:color="C8CCD4"/>
              <w:left w:val="single" w:sz="4" w:space="0" w:color="C8CCD4"/>
              <w:bottom w:val="single" w:sz="4" w:space="0" w:color="C8CCD4"/>
              <w:right w:val="single" w:sz="4" w:space="0" w:color="C8CCD4"/>
            </w:tcBorders>
            <w:tcMar>
              <w:top w:w="70" w:type="dxa"/>
              <w:left w:w="100" w:type="dxa"/>
              <w:bottom w:w="70" w:type="dxa"/>
              <w:right w:w="100" w:type="dxa"/>
            </w:tcMar>
          </w:tcPr>
          <w:p w:rsidR="00421B1D" w:rsidRDefault="001F5A77">
            <w:pPr>
              <w:spacing w:line="252" w:lineRule="auto"/>
              <w:jc w:val="center"/>
            </w:pPr>
            <w:r>
              <w:rPr>
                <w:sz w:val="20"/>
                <w:szCs w:val="20"/>
              </w:rPr>
              <w:t>40%</w:t>
            </w:r>
          </w:p>
        </w:tc>
        <w:tc>
          <w:tcPr>
            <w:tcW w:w="2000" w:type="dxa"/>
            <w:tcBorders>
              <w:top w:val="single" w:sz="4" w:space="0" w:color="C8CCD4"/>
              <w:left w:val="single" w:sz="4" w:space="0" w:color="C8CCD4"/>
              <w:bottom w:val="single" w:sz="4" w:space="0" w:color="C8CCD4"/>
              <w:right w:val="single" w:sz="4" w:space="0" w:color="C8CCD4"/>
            </w:tcBorders>
            <w:tcMar>
              <w:top w:w="70" w:type="dxa"/>
              <w:left w:w="100" w:type="dxa"/>
              <w:bottom w:w="70" w:type="dxa"/>
              <w:right w:w="100" w:type="dxa"/>
            </w:tcMar>
          </w:tcPr>
          <w:p w:rsidR="00421B1D" w:rsidRDefault="001F5A77">
            <w:pPr>
              <w:spacing w:line="252" w:lineRule="auto"/>
              <w:jc w:val="center"/>
            </w:pPr>
            <w:r>
              <w:rPr>
                <w:sz w:val="20"/>
                <w:szCs w:val="20"/>
              </w:rPr>
              <w:t>35%</w:t>
            </w:r>
          </w:p>
        </w:tc>
      </w:tr>
      <w:tr w:rsidR="00421B1D">
        <w:tblPrEx>
          <w:tblCellMar>
            <w:top w:w="0" w:type="dxa"/>
            <w:bottom w:w="0" w:type="dxa"/>
          </w:tblCellMar>
        </w:tblPrEx>
        <w:trPr>
          <w:cantSplit/>
        </w:trPr>
        <w:tc>
          <w:tcPr>
            <w:tcW w:w="3360" w:type="dxa"/>
            <w:tcBorders>
              <w:top w:val="single" w:sz="4" w:space="0" w:color="C8CCD4"/>
              <w:left w:val="single" w:sz="4" w:space="0" w:color="C8CCD4"/>
              <w:bottom w:val="single" w:sz="4" w:space="0" w:color="C8CCD4"/>
              <w:right w:val="single" w:sz="4" w:space="0" w:color="C8CCD4"/>
            </w:tcBorders>
            <w:shd w:val="clear" w:color="auto" w:fill="F7F8FB"/>
            <w:tcMar>
              <w:top w:w="70" w:type="dxa"/>
              <w:left w:w="100" w:type="dxa"/>
              <w:bottom w:w="70" w:type="dxa"/>
              <w:right w:w="100" w:type="dxa"/>
            </w:tcMar>
          </w:tcPr>
          <w:p w:rsidR="00421B1D" w:rsidRDefault="001F5A77">
            <w:pPr>
              <w:spacing w:line="252" w:lineRule="auto"/>
            </w:pPr>
            <w:r>
              <w:rPr>
                <w:sz w:val="20"/>
                <w:szCs w:val="20"/>
              </w:rPr>
              <w:t>Green and ESG ETFs (new)</w:t>
            </w:r>
          </w:p>
        </w:tc>
        <w:tc>
          <w:tcPr>
            <w:tcW w:w="2000" w:type="dxa"/>
            <w:tcBorders>
              <w:top w:val="single" w:sz="4" w:space="0" w:color="C8CCD4"/>
              <w:left w:val="single" w:sz="4" w:space="0" w:color="C8CCD4"/>
              <w:bottom w:val="single" w:sz="4" w:space="0" w:color="C8CCD4"/>
              <w:right w:val="single" w:sz="4" w:space="0" w:color="C8CCD4"/>
            </w:tcBorders>
            <w:shd w:val="clear" w:color="auto" w:fill="F7F8FB"/>
            <w:tcMar>
              <w:top w:w="70" w:type="dxa"/>
              <w:left w:w="100" w:type="dxa"/>
              <w:bottom w:w="70" w:type="dxa"/>
              <w:right w:w="100" w:type="dxa"/>
            </w:tcMar>
          </w:tcPr>
          <w:p w:rsidR="00421B1D" w:rsidRDefault="001F5A77">
            <w:pPr>
              <w:spacing w:line="252" w:lineRule="auto"/>
              <w:jc w:val="center"/>
            </w:pPr>
            <w:r>
              <w:rPr>
                <w:sz w:val="20"/>
                <w:szCs w:val="20"/>
              </w:rPr>
              <w:t>0%</w:t>
            </w:r>
          </w:p>
        </w:tc>
        <w:tc>
          <w:tcPr>
            <w:tcW w:w="2000" w:type="dxa"/>
            <w:tcBorders>
              <w:top w:val="single" w:sz="4" w:space="0" w:color="C8CCD4"/>
              <w:left w:val="single" w:sz="4" w:space="0" w:color="C8CCD4"/>
              <w:bottom w:val="single" w:sz="4" w:space="0" w:color="C8CCD4"/>
              <w:right w:val="single" w:sz="4" w:space="0" w:color="C8CCD4"/>
            </w:tcBorders>
            <w:shd w:val="clear" w:color="auto" w:fill="F7F8FB"/>
            <w:tcMar>
              <w:top w:w="70" w:type="dxa"/>
              <w:left w:w="100" w:type="dxa"/>
              <w:bottom w:w="70" w:type="dxa"/>
              <w:right w:w="100" w:type="dxa"/>
            </w:tcMar>
          </w:tcPr>
          <w:p w:rsidR="00421B1D" w:rsidRDefault="001F5A77">
            <w:pPr>
              <w:spacing w:line="252" w:lineRule="auto"/>
              <w:jc w:val="center"/>
            </w:pPr>
            <w:r>
              <w:rPr>
                <w:sz w:val="20"/>
                <w:szCs w:val="20"/>
              </w:rPr>
              <w:t>5%</w:t>
            </w:r>
          </w:p>
        </w:tc>
        <w:tc>
          <w:tcPr>
            <w:tcW w:w="2000" w:type="dxa"/>
            <w:tcBorders>
              <w:top w:val="single" w:sz="4" w:space="0" w:color="C8CCD4"/>
              <w:left w:val="single" w:sz="4" w:space="0" w:color="C8CCD4"/>
              <w:bottom w:val="single" w:sz="4" w:space="0" w:color="C8CCD4"/>
              <w:right w:val="single" w:sz="4" w:space="0" w:color="C8CCD4"/>
            </w:tcBorders>
            <w:shd w:val="clear" w:color="auto" w:fill="F7F8FB"/>
            <w:tcMar>
              <w:top w:w="70" w:type="dxa"/>
              <w:left w:w="100" w:type="dxa"/>
              <w:bottom w:w="70" w:type="dxa"/>
              <w:right w:w="100" w:type="dxa"/>
            </w:tcMar>
          </w:tcPr>
          <w:p w:rsidR="00421B1D" w:rsidRDefault="001F5A77">
            <w:pPr>
              <w:spacing w:line="252" w:lineRule="auto"/>
              <w:jc w:val="center"/>
            </w:pPr>
            <w:r>
              <w:rPr>
                <w:sz w:val="20"/>
                <w:szCs w:val="20"/>
              </w:rPr>
              <w:t>10%</w:t>
            </w:r>
          </w:p>
        </w:tc>
      </w:tr>
      <w:tr w:rsidR="00421B1D">
        <w:tblPrEx>
          <w:tblCellMar>
            <w:top w:w="0" w:type="dxa"/>
            <w:bottom w:w="0" w:type="dxa"/>
          </w:tblCellMar>
        </w:tblPrEx>
        <w:trPr>
          <w:cantSplit/>
        </w:trPr>
        <w:tc>
          <w:tcPr>
            <w:tcW w:w="3360" w:type="dxa"/>
            <w:tcBorders>
              <w:top w:val="single" w:sz="4" w:space="0" w:color="C8CCD4"/>
              <w:left w:val="single" w:sz="4" w:space="0" w:color="C8CCD4"/>
              <w:bottom w:val="single" w:sz="4" w:space="0" w:color="C8CCD4"/>
              <w:right w:val="single" w:sz="4" w:space="0" w:color="C8CCD4"/>
            </w:tcBorders>
            <w:tcMar>
              <w:top w:w="70" w:type="dxa"/>
              <w:left w:w="100" w:type="dxa"/>
              <w:bottom w:w="70" w:type="dxa"/>
              <w:right w:w="100" w:type="dxa"/>
            </w:tcMar>
          </w:tcPr>
          <w:p w:rsidR="00421B1D" w:rsidRDefault="001F5A77">
            <w:pPr>
              <w:spacing w:line="252" w:lineRule="auto"/>
            </w:pPr>
            <w:r>
              <w:rPr>
                <w:sz w:val="20"/>
                <w:szCs w:val="20"/>
              </w:rPr>
              <w:t>Domestic bonds (corporate and treasury)</w:t>
            </w:r>
          </w:p>
        </w:tc>
        <w:tc>
          <w:tcPr>
            <w:tcW w:w="2000" w:type="dxa"/>
            <w:tcBorders>
              <w:top w:val="single" w:sz="4" w:space="0" w:color="C8CCD4"/>
              <w:left w:val="single" w:sz="4" w:space="0" w:color="C8CCD4"/>
              <w:bottom w:val="single" w:sz="4" w:space="0" w:color="C8CCD4"/>
              <w:right w:val="single" w:sz="4" w:space="0" w:color="C8CCD4"/>
            </w:tcBorders>
            <w:tcMar>
              <w:top w:w="70" w:type="dxa"/>
              <w:left w:w="100" w:type="dxa"/>
              <w:bottom w:w="70" w:type="dxa"/>
              <w:right w:w="100" w:type="dxa"/>
            </w:tcMar>
          </w:tcPr>
          <w:p w:rsidR="00421B1D" w:rsidRDefault="001F5A77">
            <w:pPr>
              <w:spacing w:line="252" w:lineRule="auto"/>
              <w:jc w:val="center"/>
            </w:pPr>
            <w:r>
              <w:rPr>
                <w:sz w:val="20"/>
                <w:szCs w:val="20"/>
              </w:rPr>
              <w:t>30%</w:t>
            </w:r>
          </w:p>
        </w:tc>
        <w:tc>
          <w:tcPr>
            <w:tcW w:w="2000" w:type="dxa"/>
            <w:tcBorders>
              <w:top w:val="single" w:sz="4" w:space="0" w:color="C8CCD4"/>
              <w:left w:val="single" w:sz="4" w:space="0" w:color="C8CCD4"/>
              <w:bottom w:val="single" w:sz="4" w:space="0" w:color="C8CCD4"/>
              <w:right w:val="single" w:sz="4" w:space="0" w:color="C8CCD4"/>
            </w:tcBorders>
            <w:tcMar>
              <w:top w:w="70" w:type="dxa"/>
              <w:left w:w="100" w:type="dxa"/>
              <w:bottom w:w="70" w:type="dxa"/>
              <w:right w:w="100" w:type="dxa"/>
            </w:tcMar>
          </w:tcPr>
          <w:p w:rsidR="00421B1D" w:rsidRDefault="001F5A77">
            <w:pPr>
              <w:spacing w:line="252" w:lineRule="auto"/>
              <w:jc w:val="center"/>
            </w:pPr>
            <w:r>
              <w:rPr>
                <w:sz w:val="20"/>
                <w:szCs w:val="20"/>
              </w:rPr>
              <w:t>26%</w:t>
            </w:r>
          </w:p>
        </w:tc>
        <w:tc>
          <w:tcPr>
            <w:tcW w:w="2000" w:type="dxa"/>
            <w:tcBorders>
              <w:top w:val="single" w:sz="4" w:space="0" w:color="C8CCD4"/>
              <w:left w:val="single" w:sz="4" w:space="0" w:color="C8CCD4"/>
              <w:bottom w:val="single" w:sz="4" w:space="0" w:color="C8CCD4"/>
              <w:right w:val="single" w:sz="4" w:space="0" w:color="C8CCD4"/>
            </w:tcBorders>
            <w:tcMar>
              <w:top w:w="70" w:type="dxa"/>
              <w:left w:w="100" w:type="dxa"/>
              <w:bottom w:w="70" w:type="dxa"/>
              <w:right w:w="100" w:type="dxa"/>
            </w:tcMar>
          </w:tcPr>
          <w:p w:rsidR="00421B1D" w:rsidRDefault="001F5A77">
            <w:pPr>
              <w:spacing w:line="252" w:lineRule="auto"/>
              <w:jc w:val="center"/>
            </w:pPr>
            <w:r>
              <w:rPr>
                <w:sz w:val="20"/>
                <w:szCs w:val="20"/>
              </w:rPr>
              <w:t>22%</w:t>
            </w:r>
          </w:p>
        </w:tc>
      </w:tr>
      <w:tr w:rsidR="00421B1D">
        <w:tblPrEx>
          <w:tblCellMar>
            <w:top w:w="0" w:type="dxa"/>
            <w:bottom w:w="0" w:type="dxa"/>
          </w:tblCellMar>
        </w:tblPrEx>
        <w:trPr>
          <w:cantSplit/>
        </w:trPr>
        <w:tc>
          <w:tcPr>
            <w:tcW w:w="3360" w:type="dxa"/>
            <w:tcBorders>
              <w:top w:val="single" w:sz="4" w:space="0" w:color="C8CCD4"/>
              <w:left w:val="single" w:sz="4" w:space="0" w:color="C8CCD4"/>
              <w:bottom w:val="single" w:sz="4" w:space="0" w:color="C8CCD4"/>
              <w:right w:val="single" w:sz="4" w:space="0" w:color="C8CCD4"/>
            </w:tcBorders>
            <w:shd w:val="clear" w:color="auto" w:fill="F7F8FB"/>
            <w:tcMar>
              <w:top w:w="70" w:type="dxa"/>
              <w:left w:w="100" w:type="dxa"/>
              <w:bottom w:w="70" w:type="dxa"/>
              <w:right w:w="100" w:type="dxa"/>
            </w:tcMar>
          </w:tcPr>
          <w:p w:rsidR="00421B1D" w:rsidRDefault="001F5A77">
            <w:pPr>
              <w:spacing w:line="252" w:lineRule="auto"/>
            </w:pPr>
            <w:r>
              <w:rPr>
                <w:sz w:val="20"/>
                <w:szCs w:val="20"/>
              </w:rPr>
              <w:t>Emerging market bonds (new)</w:t>
            </w:r>
          </w:p>
        </w:tc>
        <w:tc>
          <w:tcPr>
            <w:tcW w:w="2000" w:type="dxa"/>
            <w:tcBorders>
              <w:top w:val="single" w:sz="4" w:space="0" w:color="C8CCD4"/>
              <w:left w:val="single" w:sz="4" w:space="0" w:color="C8CCD4"/>
              <w:bottom w:val="single" w:sz="4" w:space="0" w:color="C8CCD4"/>
              <w:right w:val="single" w:sz="4" w:space="0" w:color="C8CCD4"/>
            </w:tcBorders>
            <w:shd w:val="clear" w:color="auto" w:fill="F7F8FB"/>
            <w:tcMar>
              <w:top w:w="70" w:type="dxa"/>
              <w:left w:w="100" w:type="dxa"/>
              <w:bottom w:w="70" w:type="dxa"/>
              <w:right w:w="100" w:type="dxa"/>
            </w:tcMar>
          </w:tcPr>
          <w:p w:rsidR="00421B1D" w:rsidRDefault="001F5A77">
            <w:pPr>
              <w:spacing w:line="252" w:lineRule="auto"/>
              <w:jc w:val="center"/>
            </w:pPr>
            <w:r>
              <w:rPr>
                <w:sz w:val="20"/>
                <w:szCs w:val="20"/>
              </w:rPr>
              <w:t>0%</w:t>
            </w:r>
          </w:p>
        </w:tc>
        <w:tc>
          <w:tcPr>
            <w:tcW w:w="2000" w:type="dxa"/>
            <w:tcBorders>
              <w:top w:val="single" w:sz="4" w:space="0" w:color="C8CCD4"/>
              <w:left w:val="single" w:sz="4" w:space="0" w:color="C8CCD4"/>
              <w:bottom w:val="single" w:sz="4" w:space="0" w:color="C8CCD4"/>
              <w:right w:val="single" w:sz="4" w:space="0" w:color="C8CCD4"/>
            </w:tcBorders>
            <w:shd w:val="clear" w:color="auto" w:fill="F7F8FB"/>
            <w:tcMar>
              <w:top w:w="70" w:type="dxa"/>
              <w:left w:w="100" w:type="dxa"/>
              <w:bottom w:w="70" w:type="dxa"/>
              <w:right w:w="100" w:type="dxa"/>
            </w:tcMar>
          </w:tcPr>
          <w:p w:rsidR="00421B1D" w:rsidRDefault="001F5A77">
            <w:pPr>
              <w:spacing w:line="252" w:lineRule="auto"/>
              <w:jc w:val="center"/>
            </w:pPr>
            <w:r>
              <w:rPr>
                <w:sz w:val="20"/>
                <w:szCs w:val="20"/>
              </w:rPr>
              <w:t>4%</w:t>
            </w:r>
          </w:p>
        </w:tc>
        <w:tc>
          <w:tcPr>
            <w:tcW w:w="2000" w:type="dxa"/>
            <w:tcBorders>
              <w:top w:val="single" w:sz="4" w:space="0" w:color="C8CCD4"/>
              <w:left w:val="single" w:sz="4" w:space="0" w:color="C8CCD4"/>
              <w:bottom w:val="single" w:sz="4" w:space="0" w:color="C8CCD4"/>
              <w:right w:val="single" w:sz="4" w:space="0" w:color="C8CCD4"/>
            </w:tcBorders>
            <w:shd w:val="clear" w:color="auto" w:fill="F7F8FB"/>
            <w:tcMar>
              <w:top w:w="70" w:type="dxa"/>
              <w:left w:w="100" w:type="dxa"/>
              <w:bottom w:w="70" w:type="dxa"/>
              <w:right w:w="100" w:type="dxa"/>
            </w:tcMar>
          </w:tcPr>
          <w:p w:rsidR="00421B1D" w:rsidRDefault="001F5A77">
            <w:pPr>
              <w:spacing w:line="252" w:lineRule="auto"/>
              <w:jc w:val="center"/>
            </w:pPr>
            <w:r>
              <w:rPr>
                <w:sz w:val="20"/>
                <w:szCs w:val="20"/>
              </w:rPr>
              <w:t>8%</w:t>
            </w:r>
          </w:p>
        </w:tc>
      </w:tr>
      <w:tr w:rsidR="00421B1D">
        <w:tblPrEx>
          <w:tblCellMar>
            <w:top w:w="0" w:type="dxa"/>
            <w:bottom w:w="0" w:type="dxa"/>
          </w:tblCellMar>
        </w:tblPrEx>
        <w:trPr>
          <w:cantSplit/>
        </w:trPr>
        <w:tc>
          <w:tcPr>
            <w:tcW w:w="3360" w:type="dxa"/>
            <w:tcBorders>
              <w:top w:val="single" w:sz="4" w:space="0" w:color="C8CCD4"/>
              <w:left w:val="single" w:sz="4" w:space="0" w:color="C8CCD4"/>
              <w:bottom w:val="single" w:sz="4" w:space="0" w:color="C8CCD4"/>
              <w:right w:val="single" w:sz="4" w:space="0" w:color="C8CCD4"/>
            </w:tcBorders>
            <w:tcMar>
              <w:top w:w="70" w:type="dxa"/>
              <w:left w:w="100" w:type="dxa"/>
              <w:bottom w:w="70" w:type="dxa"/>
              <w:right w:w="100" w:type="dxa"/>
            </w:tcMar>
          </w:tcPr>
          <w:p w:rsidR="00421B1D" w:rsidRDefault="001F5A77">
            <w:pPr>
              <w:spacing w:line="252" w:lineRule="auto"/>
            </w:pPr>
            <w:r>
              <w:rPr>
                <w:sz w:val="20"/>
                <w:szCs w:val="20"/>
              </w:rPr>
              <w:t>Real estate (domestic REITs)</w:t>
            </w:r>
          </w:p>
        </w:tc>
        <w:tc>
          <w:tcPr>
            <w:tcW w:w="2000" w:type="dxa"/>
            <w:tcBorders>
              <w:top w:val="single" w:sz="4" w:space="0" w:color="C8CCD4"/>
              <w:left w:val="single" w:sz="4" w:space="0" w:color="C8CCD4"/>
              <w:bottom w:val="single" w:sz="4" w:space="0" w:color="C8CCD4"/>
              <w:right w:val="single" w:sz="4" w:space="0" w:color="C8CCD4"/>
            </w:tcBorders>
            <w:tcMar>
              <w:top w:w="70" w:type="dxa"/>
              <w:left w:w="100" w:type="dxa"/>
              <w:bottom w:w="70" w:type="dxa"/>
              <w:right w:w="100" w:type="dxa"/>
            </w:tcMar>
          </w:tcPr>
          <w:p w:rsidR="00421B1D" w:rsidRDefault="001F5A77">
            <w:pPr>
              <w:spacing w:line="252" w:lineRule="auto"/>
              <w:jc w:val="center"/>
            </w:pPr>
            <w:r>
              <w:rPr>
                <w:sz w:val="20"/>
                <w:szCs w:val="20"/>
              </w:rPr>
              <w:t>15%</w:t>
            </w:r>
          </w:p>
        </w:tc>
        <w:tc>
          <w:tcPr>
            <w:tcW w:w="2000" w:type="dxa"/>
            <w:tcBorders>
              <w:top w:val="single" w:sz="4" w:space="0" w:color="C8CCD4"/>
              <w:left w:val="single" w:sz="4" w:space="0" w:color="C8CCD4"/>
              <w:bottom w:val="single" w:sz="4" w:space="0" w:color="C8CCD4"/>
              <w:right w:val="single" w:sz="4" w:space="0" w:color="C8CCD4"/>
            </w:tcBorders>
            <w:tcMar>
              <w:top w:w="70" w:type="dxa"/>
              <w:left w:w="100" w:type="dxa"/>
              <w:bottom w:w="70" w:type="dxa"/>
              <w:right w:w="100" w:type="dxa"/>
            </w:tcMar>
          </w:tcPr>
          <w:p w:rsidR="00421B1D" w:rsidRDefault="001F5A77">
            <w:pPr>
              <w:spacing w:line="252" w:lineRule="auto"/>
              <w:jc w:val="center"/>
            </w:pPr>
            <w:r>
              <w:rPr>
                <w:sz w:val="20"/>
                <w:szCs w:val="20"/>
              </w:rPr>
              <w:t>15%</w:t>
            </w:r>
          </w:p>
        </w:tc>
        <w:tc>
          <w:tcPr>
            <w:tcW w:w="2000" w:type="dxa"/>
            <w:tcBorders>
              <w:top w:val="single" w:sz="4" w:space="0" w:color="C8CCD4"/>
              <w:left w:val="single" w:sz="4" w:space="0" w:color="C8CCD4"/>
              <w:bottom w:val="single" w:sz="4" w:space="0" w:color="C8CCD4"/>
              <w:right w:val="single" w:sz="4" w:space="0" w:color="C8CCD4"/>
            </w:tcBorders>
            <w:tcMar>
              <w:top w:w="70" w:type="dxa"/>
              <w:left w:w="100" w:type="dxa"/>
              <w:bottom w:w="70" w:type="dxa"/>
              <w:right w:w="100" w:type="dxa"/>
            </w:tcMar>
          </w:tcPr>
          <w:p w:rsidR="00421B1D" w:rsidRDefault="001F5A77">
            <w:pPr>
              <w:spacing w:line="252" w:lineRule="auto"/>
              <w:jc w:val="center"/>
            </w:pPr>
            <w:r>
              <w:rPr>
                <w:sz w:val="20"/>
                <w:szCs w:val="20"/>
              </w:rPr>
              <w:t>15%</w:t>
            </w:r>
          </w:p>
        </w:tc>
      </w:tr>
      <w:tr w:rsidR="00421B1D">
        <w:tblPrEx>
          <w:tblCellMar>
            <w:top w:w="0" w:type="dxa"/>
            <w:bottom w:w="0" w:type="dxa"/>
          </w:tblCellMar>
        </w:tblPrEx>
        <w:trPr>
          <w:cantSplit/>
        </w:trPr>
        <w:tc>
          <w:tcPr>
            <w:tcW w:w="3360" w:type="dxa"/>
            <w:tcBorders>
              <w:top w:val="single" w:sz="4" w:space="0" w:color="C8CCD4"/>
              <w:left w:val="single" w:sz="4" w:space="0" w:color="C8CCD4"/>
              <w:bottom w:val="single" w:sz="4" w:space="0" w:color="C8CCD4"/>
              <w:right w:val="single" w:sz="4" w:space="0" w:color="C8CCD4"/>
            </w:tcBorders>
            <w:shd w:val="clear" w:color="auto" w:fill="F7F8FB"/>
            <w:tcMar>
              <w:top w:w="70" w:type="dxa"/>
              <w:left w:w="100" w:type="dxa"/>
              <w:bottom w:w="70" w:type="dxa"/>
              <w:right w:w="100" w:type="dxa"/>
            </w:tcMar>
          </w:tcPr>
          <w:p w:rsidR="00421B1D" w:rsidRDefault="001F5A77">
            <w:pPr>
              <w:spacing w:line="252" w:lineRule="auto"/>
            </w:pPr>
            <w:r>
              <w:rPr>
                <w:sz w:val="20"/>
                <w:szCs w:val="20"/>
              </w:rPr>
              <w:t>Cash reserves</w:t>
            </w:r>
          </w:p>
        </w:tc>
        <w:tc>
          <w:tcPr>
            <w:tcW w:w="2000" w:type="dxa"/>
            <w:tcBorders>
              <w:top w:val="single" w:sz="4" w:space="0" w:color="C8CCD4"/>
              <w:left w:val="single" w:sz="4" w:space="0" w:color="C8CCD4"/>
              <w:bottom w:val="single" w:sz="4" w:space="0" w:color="C8CCD4"/>
              <w:right w:val="single" w:sz="4" w:space="0" w:color="C8CCD4"/>
            </w:tcBorders>
            <w:shd w:val="clear" w:color="auto" w:fill="F7F8FB"/>
            <w:tcMar>
              <w:top w:w="70" w:type="dxa"/>
              <w:left w:w="100" w:type="dxa"/>
              <w:bottom w:w="70" w:type="dxa"/>
              <w:right w:w="100" w:type="dxa"/>
            </w:tcMar>
          </w:tcPr>
          <w:p w:rsidR="00421B1D" w:rsidRDefault="001F5A77">
            <w:pPr>
              <w:spacing w:line="252" w:lineRule="auto"/>
              <w:jc w:val="center"/>
            </w:pPr>
            <w:r>
              <w:rPr>
                <w:sz w:val="20"/>
                <w:szCs w:val="20"/>
              </w:rPr>
              <w:t>10%</w:t>
            </w:r>
          </w:p>
        </w:tc>
        <w:tc>
          <w:tcPr>
            <w:tcW w:w="2000" w:type="dxa"/>
            <w:tcBorders>
              <w:top w:val="single" w:sz="4" w:space="0" w:color="C8CCD4"/>
              <w:left w:val="single" w:sz="4" w:space="0" w:color="C8CCD4"/>
              <w:bottom w:val="single" w:sz="4" w:space="0" w:color="C8CCD4"/>
              <w:right w:val="single" w:sz="4" w:space="0" w:color="C8CCD4"/>
            </w:tcBorders>
            <w:shd w:val="clear" w:color="auto" w:fill="F7F8FB"/>
            <w:tcMar>
              <w:top w:w="70" w:type="dxa"/>
              <w:left w:w="100" w:type="dxa"/>
              <w:bottom w:w="70" w:type="dxa"/>
              <w:right w:w="100" w:type="dxa"/>
            </w:tcMar>
          </w:tcPr>
          <w:p w:rsidR="00421B1D" w:rsidRDefault="001F5A77">
            <w:pPr>
              <w:spacing w:line="252" w:lineRule="auto"/>
              <w:jc w:val="center"/>
            </w:pPr>
            <w:r>
              <w:rPr>
                <w:sz w:val="20"/>
                <w:szCs w:val="20"/>
              </w:rPr>
              <w:t>10%</w:t>
            </w:r>
          </w:p>
        </w:tc>
        <w:tc>
          <w:tcPr>
            <w:tcW w:w="2000" w:type="dxa"/>
            <w:tcBorders>
              <w:top w:val="single" w:sz="4" w:space="0" w:color="C8CCD4"/>
              <w:left w:val="single" w:sz="4" w:space="0" w:color="C8CCD4"/>
              <w:bottom w:val="single" w:sz="4" w:space="0" w:color="C8CCD4"/>
              <w:right w:val="single" w:sz="4" w:space="0" w:color="C8CCD4"/>
            </w:tcBorders>
            <w:shd w:val="clear" w:color="auto" w:fill="F7F8FB"/>
            <w:tcMar>
              <w:top w:w="70" w:type="dxa"/>
              <w:left w:w="100" w:type="dxa"/>
              <w:bottom w:w="70" w:type="dxa"/>
              <w:right w:w="100" w:type="dxa"/>
            </w:tcMar>
          </w:tcPr>
          <w:p w:rsidR="00421B1D" w:rsidRDefault="001F5A77">
            <w:pPr>
              <w:spacing w:line="252" w:lineRule="auto"/>
              <w:jc w:val="center"/>
            </w:pPr>
            <w:r>
              <w:rPr>
                <w:sz w:val="20"/>
                <w:szCs w:val="20"/>
              </w:rPr>
              <w:t>10%</w:t>
            </w:r>
          </w:p>
        </w:tc>
      </w:tr>
      <w:tr w:rsidR="00421B1D">
        <w:tblPrEx>
          <w:tblCellMar>
            <w:top w:w="0" w:type="dxa"/>
            <w:bottom w:w="0" w:type="dxa"/>
          </w:tblCellMar>
        </w:tblPrEx>
        <w:trPr>
          <w:cantSplit/>
        </w:trPr>
        <w:tc>
          <w:tcPr>
            <w:tcW w:w="3360" w:type="dxa"/>
            <w:tcBorders>
              <w:top w:val="single" w:sz="4" w:space="0" w:color="C8CCD4"/>
              <w:left w:val="single" w:sz="4" w:space="0" w:color="C8CCD4"/>
              <w:bottom w:val="single" w:sz="4" w:space="0" w:color="C8CCD4"/>
              <w:right w:val="single" w:sz="4" w:space="0" w:color="C8CCD4"/>
            </w:tcBorders>
            <w:tcMar>
              <w:top w:w="70" w:type="dxa"/>
              <w:left w:w="100" w:type="dxa"/>
              <w:bottom w:w="70" w:type="dxa"/>
              <w:right w:w="100" w:type="dxa"/>
            </w:tcMar>
          </w:tcPr>
          <w:p w:rsidR="00421B1D" w:rsidRDefault="001F5A77">
            <w:pPr>
              <w:spacing w:line="252" w:lineRule="auto"/>
            </w:pPr>
            <w:r>
              <w:rPr>
                <w:b/>
                <w:bCs/>
                <w:sz w:val="20"/>
                <w:szCs w:val="20"/>
              </w:rPr>
              <w:t>Total</w:t>
            </w:r>
          </w:p>
        </w:tc>
        <w:tc>
          <w:tcPr>
            <w:tcW w:w="2000" w:type="dxa"/>
            <w:tcBorders>
              <w:top w:val="single" w:sz="4" w:space="0" w:color="C8CCD4"/>
              <w:left w:val="single" w:sz="4" w:space="0" w:color="C8CCD4"/>
              <w:bottom w:val="single" w:sz="4" w:space="0" w:color="C8CCD4"/>
              <w:right w:val="single" w:sz="4" w:space="0" w:color="C8CCD4"/>
            </w:tcBorders>
            <w:tcMar>
              <w:top w:w="70" w:type="dxa"/>
              <w:left w:w="100" w:type="dxa"/>
              <w:bottom w:w="70" w:type="dxa"/>
              <w:right w:w="100" w:type="dxa"/>
            </w:tcMar>
          </w:tcPr>
          <w:p w:rsidR="00421B1D" w:rsidRDefault="001F5A77">
            <w:pPr>
              <w:spacing w:line="252" w:lineRule="auto"/>
              <w:jc w:val="center"/>
            </w:pPr>
            <w:r>
              <w:rPr>
                <w:b/>
                <w:bCs/>
                <w:sz w:val="20"/>
                <w:szCs w:val="20"/>
              </w:rPr>
              <w:t>100%</w:t>
            </w:r>
          </w:p>
        </w:tc>
        <w:tc>
          <w:tcPr>
            <w:tcW w:w="2000" w:type="dxa"/>
            <w:tcBorders>
              <w:top w:val="single" w:sz="4" w:space="0" w:color="C8CCD4"/>
              <w:left w:val="single" w:sz="4" w:space="0" w:color="C8CCD4"/>
              <w:bottom w:val="single" w:sz="4" w:space="0" w:color="C8CCD4"/>
              <w:right w:val="single" w:sz="4" w:space="0" w:color="C8CCD4"/>
            </w:tcBorders>
            <w:tcMar>
              <w:top w:w="70" w:type="dxa"/>
              <w:left w:w="100" w:type="dxa"/>
              <w:bottom w:w="70" w:type="dxa"/>
              <w:right w:w="100" w:type="dxa"/>
            </w:tcMar>
          </w:tcPr>
          <w:p w:rsidR="00421B1D" w:rsidRDefault="001F5A77">
            <w:pPr>
              <w:spacing w:line="252" w:lineRule="auto"/>
              <w:jc w:val="center"/>
            </w:pPr>
            <w:r>
              <w:rPr>
                <w:b/>
                <w:bCs/>
                <w:sz w:val="20"/>
                <w:szCs w:val="20"/>
              </w:rPr>
              <w:t>100%</w:t>
            </w:r>
          </w:p>
        </w:tc>
        <w:tc>
          <w:tcPr>
            <w:tcW w:w="2000" w:type="dxa"/>
            <w:tcBorders>
              <w:top w:val="single" w:sz="4" w:space="0" w:color="C8CCD4"/>
              <w:left w:val="single" w:sz="4" w:space="0" w:color="C8CCD4"/>
              <w:bottom w:val="single" w:sz="4" w:space="0" w:color="C8CCD4"/>
              <w:right w:val="single" w:sz="4" w:space="0" w:color="C8CCD4"/>
            </w:tcBorders>
            <w:tcMar>
              <w:top w:w="70" w:type="dxa"/>
              <w:left w:w="100" w:type="dxa"/>
              <w:bottom w:w="70" w:type="dxa"/>
              <w:right w:w="100" w:type="dxa"/>
            </w:tcMar>
          </w:tcPr>
          <w:p w:rsidR="00421B1D" w:rsidRDefault="001F5A77">
            <w:pPr>
              <w:spacing w:line="252" w:lineRule="auto"/>
              <w:jc w:val="center"/>
            </w:pPr>
            <w:r>
              <w:rPr>
                <w:b/>
                <w:bCs/>
                <w:sz w:val="20"/>
                <w:szCs w:val="20"/>
              </w:rPr>
              <w:t>100%</w:t>
            </w:r>
          </w:p>
        </w:tc>
      </w:tr>
    </w:tbl>
    <w:p w:rsidR="00421B1D" w:rsidRDefault="00421B1D">
      <w:pPr>
        <w:spacing w:after="160"/>
      </w:pPr>
    </w:p>
    <w:p w:rsidR="00421B1D" w:rsidRDefault="001F5A77">
      <w:pPr>
        <w:pStyle w:val="ListParagraph"/>
        <w:numPr>
          <w:ilvl w:val="0"/>
          <w:numId w:val="3"/>
        </w:numPr>
        <w:spacing w:after="100" w:line="264" w:lineRule="auto"/>
      </w:pPr>
      <w:r>
        <w:rPr>
          <w:b/>
          <w:bCs/>
        </w:rPr>
        <w:t>Introduce new investments:</w:t>
      </w:r>
      <w:r>
        <w:t xml:space="preserve"> Select one or two global green ETFs and one diversified emerging market bond fund, comparing fees, holdings and ESG screening. Within domestic bonds, favour shorter maturities to reduce rate sensitivity. We would pause Phase 2 if the emerging market bond </w:t>
      </w:r>
      <w:r>
        <w:t>holding falls more than 5% from cost, or if geopolitical conditions deteriorate sharply.</w:t>
      </w:r>
    </w:p>
    <w:p w:rsidR="00421B1D" w:rsidRDefault="001F5A77">
      <w:pPr>
        <w:pStyle w:val="ListParagraph"/>
        <w:numPr>
          <w:ilvl w:val="0"/>
          <w:numId w:val="3"/>
        </w:numPr>
        <w:spacing w:after="100" w:line="264" w:lineRule="auto"/>
      </w:pPr>
      <w:r>
        <w:rPr>
          <w:b/>
          <w:bCs/>
        </w:rPr>
        <w:t>Monitor performance:</w:t>
      </w:r>
      <w:r>
        <w:t xml:space="preserve"> Review after 30 days, then quarterly. We would check that weights remain within 2 points of target, and review fees, volatility and ESG alignment.</w:t>
      </w:r>
      <w:r>
        <w:t xml:space="preserve"> Phase 2 goes ahead only after the 60–90 day review.</w:t>
      </w:r>
    </w:p>
    <w:p w:rsidR="00421B1D" w:rsidRDefault="001F5A77">
      <w:pPr>
        <w:pStyle w:val="Heading1"/>
      </w:pPr>
      <w:r>
        <w:t>Expected Outcomes</w:t>
      </w:r>
    </w:p>
    <w:p w:rsidR="00421B1D" w:rsidRDefault="001F5A77">
      <w:pPr>
        <w:spacing w:after="120" w:line="264" w:lineRule="auto"/>
      </w:pPr>
      <w:r>
        <w:t>This plan meets Summit’s stated targets: at least 10% in green and ESG investments, no more than 8% in emerging market bonds, and a lower reliance on US large caps. It also adds renewab</w:t>
      </w:r>
      <w:r>
        <w:t>le energy exposure and keeps the cash reserve intact. Returns cannot be guaranteed and will depend on market conditions.</w:t>
      </w:r>
    </w:p>
    <w:p w:rsidR="00421B1D" w:rsidRDefault="001F5A77">
      <w:pPr>
        <w:pStyle w:val="Heading1"/>
      </w:pPr>
      <w:r>
        <w:t>Conclusion</w:t>
      </w:r>
    </w:p>
    <w:p w:rsidR="00421B1D" w:rsidRDefault="001F5A77">
      <w:pPr>
        <w:spacing w:after="120" w:line="264" w:lineRule="auto"/>
      </w:pPr>
      <w:r>
        <w:t>This approach moves Summit toward its sustainability and diversification goals in measured steps, with clear limits on risk.</w:t>
      </w:r>
      <w:r>
        <w:t xml:space="preserve"> I would be glad to discuss any part of it at a time that suits you.</w:t>
      </w:r>
    </w:p>
    <w:sectPr w:rsidR="00421B1D">
      <w:footerReference w:type="default" r:id="rId8"/>
      <w:pgSz w:w="12240" w:h="15840"/>
      <w:pgMar w:top="1200" w:right="1440" w:bottom="1200" w:left="144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F5A77" w:rsidRDefault="001F5A77">
      <w:r>
        <w:separator/>
      </w:r>
    </w:p>
  </w:endnote>
  <w:endnote w:type="continuationSeparator" w:id="0">
    <w:p w:rsidR="001F5A77" w:rsidRDefault="001F5A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ptos">
    <w:altName w:val="Times New Roman"/>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21B1D" w:rsidRDefault="001F5A77">
    <w:pPr>
      <w:jc w:val="center"/>
    </w:pPr>
    <w:r>
      <w:rPr>
        <w:color w:val="777777"/>
        <w:sz w:val="17"/>
        <w:szCs w:val="17"/>
      </w:rPr>
      <w:t xml:space="preserve">Summit Investments | Strategic Investment Recommendations | Page </w:t>
    </w:r>
    <w:r>
      <w:rPr>
        <w:color w:val="777777"/>
        <w:sz w:val="17"/>
        <w:szCs w:val="17"/>
      </w:rPr>
      <w:fldChar w:fldCharType="begin"/>
    </w:r>
    <w:r>
      <w:rPr>
        <w:color w:val="777777"/>
        <w:sz w:val="17"/>
        <w:szCs w:val="17"/>
      </w:rPr>
      <w:instrText>PAGE</w:instrText>
    </w:r>
    <w:r w:rsidR="00484AEF">
      <w:rPr>
        <w:color w:val="777777"/>
        <w:sz w:val="17"/>
        <w:szCs w:val="17"/>
      </w:rPr>
      <w:fldChar w:fldCharType="separate"/>
    </w:r>
    <w:r w:rsidR="00484AEF">
      <w:rPr>
        <w:noProof/>
        <w:color w:val="777777"/>
        <w:sz w:val="17"/>
        <w:szCs w:val="17"/>
      </w:rPr>
      <w:t>2</w:t>
    </w:r>
    <w:r>
      <w:rPr>
        <w:color w:val="777777"/>
        <w:sz w:val="17"/>
        <w:szCs w:val="17"/>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F5A77" w:rsidRDefault="001F5A77">
      <w:r>
        <w:separator/>
      </w:r>
    </w:p>
  </w:footnote>
  <w:footnote w:type="continuationSeparator" w:id="0">
    <w:p w:rsidR="001F5A77" w:rsidRDefault="001F5A77">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0134268"/>
    <w:multiLevelType w:val="hybridMultilevel"/>
    <w:tmpl w:val="84A05306"/>
    <w:lvl w:ilvl="0" w:tplc="5E4E3FAE">
      <w:start w:val="1"/>
      <w:numFmt w:val="bullet"/>
      <w:lvlText w:val="•"/>
      <w:lvlJc w:val="left"/>
      <w:pPr>
        <w:ind w:left="540" w:hanging="270"/>
      </w:pPr>
    </w:lvl>
    <w:lvl w:ilvl="1" w:tplc="6542FD34">
      <w:start w:val="1"/>
      <w:numFmt w:val="bullet"/>
      <w:lvlText w:val="–"/>
      <w:lvlJc w:val="left"/>
      <w:pPr>
        <w:ind w:left="1000" w:hanging="270"/>
      </w:pPr>
    </w:lvl>
    <w:lvl w:ilvl="2" w:tplc="7FFEBFDE">
      <w:numFmt w:val="decimal"/>
      <w:lvlText w:val=""/>
      <w:lvlJc w:val="left"/>
    </w:lvl>
    <w:lvl w:ilvl="3" w:tplc="5538C2E0">
      <w:numFmt w:val="decimal"/>
      <w:lvlText w:val=""/>
      <w:lvlJc w:val="left"/>
    </w:lvl>
    <w:lvl w:ilvl="4" w:tplc="9E5818AC">
      <w:numFmt w:val="decimal"/>
      <w:lvlText w:val=""/>
      <w:lvlJc w:val="left"/>
    </w:lvl>
    <w:lvl w:ilvl="5" w:tplc="F66C4968">
      <w:numFmt w:val="decimal"/>
      <w:lvlText w:val=""/>
      <w:lvlJc w:val="left"/>
    </w:lvl>
    <w:lvl w:ilvl="6" w:tplc="B17C825A">
      <w:numFmt w:val="decimal"/>
      <w:lvlText w:val=""/>
      <w:lvlJc w:val="left"/>
    </w:lvl>
    <w:lvl w:ilvl="7" w:tplc="165ACD62">
      <w:numFmt w:val="decimal"/>
      <w:lvlText w:val=""/>
      <w:lvlJc w:val="left"/>
    </w:lvl>
    <w:lvl w:ilvl="8" w:tplc="CA26B59A">
      <w:numFmt w:val="decimal"/>
      <w:lvlText w:val=""/>
      <w:lvlJc w:val="left"/>
    </w:lvl>
  </w:abstractNum>
  <w:abstractNum w:abstractNumId="1">
    <w:nsid w:val="3868298E"/>
    <w:multiLevelType w:val="hybridMultilevel"/>
    <w:tmpl w:val="CE9A9EA8"/>
    <w:lvl w:ilvl="0" w:tplc="1D44F8A2">
      <w:start w:val="1"/>
      <w:numFmt w:val="decimal"/>
      <w:lvlText w:val="%1."/>
      <w:lvlJc w:val="left"/>
      <w:pPr>
        <w:ind w:left="540" w:hanging="320"/>
      </w:pPr>
    </w:lvl>
    <w:lvl w:ilvl="1" w:tplc="EEC0FF3C">
      <w:numFmt w:val="decimal"/>
      <w:lvlText w:val=""/>
      <w:lvlJc w:val="left"/>
    </w:lvl>
    <w:lvl w:ilvl="2" w:tplc="51104494">
      <w:numFmt w:val="decimal"/>
      <w:lvlText w:val=""/>
      <w:lvlJc w:val="left"/>
    </w:lvl>
    <w:lvl w:ilvl="3" w:tplc="485E8EC2">
      <w:numFmt w:val="decimal"/>
      <w:lvlText w:val=""/>
      <w:lvlJc w:val="left"/>
    </w:lvl>
    <w:lvl w:ilvl="4" w:tplc="2496FD0A">
      <w:numFmt w:val="decimal"/>
      <w:lvlText w:val=""/>
      <w:lvlJc w:val="left"/>
    </w:lvl>
    <w:lvl w:ilvl="5" w:tplc="044E94E0">
      <w:numFmt w:val="decimal"/>
      <w:lvlText w:val=""/>
      <w:lvlJc w:val="left"/>
    </w:lvl>
    <w:lvl w:ilvl="6" w:tplc="D8D020DE">
      <w:numFmt w:val="decimal"/>
      <w:lvlText w:val=""/>
      <w:lvlJc w:val="left"/>
    </w:lvl>
    <w:lvl w:ilvl="7" w:tplc="48A676B6">
      <w:numFmt w:val="decimal"/>
      <w:lvlText w:val=""/>
      <w:lvlJc w:val="left"/>
    </w:lvl>
    <w:lvl w:ilvl="8" w:tplc="B06CA5EA">
      <w:numFmt w:val="decimal"/>
      <w:lvlText w:val=""/>
      <w:lvlJc w:val="left"/>
    </w:lvl>
  </w:abstractNum>
  <w:abstractNum w:abstractNumId="2">
    <w:nsid w:val="5A2C1C41"/>
    <w:multiLevelType w:val="hybridMultilevel"/>
    <w:tmpl w:val="57C48120"/>
    <w:lvl w:ilvl="0" w:tplc="1C3C8116">
      <w:start w:val="1"/>
      <w:numFmt w:val="bullet"/>
      <w:lvlText w:val="●"/>
      <w:lvlJc w:val="left"/>
      <w:pPr>
        <w:ind w:left="720" w:hanging="360"/>
      </w:pPr>
    </w:lvl>
    <w:lvl w:ilvl="1" w:tplc="A0B027E4">
      <w:start w:val="1"/>
      <w:numFmt w:val="bullet"/>
      <w:lvlText w:val="○"/>
      <w:lvlJc w:val="left"/>
      <w:pPr>
        <w:ind w:left="1440" w:hanging="360"/>
      </w:pPr>
    </w:lvl>
    <w:lvl w:ilvl="2" w:tplc="DFEE2A06">
      <w:start w:val="1"/>
      <w:numFmt w:val="bullet"/>
      <w:lvlText w:val="■"/>
      <w:lvlJc w:val="left"/>
      <w:pPr>
        <w:ind w:left="2160" w:hanging="360"/>
      </w:pPr>
    </w:lvl>
    <w:lvl w:ilvl="3" w:tplc="7B2250D8">
      <w:start w:val="1"/>
      <w:numFmt w:val="bullet"/>
      <w:lvlText w:val="●"/>
      <w:lvlJc w:val="left"/>
      <w:pPr>
        <w:ind w:left="2880" w:hanging="360"/>
      </w:pPr>
    </w:lvl>
    <w:lvl w:ilvl="4" w:tplc="D5603C68">
      <w:start w:val="1"/>
      <w:numFmt w:val="bullet"/>
      <w:lvlText w:val="○"/>
      <w:lvlJc w:val="left"/>
      <w:pPr>
        <w:ind w:left="3600" w:hanging="360"/>
      </w:pPr>
    </w:lvl>
    <w:lvl w:ilvl="5" w:tplc="C40C7824">
      <w:start w:val="1"/>
      <w:numFmt w:val="bullet"/>
      <w:lvlText w:val="■"/>
      <w:lvlJc w:val="left"/>
      <w:pPr>
        <w:ind w:left="4320" w:hanging="360"/>
      </w:pPr>
    </w:lvl>
    <w:lvl w:ilvl="6" w:tplc="5FF6F942">
      <w:start w:val="1"/>
      <w:numFmt w:val="bullet"/>
      <w:lvlText w:val="●"/>
      <w:lvlJc w:val="left"/>
      <w:pPr>
        <w:ind w:left="5040" w:hanging="360"/>
      </w:pPr>
    </w:lvl>
    <w:lvl w:ilvl="7" w:tplc="EDD8056E">
      <w:start w:val="1"/>
      <w:numFmt w:val="bullet"/>
      <w:lvlText w:val="●"/>
      <w:lvlJc w:val="left"/>
      <w:pPr>
        <w:ind w:left="5760" w:hanging="360"/>
      </w:pPr>
    </w:lvl>
    <w:lvl w:ilvl="8" w:tplc="9B1C0634">
      <w:start w:val="1"/>
      <w:numFmt w:val="bullet"/>
      <w:lvlText w:val="●"/>
      <w:lvlJc w:val="left"/>
      <w:pPr>
        <w:ind w:left="6480" w:hanging="360"/>
      </w:pPr>
    </w:lvl>
  </w:abstractNum>
  <w:num w:numId="1">
    <w:abstractNumId w:val="2"/>
    <w:lvlOverride w:ilvl="0">
      <w:startOverride w:val="1"/>
    </w:lvlOverride>
  </w:num>
  <w:num w:numId="2">
    <w:abstractNumId w:val="0"/>
    <w:lvlOverride w:ilvl="0">
      <w:startOverride w:val="1"/>
    </w:lvlOverride>
  </w:num>
  <w:num w:numId="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21B1D"/>
    <w:rsid w:val="001F5A77"/>
    <w:rsid w:val="00421B1D"/>
    <w:rsid w:val="00484AE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D8A615A-35AC-4D16-8067-BA66830A6C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eastAsia="Aptos" w:hAnsi="Aptos" w:cs="Aptos"/>
        <w:sz w:val="22"/>
        <w:szCs w:val="22"/>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keepNext/>
      <w:pBdr>
        <w:bottom w:val="single" w:sz="6" w:space="4" w:color="A0A0A0"/>
      </w:pBdr>
      <w:spacing w:before="280" w:after="140"/>
      <w:outlineLvl w:val="0"/>
    </w:pPr>
    <w:rPr>
      <w:b/>
      <w:bCs/>
      <w:color w:val="012169"/>
      <w:sz w:val="30"/>
      <w:szCs w:val="30"/>
    </w:rPr>
  </w:style>
  <w:style w:type="paragraph" w:styleId="Heading2">
    <w:name w:val="heading 2"/>
    <w:qFormat/>
    <w:pPr>
      <w:keepNext/>
      <w:spacing w:before="180" w:after="70"/>
      <w:outlineLvl w:val="1"/>
    </w:pPr>
    <w:rPr>
      <w:b/>
      <w:bCs/>
      <w:color w:val="012169"/>
      <w:sz w:val="23"/>
      <w:szCs w:val="23"/>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632</Words>
  <Characters>3604</Characters>
  <Application>Microsoft Office Word</Application>
  <DocSecurity>0</DocSecurity>
  <Lines>30</Lines>
  <Paragraphs>8</Paragraphs>
  <ScaleCrop>false</ScaleCrop>
  <Company/>
  <LinksUpToDate>false</LinksUpToDate>
  <CharactersWithSpaces>4228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Strategic Investment Recommendations - Summit Investments</dc:title>
  <dc:creator>Sales and Trading Analyst</dc:creator>
  <cp:lastModifiedBy>A</cp:lastModifiedBy>
  <cp:revision>2</cp:revision>
  <dcterms:created xsi:type="dcterms:W3CDTF">2026-10-01T07:52:00Z</dcterms:created>
  <dcterms:modified xsi:type="dcterms:W3CDTF">2026-10-01T07:55:00Z</dcterms:modified>
</cp:coreProperties>
</file>