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1CC" w:rsidRDefault="002D534D">
      <w:pPr>
        <w:spacing w:after="160"/>
      </w:pPr>
      <w:r>
        <w:rPr>
          <w:noProof/>
        </w:rPr>
        <w:drawing>
          <wp:inline distT="0" distB="0" distL="0" distR="0">
            <wp:extent cx="5943600" cy="971550"/>
            <wp:effectExtent l="0" t="0" r="0" b="0"/>
            <wp:docPr id="1" name="logo" descr="Bank of America logo" title="Bank of Ameri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971550"/>
                    </a:xfrm>
                    <a:prstGeom prst="rect">
                      <a:avLst/>
                    </a:prstGeom>
                  </pic:spPr>
                </pic:pic>
              </a:graphicData>
            </a:graphic>
          </wp:inline>
        </w:drawing>
      </w:r>
    </w:p>
    <w:p w:rsidR="000161CC" w:rsidRDefault="002D534D">
      <w:pPr>
        <w:pBdr>
          <w:bottom w:val="single" w:sz="18" w:space="8" w:color="E31837"/>
        </w:pBdr>
        <w:spacing w:before="120" w:after="140"/>
      </w:pPr>
      <w:r>
        <w:rPr>
          <w:b/>
          <w:bCs/>
          <w:color w:val="012169"/>
          <w:sz w:val="48"/>
          <w:szCs w:val="48"/>
        </w:rPr>
        <w:t>Process Improvement Proposal</w:t>
      </w:r>
    </w:p>
    <w:p w:rsidR="000161CC" w:rsidRDefault="002D534D">
      <w:pPr>
        <w:spacing w:after="50"/>
      </w:pPr>
      <w:r>
        <w:rPr>
          <w:b/>
          <w:bCs/>
        </w:rPr>
        <w:t>Proposal Title:</w:t>
      </w:r>
      <w:r>
        <w:t xml:space="preserve"> Process Improvement Proposal for Apex Global Investments: Automating Trade Data Entry and Reconciliation</w:t>
      </w:r>
    </w:p>
    <w:p w:rsidR="000161CC" w:rsidRDefault="002D534D">
      <w:pPr>
        <w:spacing w:after="50"/>
      </w:pPr>
      <w:r>
        <w:rPr>
          <w:b/>
          <w:bCs/>
        </w:rPr>
        <w:t>Prepared by:</w:t>
      </w:r>
      <w:r>
        <w:t xml:space="preserve"> Ewan</w:t>
      </w:r>
      <w:r w:rsidR="000B7244">
        <w:t xml:space="preserve"> Andrew Leon</w:t>
      </w:r>
      <w:r>
        <w:t>, Sales and Trading Analyst</w:t>
      </w:r>
    </w:p>
    <w:p w:rsidR="000161CC" w:rsidRDefault="002D534D">
      <w:pPr>
        <w:spacing w:after="50"/>
      </w:pPr>
      <w:r>
        <w:rPr>
          <w:b/>
          <w:bCs/>
        </w:rPr>
        <w:t>Date:</w:t>
      </w:r>
      <w:r>
        <w:t xml:space="preserve"> October 1, 2026</w:t>
      </w:r>
    </w:p>
    <w:p w:rsidR="000161CC" w:rsidRDefault="002D534D">
      <w:pPr>
        <w:spacing w:after="80"/>
      </w:pPr>
      <w:r>
        <w:rPr>
          <w:b/>
          <w:bCs/>
        </w:rPr>
        <w:t>Client:</w:t>
      </w:r>
      <w:r>
        <w:t xml:space="preserve"> Apex Global Investments</w:t>
      </w:r>
    </w:p>
    <w:p w:rsidR="000161CC" w:rsidRDefault="002D534D">
      <w:pPr>
        <w:pStyle w:val="Heading1"/>
      </w:pPr>
      <w:r>
        <w:t>Section 1: Summary of Identified Issue</w:t>
      </w:r>
    </w:p>
    <w:p w:rsidR="000161CC" w:rsidRDefault="00256100">
      <w:pPr>
        <w:pStyle w:val="ListParagraph"/>
        <w:numPr>
          <w:ilvl w:val="0"/>
          <w:numId w:val="2"/>
        </w:numPr>
        <w:spacing w:after="70" w:line="260" w:lineRule="auto"/>
      </w:pPr>
      <w:r>
        <w:rPr>
          <w:b/>
          <w:bCs/>
        </w:rPr>
        <w:t>Workflow Analys</w:t>
      </w:r>
      <w:bookmarkStart w:id="0" w:name="_GoBack"/>
      <w:bookmarkEnd w:id="0"/>
      <w:r w:rsidR="002D534D">
        <w:rPr>
          <w:b/>
          <w:bCs/>
        </w:rPr>
        <w:t>ed:</w:t>
      </w:r>
      <w:r w:rsidR="002D534D">
        <w:t xml:space="preserve"> Apex’s trade execution process, which has four manual steps: data entry (15 minutes), cross-system validation (20), trade approval (25) and report generation (30), averaging 90 minutes in total.</w:t>
      </w:r>
    </w:p>
    <w:p w:rsidR="000161CC" w:rsidRDefault="002D534D">
      <w:pPr>
        <w:pStyle w:val="ListParagraph"/>
        <w:numPr>
          <w:ilvl w:val="0"/>
          <w:numId w:val="2"/>
        </w:numPr>
        <w:spacing w:after="70" w:line="260" w:lineRule="auto"/>
      </w:pPr>
      <w:r>
        <w:rPr>
          <w:b/>
          <w:bCs/>
        </w:rPr>
        <w:t>Ide</w:t>
      </w:r>
      <w:r>
        <w:rPr>
          <w:b/>
          <w:bCs/>
        </w:rPr>
        <w:t>ntified Bottleneck:</w:t>
      </w:r>
      <w:r>
        <w:t xml:space="preserve"> Manual data entry and cross-system validation. Trade details are typed in by hand and then compared by hand across two systems that are not integrated. These two steps take 35 of the 90 minutes (39%), and 60 minutes pass before a trade </w:t>
      </w:r>
      <w:r>
        <w:t>clears approval. Reconciliation errors run at 12%.</w:t>
      </w:r>
    </w:p>
    <w:p w:rsidR="000161CC" w:rsidRDefault="002D534D">
      <w:pPr>
        <w:pStyle w:val="ListParagraph"/>
        <w:numPr>
          <w:ilvl w:val="0"/>
          <w:numId w:val="2"/>
        </w:numPr>
        <w:spacing w:after="70" w:line="260" w:lineRule="auto"/>
      </w:pPr>
      <w:r>
        <w:rPr>
          <w:b/>
          <w:bCs/>
        </w:rPr>
        <w:t>Impact on Client Goals:</w:t>
      </w:r>
      <w:r>
        <w:t xml:space="preserve"> Delays contributed to an estimated $500,000 of missed trading opportunities last quarter, which is about $2 million a year if that rate continues. A 12% error rate also weakens repo</w:t>
      </w:r>
      <w:r>
        <w:t xml:space="preserve">rting accuracy and adds risk to a high-frequency business. This undermines all three of Apex’s objectives: speed, accuracy and the ability to act on market opportunities. The cost is ongoing, so the </w:t>
      </w:r>
      <w:proofErr w:type="gramStart"/>
      <w:r>
        <w:t>issue</w:t>
      </w:r>
      <w:proofErr w:type="gramEnd"/>
      <w:r>
        <w:t xml:space="preserve"> needs prompt resolution.</w:t>
      </w:r>
    </w:p>
    <w:p w:rsidR="000161CC" w:rsidRDefault="002D534D">
      <w:pPr>
        <w:pStyle w:val="Heading1"/>
      </w:pPr>
      <w:r>
        <w:t>Section 2: Proposed Soluti</w:t>
      </w:r>
      <w:r>
        <w:t>on</w:t>
      </w:r>
    </w:p>
    <w:p w:rsidR="000161CC" w:rsidRDefault="002D534D">
      <w:pPr>
        <w:pStyle w:val="ListParagraph"/>
        <w:numPr>
          <w:ilvl w:val="0"/>
          <w:numId w:val="2"/>
        </w:numPr>
        <w:spacing w:after="70" w:line="260" w:lineRule="auto"/>
      </w:pPr>
      <w:r>
        <w:rPr>
          <w:b/>
          <w:bCs/>
        </w:rPr>
        <w:t>Recommended Improvements:</w:t>
      </w:r>
      <w:r>
        <w:t xml:space="preserve"> Remove the manual re-keying and manual comparison, in two phases.</w:t>
      </w:r>
    </w:p>
    <w:p w:rsidR="000161CC" w:rsidRDefault="002D534D">
      <w:pPr>
        <w:pStyle w:val="ListParagraph"/>
        <w:numPr>
          <w:ilvl w:val="1"/>
          <w:numId w:val="2"/>
        </w:numPr>
        <w:spacing w:after="50" w:line="260" w:lineRule="auto"/>
      </w:pPr>
      <w:r>
        <w:rPr>
          <w:b/>
          <w:bCs/>
        </w:rPr>
        <w:t>Phase 1 (core fix):</w:t>
      </w:r>
      <w:r>
        <w:t xml:space="preserve"> (1) Replace manual data entry with an automated data feed so trade details are captured once. (2) Introduce reconciliation software with buil</w:t>
      </w:r>
      <w:r>
        <w:t>t-in error detection that matches records across both systems and sends only mismatches to analysts through an exceptions dashboard.</w:t>
      </w:r>
    </w:p>
    <w:p w:rsidR="000161CC" w:rsidRDefault="002D534D">
      <w:pPr>
        <w:pStyle w:val="ListParagraph"/>
        <w:numPr>
          <w:ilvl w:val="1"/>
          <w:numId w:val="2"/>
        </w:numPr>
        <w:spacing w:after="50" w:line="260" w:lineRule="auto"/>
      </w:pPr>
      <w:r>
        <w:rPr>
          <w:b/>
          <w:bCs/>
        </w:rPr>
        <w:t>Phase 2 (follow-on):</w:t>
      </w:r>
      <w:r>
        <w:t xml:space="preserve"> (3) Add rule-based pre-checks to compliance review, so the Compliance Officer focuses on flagged trade</w:t>
      </w:r>
      <w:r>
        <w:t>s and keeps final sign-off. (4) Generate and send trade reports automatically from reconciled data.</w:t>
      </w:r>
    </w:p>
    <w:p w:rsidR="000161CC" w:rsidRDefault="002D534D">
      <w:pPr>
        <w:pStyle w:val="ListParagraph"/>
        <w:numPr>
          <w:ilvl w:val="0"/>
          <w:numId w:val="2"/>
        </w:numPr>
        <w:spacing w:after="70" w:line="260" w:lineRule="auto"/>
      </w:pPr>
      <w:r>
        <w:rPr>
          <w:b/>
          <w:bCs/>
        </w:rPr>
        <w:t>Connection to Client Goals:</w:t>
      </w:r>
      <w:r>
        <w:t xml:space="preserve"> Automated capture and matching speed up execution and remove the human errors behind the 12% rate. Keeping compliance sign-off a</w:t>
      </w:r>
      <w:r>
        <w:t>nd running a parallel pilot respect Apex’s moderate risk tolerance. Per-step targets are in Section 5.</w:t>
      </w:r>
    </w:p>
    <w:p w:rsidR="000161CC" w:rsidRDefault="002D534D">
      <w:pPr>
        <w:pStyle w:val="Heading1"/>
      </w:pPr>
      <w:r>
        <w:t>Section 3: Justification for Solution</w:t>
      </w:r>
    </w:p>
    <w:p w:rsidR="000161CC" w:rsidRDefault="002D534D">
      <w:pPr>
        <w:pStyle w:val="ListParagraph"/>
        <w:numPr>
          <w:ilvl w:val="0"/>
          <w:numId w:val="2"/>
        </w:numPr>
        <w:spacing w:after="70" w:line="260" w:lineRule="auto"/>
      </w:pPr>
      <w:r>
        <w:rPr>
          <w:b/>
          <w:bCs/>
        </w:rPr>
        <w:t>Why This Solution?</w:t>
      </w:r>
      <w:r>
        <w:t xml:space="preserve"> It targets the root cause. Validation exists because data is keyed by hand into separate systems</w:t>
      </w:r>
      <w:r>
        <w:t>, so removing re-keying and automating matching eliminates both the errors and the checking effort, which also speeds up the approval that follows. Assessed against the Automation Opportunity Checklist, data entry and validation are frequent, rule-based, t</w:t>
      </w:r>
      <w:r>
        <w:t xml:space="preserve">ime-consuming, error-prone </w:t>
      </w:r>
      <w:r>
        <w:lastRenderedPageBreak/>
        <w:t>and data-driven, which makes them high priority. Approval requires judgement, so we automate only the pre-checks. Reporting is repetitive but does not delay trades, so it follows in Phase 2.</w:t>
      </w:r>
    </w:p>
    <w:p w:rsidR="000161CC" w:rsidRDefault="002D534D">
      <w:pPr>
        <w:pStyle w:val="ListParagraph"/>
        <w:numPr>
          <w:ilvl w:val="0"/>
          <w:numId w:val="2"/>
        </w:numPr>
        <w:spacing w:after="70" w:line="260" w:lineRule="auto"/>
      </w:pPr>
      <w:r>
        <w:rPr>
          <w:b/>
          <w:bCs/>
        </w:rPr>
        <w:t>Supporting Evidence:</w:t>
      </w:r>
      <w:r>
        <w:t xml:space="preserve"> The guide’s trade</w:t>
      </w:r>
      <w:r>
        <w:t xml:space="preserve"> reporting case study reports 80% time savings from automating data consolidation, and its reconciliation example reports a 30% time reduction and 40% fewer errors. We use the lower figures as our pilot thresholds and the higher figure as our target for th</w:t>
      </w:r>
      <w:r>
        <w:t>e data steps.</w:t>
      </w:r>
    </w:p>
    <w:p w:rsidR="000161CC" w:rsidRDefault="002D534D">
      <w:pPr>
        <w:pStyle w:val="ListParagraph"/>
        <w:numPr>
          <w:ilvl w:val="0"/>
          <w:numId w:val="2"/>
        </w:numPr>
        <w:spacing w:after="70" w:line="260" w:lineRule="auto"/>
      </w:pPr>
      <w:r>
        <w:rPr>
          <w:b/>
          <w:bCs/>
        </w:rPr>
        <w:t>Alternatives Considered:</w:t>
      </w:r>
      <w:r>
        <w:t xml:space="preserve"> Extra staff adds cost without fixing errors. Full compliance automation removes necessary oversight. A custom build is unrealistic given limited IT resources, so we favour off-the-shelf, vendor-supported tools. A sing</w:t>
      </w:r>
      <w:r>
        <w:t>le large roll-out is riskier for a high-value client, so we phase it.</w:t>
      </w:r>
    </w:p>
    <w:p w:rsidR="000161CC" w:rsidRDefault="002D534D">
      <w:pPr>
        <w:pStyle w:val="Heading1"/>
      </w:pPr>
      <w:r>
        <w:t>Section 4: Implementation Plan</w:t>
      </w:r>
    </w:p>
    <w:p w:rsidR="000161CC" w:rsidRDefault="002D534D">
      <w:pPr>
        <w:pStyle w:val="ListParagraph"/>
        <w:numPr>
          <w:ilvl w:val="0"/>
          <w:numId w:val="2"/>
        </w:numPr>
        <w:spacing w:after="70" w:line="260" w:lineRule="auto"/>
      </w:pPr>
      <w:r>
        <w:rPr>
          <w:b/>
          <w:bCs/>
        </w:rPr>
        <w:t>Steps to Implement:</w:t>
      </w:r>
      <w:r>
        <w:t xml:space="preserve"> We follow the Implementation Process Guide (goals, resources, stakeholders, pilot, monitoring), with a go/no-go gate after the pilot.</w:t>
      </w:r>
    </w:p>
    <w:p w:rsidR="000161CC" w:rsidRDefault="000161CC">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500"/>
        <w:gridCol w:w="4160"/>
        <w:gridCol w:w="2000"/>
      </w:tblGrid>
      <w:tr w:rsidR="000161CC">
        <w:tblPrEx>
          <w:tblCellMar>
            <w:top w:w="0" w:type="dxa"/>
            <w:bottom w:w="0" w:type="dxa"/>
          </w:tblCellMar>
        </w:tblPrEx>
        <w:trPr>
          <w:cantSplit/>
          <w:tblHeader/>
        </w:trPr>
        <w:tc>
          <w:tcPr>
            <w:tcW w:w="1700" w:type="dxa"/>
            <w:tcBorders>
              <w:top w:val="single" w:sz="4" w:space="0" w:color="C8CCD4"/>
              <w:left w:val="single" w:sz="4" w:space="0" w:color="C8CCD4"/>
              <w:bottom w:val="single" w:sz="4" w:space="0" w:color="C8CCD4"/>
              <w:right w:val="single" w:sz="4" w:space="0" w:color="C8CCD4"/>
            </w:tcBorders>
            <w:shd w:val="clear" w:color="auto" w:fill="012169"/>
            <w:tcMar>
              <w:top w:w="60" w:type="dxa"/>
              <w:left w:w="90" w:type="dxa"/>
              <w:bottom w:w="60" w:type="dxa"/>
              <w:right w:w="90" w:type="dxa"/>
            </w:tcMar>
          </w:tcPr>
          <w:p w:rsidR="000161CC" w:rsidRDefault="002D534D">
            <w:pPr>
              <w:spacing w:line="245" w:lineRule="auto"/>
            </w:pPr>
            <w:r>
              <w:rPr>
                <w:b/>
                <w:bCs/>
                <w:color w:val="FFFFFF"/>
                <w:sz w:val="19"/>
                <w:szCs w:val="19"/>
              </w:rPr>
              <w:t>Stage</w:t>
            </w:r>
          </w:p>
        </w:tc>
        <w:tc>
          <w:tcPr>
            <w:tcW w:w="1500" w:type="dxa"/>
            <w:tcBorders>
              <w:top w:val="single" w:sz="4" w:space="0" w:color="C8CCD4"/>
              <w:left w:val="single" w:sz="4" w:space="0" w:color="C8CCD4"/>
              <w:bottom w:val="single" w:sz="4" w:space="0" w:color="C8CCD4"/>
              <w:right w:val="single" w:sz="4" w:space="0" w:color="C8CCD4"/>
            </w:tcBorders>
            <w:shd w:val="clear" w:color="auto" w:fill="012169"/>
            <w:tcMar>
              <w:top w:w="60" w:type="dxa"/>
              <w:left w:w="90" w:type="dxa"/>
              <w:bottom w:w="60" w:type="dxa"/>
              <w:right w:w="90" w:type="dxa"/>
            </w:tcMar>
          </w:tcPr>
          <w:p w:rsidR="000161CC" w:rsidRDefault="002D534D">
            <w:pPr>
              <w:spacing w:line="245" w:lineRule="auto"/>
            </w:pPr>
            <w:r>
              <w:rPr>
                <w:b/>
                <w:bCs/>
                <w:color w:val="FFFFFF"/>
                <w:sz w:val="19"/>
                <w:szCs w:val="19"/>
              </w:rPr>
              <w:t>Timeline</w:t>
            </w:r>
          </w:p>
        </w:tc>
        <w:tc>
          <w:tcPr>
            <w:tcW w:w="4160" w:type="dxa"/>
            <w:tcBorders>
              <w:top w:val="single" w:sz="4" w:space="0" w:color="C8CCD4"/>
              <w:left w:val="single" w:sz="4" w:space="0" w:color="C8CCD4"/>
              <w:bottom w:val="single" w:sz="4" w:space="0" w:color="C8CCD4"/>
              <w:right w:val="single" w:sz="4" w:space="0" w:color="C8CCD4"/>
            </w:tcBorders>
            <w:shd w:val="clear" w:color="auto" w:fill="012169"/>
            <w:tcMar>
              <w:top w:w="60" w:type="dxa"/>
              <w:left w:w="90" w:type="dxa"/>
              <w:bottom w:w="60" w:type="dxa"/>
              <w:right w:w="90" w:type="dxa"/>
            </w:tcMar>
          </w:tcPr>
          <w:p w:rsidR="000161CC" w:rsidRDefault="002D534D">
            <w:pPr>
              <w:spacing w:line="245" w:lineRule="auto"/>
            </w:pPr>
            <w:r>
              <w:rPr>
                <w:b/>
                <w:bCs/>
                <w:color w:val="FFFFFF"/>
                <w:sz w:val="19"/>
                <w:szCs w:val="19"/>
              </w:rPr>
              <w:t>Key actions</w:t>
            </w:r>
          </w:p>
        </w:tc>
        <w:tc>
          <w:tcPr>
            <w:tcW w:w="2000" w:type="dxa"/>
            <w:tcBorders>
              <w:top w:val="single" w:sz="4" w:space="0" w:color="C8CCD4"/>
              <w:left w:val="single" w:sz="4" w:space="0" w:color="C8CCD4"/>
              <w:bottom w:val="single" w:sz="4" w:space="0" w:color="C8CCD4"/>
              <w:right w:val="single" w:sz="4" w:space="0" w:color="C8CCD4"/>
            </w:tcBorders>
            <w:shd w:val="clear" w:color="auto" w:fill="012169"/>
            <w:tcMar>
              <w:top w:w="60" w:type="dxa"/>
              <w:left w:w="90" w:type="dxa"/>
              <w:bottom w:w="60" w:type="dxa"/>
              <w:right w:w="90" w:type="dxa"/>
            </w:tcMar>
          </w:tcPr>
          <w:p w:rsidR="000161CC" w:rsidRDefault="002D534D">
            <w:pPr>
              <w:spacing w:line="245" w:lineRule="auto"/>
            </w:pPr>
            <w:r>
              <w:rPr>
                <w:b/>
                <w:bCs/>
                <w:color w:val="FFFFFF"/>
                <w:sz w:val="19"/>
                <w:szCs w:val="19"/>
              </w:rPr>
              <w:t>Owner</w:t>
            </w:r>
          </w:p>
        </w:tc>
      </w:tr>
      <w:tr w:rsidR="000161CC">
        <w:tblPrEx>
          <w:tblCellMar>
            <w:top w:w="0" w:type="dxa"/>
            <w:bottom w:w="0" w:type="dxa"/>
          </w:tblCellMar>
        </w:tblPrEx>
        <w:trPr>
          <w:cantSplit/>
        </w:trPr>
        <w:tc>
          <w:tcPr>
            <w:tcW w:w="17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1. Define and plan</w:t>
            </w:r>
          </w:p>
        </w:tc>
        <w:tc>
          <w:tcPr>
            <w:tcW w:w="15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Weeks 1–3</w:t>
            </w:r>
          </w:p>
        </w:tc>
        <w:tc>
          <w:tcPr>
            <w:tcW w:w="416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Record baseline times and error rate; shortlist tools that connect to both systems; confirm costs against benefits</w:t>
            </w:r>
          </w:p>
        </w:tc>
        <w:tc>
          <w:tcPr>
            <w:tcW w:w="20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Project Manager, IT Specialist</w:t>
            </w:r>
          </w:p>
        </w:tc>
      </w:tr>
      <w:tr w:rsidR="000161CC">
        <w:tblPrEx>
          <w:tblCellMar>
            <w:top w:w="0" w:type="dxa"/>
            <w:bottom w:w="0" w:type="dxa"/>
          </w:tblCellMar>
        </w:tblPrEx>
        <w:trPr>
          <w:cantSplit/>
        </w:trPr>
        <w:tc>
          <w:tcPr>
            <w:tcW w:w="17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2. Engage and train</w:t>
            </w:r>
          </w:p>
        </w:tc>
        <w:tc>
          <w:tcPr>
            <w:tcW w:w="15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Weeks 3–5</w:t>
            </w:r>
          </w:p>
        </w:tc>
        <w:tc>
          <w:tcPr>
            <w:tcW w:w="416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Kick-off with analysts, compliance, risk and IT; configure the tool; two weeks of training</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Project Manager, IT Specialist, Data Analysts</w:t>
            </w:r>
          </w:p>
        </w:tc>
      </w:tr>
      <w:tr w:rsidR="000161CC">
        <w:tblPrEx>
          <w:tblCellMar>
            <w:top w:w="0" w:type="dxa"/>
            <w:bottom w:w="0" w:type="dxa"/>
          </w:tblCellMar>
        </w:tblPrEx>
        <w:trPr>
          <w:cantSplit/>
        </w:trPr>
        <w:tc>
          <w:tcPr>
            <w:tcW w:w="17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3. Pilot</w:t>
            </w:r>
          </w:p>
        </w:tc>
        <w:tc>
          <w:tcPr>
            <w:tcW w:w="15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Weeks 6–7</w:t>
            </w:r>
          </w:p>
        </w:tc>
        <w:tc>
          <w:tcPr>
            <w:tcW w:w="416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Run the automated process in parallel with the manual one on about 10–20% of trades (one portfolio); compare against baseline</w:t>
            </w:r>
          </w:p>
        </w:tc>
        <w:tc>
          <w:tcPr>
            <w:tcW w:w="20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Data Analysts, Risk Specialist</w:t>
            </w:r>
          </w:p>
        </w:tc>
      </w:tr>
      <w:tr w:rsidR="000161CC">
        <w:tblPrEx>
          <w:tblCellMar>
            <w:top w:w="0" w:type="dxa"/>
            <w:bottom w:w="0" w:type="dxa"/>
          </w:tblCellMar>
        </w:tblPrEx>
        <w:trPr>
          <w:cantSplit/>
        </w:trPr>
        <w:tc>
          <w:tcPr>
            <w:tcW w:w="17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4. Go/no-go and roll out Phase 1</w:t>
            </w:r>
          </w:p>
        </w:tc>
        <w:tc>
          <w:tcPr>
            <w:tcW w:w="15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Weeks 8–12</w:t>
            </w:r>
          </w:p>
        </w:tc>
        <w:tc>
          <w:tcPr>
            <w:tcW w:w="416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Proceed only if the pilot meets the thresholds below; extend to all trades in stages</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Project Manager</w:t>
            </w:r>
          </w:p>
        </w:tc>
      </w:tr>
      <w:tr w:rsidR="000161CC">
        <w:tblPrEx>
          <w:tblCellMar>
            <w:top w:w="0" w:type="dxa"/>
            <w:bottom w:w="0" w:type="dxa"/>
          </w:tblCellMar>
        </w:tblPrEx>
        <w:trPr>
          <w:cantSplit/>
        </w:trPr>
        <w:tc>
          <w:tcPr>
            <w:tcW w:w="17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5. Phase 2</w:t>
            </w:r>
          </w:p>
        </w:tc>
        <w:tc>
          <w:tcPr>
            <w:tcW w:w="15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Months 4–5</w:t>
            </w:r>
          </w:p>
        </w:tc>
        <w:tc>
          <w:tcPr>
            <w:tcW w:w="416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Repeat the same pilot-then-roll-out approach for compliance pre-checks and automated reports</w:t>
            </w:r>
          </w:p>
        </w:tc>
        <w:tc>
          <w:tcPr>
            <w:tcW w:w="20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Compliance Officer, IT Specialist</w:t>
            </w:r>
          </w:p>
        </w:tc>
      </w:tr>
      <w:tr w:rsidR="000161CC">
        <w:tblPrEx>
          <w:tblCellMar>
            <w:top w:w="0" w:type="dxa"/>
            <w:bottom w:w="0" w:type="dxa"/>
          </w:tblCellMar>
        </w:tblPrEx>
        <w:trPr>
          <w:cantSplit/>
        </w:trPr>
        <w:tc>
          <w:tcPr>
            <w:tcW w:w="17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6. Monitor</w:t>
            </w:r>
          </w:p>
        </w:tc>
        <w:tc>
          <w:tcPr>
            <w:tcW w:w="15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Ongoing</w:t>
            </w:r>
          </w:p>
        </w:tc>
        <w:tc>
          <w:tcPr>
            <w:tcW w:w="416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Monthly review for the first quarter, then quarterly</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Project Manager, Risk Specialist</w:t>
            </w:r>
          </w:p>
        </w:tc>
      </w:tr>
    </w:tbl>
    <w:p w:rsidR="000161CC" w:rsidRDefault="000161CC">
      <w:pPr>
        <w:spacing w:after="80"/>
      </w:pPr>
    </w:p>
    <w:p w:rsidR="000161CC" w:rsidRDefault="002D534D">
      <w:pPr>
        <w:pStyle w:val="ListParagraph"/>
        <w:numPr>
          <w:ilvl w:val="0"/>
          <w:numId w:val="2"/>
        </w:numPr>
        <w:spacing w:after="70" w:line="260" w:lineRule="auto"/>
      </w:pPr>
      <w:r>
        <w:rPr>
          <w:b/>
          <w:bCs/>
        </w:rPr>
        <w:t>Required Tools/Resources:</w:t>
      </w:r>
      <w:r>
        <w:t xml:space="preserve"> A reconciliation platform with pre-built connectors; an API or file-feed link from the trade source; an exceptions dashboard; Excel macros or Power Automate for reports; and the existing team (IT Specialist, Data Analysts, Compliance Officer, Risk Managem</w:t>
      </w:r>
      <w:r>
        <w:t xml:space="preserve">ent Specialist, </w:t>
      </w:r>
      <w:proofErr w:type="gramStart"/>
      <w:r>
        <w:t>Project</w:t>
      </w:r>
      <w:proofErr w:type="gramEnd"/>
      <w:r>
        <w:t xml:space="preserve"> Manager). Tool costs are to be confirmed through vendor quotes in stage 1.</w:t>
      </w:r>
    </w:p>
    <w:p w:rsidR="000161CC" w:rsidRDefault="002D534D">
      <w:pPr>
        <w:pStyle w:val="ListParagraph"/>
        <w:numPr>
          <w:ilvl w:val="0"/>
          <w:numId w:val="2"/>
        </w:numPr>
        <w:spacing w:after="70" w:line="260" w:lineRule="auto"/>
      </w:pPr>
      <w:r>
        <w:rPr>
          <w:b/>
          <w:bCs/>
        </w:rPr>
        <w:t>Risk Management:</w:t>
      </w:r>
      <w:r>
        <w:t xml:space="preserve"> Limited IT capacity is handled with vendor-supported set-up and low-code tools. Parallel running keeps the manual process as a </w:t>
      </w:r>
      <w:proofErr w:type="spellStart"/>
      <w:r>
        <w:t>fallback</w:t>
      </w:r>
      <w:proofErr w:type="spellEnd"/>
      <w:r>
        <w:t xml:space="preserve"> duri</w:t>
      </w:r>
      <w:r>
        <w:t>ng the pilot. The tool must keep a full audit trail for compliance.</w:t>
      </w:r>
    </w:p>
    <w:p w:rsidR="000161CC" w:rsidRDefault="002D534D">
      <w:pPr>
        <w:pStyle w:val="Heading1"/>
      </w:pPr>
      <w:r>
        <w:t>Section 5: Expected Outcomes</w:t>
      </w:r>
    </w:p>
    <w:p w:rsidR="000161CC" w:rsidRDefault="002D534D">
      <w:pPr>
        <w:pStyle w:val="ListParagraph"/>
        <w:numPr>
          <w:ilvl w:val="0"/>
          <w:numId w:val="2"/>
        </w:numPr>
        <w:spacing w:after="70" w:line="260" w:lineRule="auto"/>
      </w:pPr>
      <w:r>
        <w:rPr>
          <w:b/>
          <w:bCs/>
        </w:rPr>
        <w:t>Benefits:</w:t>
      </w:r>
      <w:r>
        <w:t xml:space="preserve"> Faster execution, far fewer reconciliation errors, quicker and more reliable reports for stakeholders, and a lower chance of missed opportunities. St</w:t>
      </w:r>
      <w:r>
        <w:t>aff time moves from re-keying and checking to exceptions and analysis, and the firm can handle higher trade volumes without a matching rise in manual effort.</w:t>
      </w:r>
    </w:p>
    <w:p w:rsidR="000161CC" w:rsidRDefault="002D534D">
      <w:pPr>
        <w:pStyle w:val="ListParagraph"/>
        <w:numPr>
          <w:ilvl w:val="0"/>
          <w:numId w:val="2"/>
        </w:numPr>
        <w:spacing w:after="70" w:line="260" w:lineRule="auto"/>
      </w:pPr>
      <w:r>
        <w:rPr>
          <w:b/>
          <w:bCs/>
        </w:rPr>
        <w:t>Alignment with Objectives:</w:t>
      </w:r>
      <w:r>
        <w:t xml:space="preserve"> The plan serves Apex’s three goals: speed and accuracy in trade executi</w:t>
      </w:r>
      <w:r>
        <w:t>on, lower risk from manual reconciliation, and processes that can keep pace with high-growth opportunities.</w:t>
      </w:r>
    </w:p>
    <w:p w:rsidR="000161CC" w:rsidRDefault="002D534D">
      <w:pPr>
        <w:pStyle w:val="ListParagraph"/>
        <w:numPr>
          <w:ilvl w:val="0"/>
          <w:numId w:val="2"/>
        </w:numPr>
        <w:spacing w:after="70" w:line="260" w:lineRule="auto"/>
      </w:pPr>
      <w:r>
        <w:rPr>
          <w:b/>
          <w:bCs/>
        </w:rPr>
        <w:t>Metrics for Success:</w:t>
      </w:r>
      <w:r>
        <w:t xml:space="preserve"> Results are tracked against the baseline recorded in stage 1.</w:t>
      </w:r>
    </w:p>
    <w:p w:rsidR="000161CC" w:rsidRDefault="000161CC">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500"/>
        <w:gridCol w:w="1700"/>
        <w:gridCol w:w="3160"/>
      </w:tblGrid>
      <w:tr w:rsidR="000161CC">
        <w:tblPrEx>
          <w:tblCellMar>
            <w:top w:w="0" w:type="dxa"/>
            <w:bottom w:w="0" w:type="dxa"/>
          </w:tblCellMar>
        </w:tblPrEx>
        <w:trPr>
          <w:cantSplit/>
          <w:tblHeader/>
        </w:trPr>
        <w:tc>
          <w:tcPr>
            <w:tcW w:w="3000" w:type="dxa"/>
            <w:tcBorders>
              <w:top w:val="single" w:sz="4" w:space="0" w:color="C8CCD4"/>
              <w:left w:val="single" w:sz="4" w:space="0" w:color="C8CCD4"/>
              <w:bottom w:val="single" w:sz="4" w:space="0" w:color="C8CCD4"/>
              <w:right w:val="single" w:sz="4" w:space="0" w:color="C8CCD4"/>
            </w:tcBorders>
            <w:shd w:val="clear" w:color="auto" w:fill="012169"/>
            <w:tcMar>
              <w:top w:w="60" w:type="dxa"/>
              <w:left w:w="90" w:type="dxa"/>
              <w:bottom w:w="60" w:type="dxa"/>
              <w:right w:w="90" w:type="dxa"/>
            </w:tcMar>
          </w:tcPr>
          <w:p w:rsidR="000161CC" w:rsidRDefault="002D534D">
            <w:pPr>
              <w:spacing w:line="245" w:lineRule="auto"/>
            </w:pPr>
            <w:r>
              <w:rPr>
                <w:b/>
                <w:bCs/>
                <w:color w:val="FFFFFF"/>
                <w:sz w:val="19"/>
                <w:szCs w:val="19"/>
              </w:rPr>
              <w:lastRenderedPageBreak/>
              <w:t>Step or metric</w:t>
            </w:r>
          </w:p>
        </w:tc>
        <w:tc>
          <w:tcPr>
            <w:tcW w:w="1500" w:type="dxa"/>
            <w:tcBorders>
              <w:top w:val="single" w:sz="4" w:space="0" w:color="C8CCD4"/>
              <w:left w:val="single" w:sz="4" w:space="0" w:color="C8CCD4"/>
              <w:bottom w:val="single" w:sz="4" w:space="0" w:color="C8CCD4"/>
              <w:right w:val="single" w:sz="4" w:space="0" w:color="C8CCD4"/>
            </w:tcBorders>
            <w:shd w:val="clear" w:color="auto" w:fill="012169"/>
            <w:tcMar>
              <w:top w:w="60" w:type="dxa"/>
              <w:left w:w="90" w:type="dxa"/>
              <w:bottom w:w="60" w:type="dxa"/>
              <w:right w:w="90" w:type="dxa"/>
            </w:tcMar>
          </w:tcPr>
          <w:p w:rsidR="000161CC" w:rsidRDefault="002D534D">
            <w:pPr>
              <w:spacing w:line="245" w:lineRule="auto"/>
            </w:pPr>
            <w:r>
              <w:rPr>
                <w:b/>
                <w:bCs/>
                <w:color w:val="FFFFFF"/>
                <w:sz w:val="19"/>
                <w:szCs w:val="19"/>
              </w:rPr>
              <w:t>Today</w:t>
            </w:r>
          </w:p>
        </w:tc>
        <w:tc>
          <w:tcPr>
            <w:tcW w:w="1700" w:type="dxa"/>
            <w:tcBorders>
              <w:top w:val="single" w:sz="4" w:space="0" w:color="C8CCD4"/>
              <w:left w:val="single" w:sz="4" w:space="0" w:color="C8CCD4"/>
              <w:bottom w:val="single" w:sz="4" w:space="0" w:color="C8CCD4"/>
              <w:right w:val="single" w:sz="4" w:space="0" w:color="C8CCD4"/>
            </w:tcBorders>
            <w:shd w:val="clear" w:color="auto" w:fill="012169"/>
            <w:tcMar>
              <w:top w:w="60" w:type="dxa"/>
              <w:left w:w="90" w:type="dxa"/>
              <w:bottom w:w="60" w:type="dxa"/>
              <w:right w:w="90" w:type="dxa"/>
            </w:tcMar>
          </w:tcPr>
          <w:p w:rsidR="000161CC" w:rsidRDefault="002D534D">
            <w:pPr>
              <w:spacing w:line="245" w:lineRule="auto"/>
            </w:pPr>
            <w:r>
              <w:rPr>
                <w:b/>
                <w:bCs/>
                <w:color w:val="FFFFFF"/>
                <w:sz w:val="19"/>
                <w:szCs w:val="19"/>
              </w:rPr>
              <w:t>Target</w:t>
            </w:r>
          </w:p>
        </w:tc>
        <w:tc>
          <w:tcPr>
            <w:tcW w:w="3160" w:type="dxa"/>
            <w:tcBorders>
              <w:top w:val="single" w:sz="4" w:space="0" w:color="C8CCD4"/>
              <w:left w:val="single" w:sz="4" w:space="0" w:color="C8CCD4"/>
              <w:bottom w:val="single" w:sz="4" w:space="0" w:color="C8CCD4"/>
              <w:right w:val="single" w:sz="4" w:space="0" w:color="C8CCD4"/>
            </w:tcBorders>
            <w:shd w:val="clear" w:color="auto" w:fill="012169"/>
            <w:tcMar>
              <w:top w:w="60" w:type="dxa"/>
              <w:left w:w="90" w:type="dxa"/>
              <w:bottom w:w="60" w:type="dxa"/>
              <w:right w:w="90" w:type="dxa"/>
            </w:tcMar>
          </w:tcPr>
          <w:p w:rsidR="000161CC" w:rsidRDefault="002D534D">
            <w:pPr>
              <w:spacing w:line="245" w:lineRule="auto"/>
            </w:pPr>
            <w:r>
              <w:rPr>
                <w:b/>
                <w:bCs/>
                <w:color w:val="FFFFFF"/>
                <w:sz w:val="19"/>
                <w:szCs w:val="19"/>
              </w:rPr>
              <w:t>Note</w:t>
            </w:r>
          </w:p>
        </w:tc>
      </w:tr>
      <w:tr w:rsidR="000161CC">
        <w:tblPrEx>
          <w:tblCellMar>
            <w:top w:w="0" w:type="dxa"/>
            <w:bottom w:w="0" w:type="dxa"/>
          </w:tblCellMar>
        </w:tblPrEx>
        <w:trPr>
          <w:cantSplit/>
        </w:trPr>
        <w:tc>
          <w:tcPr>
            <w:tcW w:w="30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Data entry</w:t>
            </w:r>
          </w:p>
        </w:tc>
        <w:tc>
          <w:tcPr>
            <w:tcW w:w="15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15 min</w:t>
            </w:r>
          </w:p>
        </w:tc>
        <w:tc>
          <w:tcPr>
            <w:tcW w:w="17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3 min</w:t>
            </w:r>
          </w:p>
        </w:tc>
        <w:tc>
          <w:tcPr>
            <w:tcW w:w="316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Phase 1: automated feed; analyst reviews exceptions</w:t>
            </w:r>
          </w:p>
        </w:tc>
      </w:tr>
      <w:tr w:rsidR="000161CC">
        <w:tblPrEx>
          <w:tblCellMar>
            <w:top w:w="0" w:type="dxa"/>
            <w:bottom w:w="0" w:type="dxa"/>
          </w:tblCellMar>
        </w:tblPrEx>
        <w:trPr>
          <w:cantSplit/>
        </w:trPr>
        <w:tc>
          <w:tcPr>
            <w:tcW w:w="30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Cross-system validation</w:t>
            </w:r>
          </w:p>
        </w:tc>
        <w:tc>
          <w:tcPr>
            <w:tcW w:w="15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20 min</w:t>
            </w:r>
          </w:p>
        </w:tc>
        <w:tc>
          <w:tcPr>
            <w:tcW w:w="17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4 min</w:t>
            </w:r>
          </w:p>
        </w:tc>
        <w:tc>
          <w:tcPr>
            <w:tcW w:w="316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Phase 1: rules-based matching; mismatches flagged</w:t>
            </w:r>
          </w:p>
        </w:tc>
      </w:tr>
      <w:tr w:rsidR="000161CC">
        <w:tblPrEx>
          <w:tblCellMar>
            <w:top w:w="0" w:type="dxa"/>
            <w:bottom w:w="0" w:type="dxa"/>
          </w:tblCellMar>
        </w:tblPrEx>
        <w:trPr>
          <w:cantSplit/>
        </w:trPr>
        <w:tc>
          <w:tcPr>
            <w:tcW w:w="30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Trade approval</w:t>
            </w:r>
          </w:p>
        </w:tc>
        <w:tc>
          <w:tcPr>
            <w:tcW w:w="15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25 min</w:t>
            </w:r>
          </w:p>
        </w:tc>
        <w:tc>
          <w:tcPr>
            <w:tcW w:w="17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15 min</w:t>
            </w:r>
          </w:p>
        </w:tc>
        <w:tc>
          <w:tcPr>
            <w:tcW w:w="316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Phase 2: rule pre-checks; human sign-off retained</w:t>
            </w:r>
          </w:p>
        </w:tc>
      </w:tr>
      <w:tr w:rsidR="000161CC">
        <w:tblPrEx>
          <w:tblCellMar>
            <w:top w:w="0" w:type="dxa"/>
            <w:bottom w:w="0" w:type="dxa"/>
          </w:tblCellMar>
        </w:tblPrEx>
        <w:trPr>
          <w:cantSplit/>
        </w:trPr>
        <w:tc>
          <w:tcPr>
            <w:tcW w:w="30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Report generation</w:t>
            </w:r>
          </w:p>
        </w:tc>
        <w:tc>
          <w:tcPr>
            <w:tcW w:w="15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30 min</w:t>
            </w:r>
          </w:p>
        </w:tc>
        <w:tc>
          <w:tcPr>
            <w:tcW w:w="17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5 min</w:t>
            </w:r>
          </w:p>
        </w:tc>
        <w:tc>
          <w:tcPr>
            <w:tcW w:w="316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Phase 2: automated from reconciled data</w:t>
            </w:r>
          </w:p>
        </w:tc>
      </w:tr>
      <w:tr w:rsidR="000161CC">
        <w:tblPrEx>
          <w:tblCellMar>
            <w:top w:w="0" w:type="dxa"/>
            <w:bottom w:w="0" w:type="dxa"/>
          </w:tblCellMar>
        </w:tblPrEx>
        <w:trPr>
          <w:cantSplit/>
        </w:trPr>
        <w:tc>
          <w:tcPr>
            <w:tcW w:w="30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b/>
                <w:bCs/>
                <w:sz w:val="19"/>
                <w:szCs w:val="19"/>
              </w:rPr>
              <w:t>Average trade cycle time</w:t>
            </w:r>
          </w:p>
        </w:tc>
        <w:tc>
          <w:tcPr>
            <w:tcW w:w="15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b/>
                <w:bCs/>
                <w:sz w:val="19"/>
                <w:szCs w:val="19"/>
              </w:rPr>
              <w:t>90 min</w:t>
            </w:r>
          </w:p>
        </w:tc>
        <w:tc>
          <w:tcPr>
            <w:tcW w:w="17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b/>
                <w:bCs/>
                <w:sz w:val="19"/>
                <w:szCs w:val="19"/>
              </w:rPr>
              <w:t>about 27 min</w:t>
            </w:r>
          </w:p>
        </w:tc>
        <w:tc>
          <w:tcPr>
            <w:tcW w:w="316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b/>
                <w:bCs/>
                <w:sz w:val="19"/>
                <w:szCs w:val="19"/>
              </w:rPr>
              <w:t>About 62 min after Phase 1</w:t>
            </w:r>
          </w:p>
        </w:tc>
      </w:tr>
      <w:tr w:rsidR="000161CC">
        <w:tblPrEx>
          <w:tblCellMar>
            <w:top w:w="0" w:type="dxa"/>
            <w:bottom w:w="0" w:type="dxa"/>
          </w:tblCellMar>
        </w:tblPrEx>
        <w:trPr>
          <w:cantSplit/>
        </w:trPr>
        <w:tc>
          <w:tcPr>
            <w:tcW w:w="30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Reconciliation error rate</w:t>
            </w:r>
          </w:p>
        </w:tc>
        <w:tc>
          <w:tcPr>
            <w:tcW w:w="15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12%</w:t>
            </w:r>
          </w:p>
        </w:tc>
        <w:tc>
          <w:tcPr>
            <w:tcW w:w="17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below 5%</w:t>
            </w:r>
          </w:p>
        </w:tc>
        <w:tc>
          <w:tcPr>
            <w:tcW w:w="316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Measured on pilot data first, then monthly</w:t>
            </w:r>
          </w:p>
        </w:tc>
      </w:tr>
      <w:tr w:rsidR="000161CC">
        <w:tblPrEx>
          <w:tblCellMar>
            <w:top w:w="0" w:type="dxa"/>
            <w:bottom w:w="0" w:type="dxa"/>
          </w:tblCellMar>
        </w:tblPrEx>
        <w:trPr>
          <w:cantSplit/>
        </w:trPr>
        <w:tc>
          <w:tcPr>
            <w:tcW w:w="30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Missed-opportunity impact</w:t>
            </w:r>
          </w:p>
        </w:tc>
        <w:tc>
          <w:tcPr>
            <w:tcW w:w="15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$500,000 last quarter</w:t>
            </w:r>
          </w:p>
        </w:tc>
        <w:tc>
          <w:tcPr>
            <w:tcW w:w="170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Falling quarter on quarter</w:t>
            </w:r>
          </w:p>
        </w:tc>
        <w:tc>
          <w:tcPr>
            <w:tcW w:w="3160" w:type="dxa"/>
            <w:tcBorders>
              <w:top w:val="single" w:sz="4" w:space="0" w:color="C8CCD4"/>
              <w:left w:val="single" w:sz="4" w:space="0" w:color="C8CCD4"/>
              <w:bottom w:val="single" w:sz="4" w:space="0" w:color="C8CCD4"/>
              <w:right w:val="single" w:sz="4" w:space="0" w:color="C8CCD4"/>
            </w:tcBorders>
            <w:tcMar>
              <w:top w:w="60" w:type="dxa"/>
              <w:left w:w="90" w:type="dxa"/>
              <w:bottom w:w="60" w:type="dxa"/>
              <w:right w:w="90" w:type="dxa"/>
            </w:tcMar>
          </w:tcPr>
          <w:p w:rsidR="000161CC" w:rsidRDefault="002D534D">
            <w:pPr>
              <w:spacing w:line="245" w:lineRule="auto"/>
            </w:pPr>
            <w:r>
              <w:rPr>
                <w:sz w:val="19"/>
                <w:szCs w:val="19"/>
              </w:rPr>
              <w:t>Each 10% recovered is about $50,000 per quarter</w:t>
            </w:r>
          </w:p>
        </w:tc>
      </w:tr>
      <w:tr w:rsidR="000161CC">
        <w:tblPrEx>
          <w:tblCellMar>
            <w:top w:w="0" w:type="dxa"/>
            <w:bottom w:w="0" w:type="dxa"/>
          </w:tblCellMar>
        </w:tblPrEx>
        <w:trPr>
          <w:cantSplit/>
        </w:trPr>
        <w:tc>
          <w:tcPr>
            <w:tcW w:w="30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Report timeliness feedback</w:t>
            </w:r>
          </w:p>
        </w:tc>
        <w:tc>
          <w:tcPr>
            <w:tcW w:w="15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No baseline</w:t>
            </w:r>
          </w:p>
        </w:tc>
        <w:tc>
          <w:tcPr>
            <w:tcW w:w="170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Improving</w:t>
            </w:r>
          </w:p>
        </w:tc>
        <w:tc>
          <w:tcPr>
            <w:tcW w:w="3160" w:type="dxa"/>
            <w:tcBorders>
              <w:top w:val="single" w:sz="4" w:space="0" w:color="C8CCD4"/>
              <w:left w:val="single" w:sz="4" w:space="0" w:color="C8CCD4"/>
              <w:bottom w:val="single" w:sz="4" w:space="0" w:color="C8CCD4"/>
              <w:right w:val="single" w:sz="4" w:space="0" w:color="C8CCD4"/>
            </w:tcBorders>
            <w:shd w:val="clear" w:color="auto" w:fill="F7F8FB"/>
            <w:tcMar>
              <w:top w:w="60" w:type="dxa"/>
              <w:left w:w="90" w:type="dxa"/>
              <w:bottom w:w="60" w:type="dxa"/>
              <w:right w:w="90" w:type="dxa"/>
            </w:tcMar>
          </w:tcPr>
          <w:p w:rsidR="000161CC" w:rsidRDefault="002D534D">
            <w:pPr>
              <w:spacing w:line="245" w:lineRule="auto"/>
            </w:pPr>
            <w:r>
              <w:rPr>
                <w:sz w:val="19"/>
                <w:szCs w:val="19"/>
              </w:rPr>
              <w:t>Short stakeholder survey before and after Phase 2</w:t>
            </w:r>
          </w:p>
        </w:tc>
      </w:tr>
    </w:tbl>
    <w:p w:rsidR="000161CC" w:rsidRDefault="002D534D">
      <w:pPr>
        <w:spacing w:before="60" w:after="140" w:line="250" w:lineRule="auto"/>
      </w:pPr>
      <w:r>
        <w:rPr>
          <w:i/>
          <w:iCs/>
          <w:color w:val="555555"/>
          <w:sz w:val="18"/>
          <w:szCs w:val="18"/>
        </w:rPr>
        <w:t>Targets are planning estimates based on benchmarks in the Process Analysis and Implementation guides, to be confirmed in the pilot. Pilot go/no-go threshold: at least a 30% cut in cycle time and a 40% cut in errors on pilot trades.</w:t>
      </w:r>
    </w:p>
    <w:p w:rsidR="000161CC" w:rsidRDefault="002D534D">
      <w:pPr>
        <w:pStyle w:val="Heading1"/>
      </w:pPr>
      <w:r>
        <w:t>Section 6: Conclusion</w:t>
      </w:r>
    </w:p>
    <w:p w:rsidR="000161CC" w:rsidRDefault="002D534D">
      <w:pPr>
        <w:pStyle w:val="ListParagraph"/>
        <w:numPr>
          <w:ilvl w:val="0"/>
          <w:numId w:val="2"/>
        </w:numPr>
        <w:spacing w:after="70" w:line="260" w:lineRule="auto"/>
      </w:pPr>
      <w:r>
        <w:rPr>
          <w:b/>
          <w:bCs/>
        </w:rPr>
        <w:t>Fi</w:t>
      </w:r>
      <w:r>
        <w:rPr>
          <w:b/>
          <w:bCs/>
        </w:rPr>
        <w:t>nal Recommendation:</w:t>
      </w:r>
      <w:r>
        <w:t xml:space="preserve"> Automate trade data entry and reconciliation first, then compliance pre-checks and reporting. This addresses the root cause of Apex’s delays and errors, uses tools that fit a small IT team, and is gated by a pilot so that the investment</w:t>
      </w:r>
      <w:r>
        <w:t xml:space="preserve"> is proven before it scales.</w:t>
      </w:r>
    </w:p>
    <w:p w:rsidR="000161CC" w:rsidRDefault="002D534D">
      <w:pPr>
        <w:pStyle w:val="ListParagraph"/>
        <w:numPr>
          <w:ilvl w:val="0"/>
          <w:numId w:val="2"/>
        </w:numPr>
        <w:spacing w:after="70" w:line="260" w:lineRule="auto"/>
      </w:pPr>
      <w:r>
        <w:rPr>
          <w:b/>
          <w:bCs/>
        </w:rPr>
        <w:t>Call to Action:</w:t>
      </w:r>
      <w:r>
        <w:t xml:space="preserve"> We recommend approving Phase 1 and holding a kick-off meeting to confirm baselines and the tool shortlist. I would be glad to discuss next steps or answer any questions at your convenience.</w:t>
      </w:r>
    </w:p>
    <w:sectPr w:rsidR="000161CC">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534D" w:rsidRDefault="002D534D">
      <w:r>
        <w:separator/>
      </w:r>
    </w:p>
  </w:endnote>
  <w:endnote w:type="continuationSeparator" w:id="0">
    <w:p w:rsidR="002D534D" w:rsidRDefault="002D5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61CC" w:rsidRDefault="002D534D">
    <w:pPr>
      <w:jc w:val="center"/>
    </w:pPr>
    <w:r>
      <w:rPr>
        <w:color w:val="777777"/>
        <w:sz w:val="17"/>
        <w:szCs w:val="17"/>
      </w:rPr>
      <w:t xml:space="preserve">Apex Global Investments | Process Improvement Proposal | Page </w:t>
    </w:r>
    <w:r>
      <w:rPr>
        <w:color w:val="777777"/>
        <w:sz w:val="17"/>
        <w:szCs w:val="17"/>
      </w:rPr>
      <w:fldChar w:fldCharType="begin"/>
    </w:r>
    <w:r>
      <w:rPr>
        <w:color w:val="777777"/>
        <w:sz w:val="17"/>
        <w:szCs w:val="17"/>
      </w:rPr>
      <w:instrText>PAGE</w:instrText>
    </w:r>
    <w:r w:rsidR="000B7244">
      <w:rPr>
        <w:color w:val="777777"/>
        <w:sz w:val="17"/>
        <w:szCs w:val="17"/>
      </w:rPr>
      <w:fldChar w:fldCharType="separate"/>
    </w:r>
    <w:r w:rsidR="00256100">
      <w:rPr>
        <w:noProof/>
        <w:color w:val="777777"/>
        <w:sz w:val="17"/>
        <w:szCs w:val="17"/>
      </w:rPr>
      <w:t>3</w:t>
    </w:r>
    <w:r>
      <w:rPr>
        <w:color w:val="7777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534D" w:rsidRDefault="002D534D">
      <w:r>
        <w:separator/>
      </w:r>
    </w:p>
  </w:footnote>
  <w:footnote w:type="continuationSeparator" w:id="0">
    <w:p w:rsidR="002D534D" w:rsidRDefault="002D53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74BD3"/>
    <w:multiLevelType w:val="hybridMultilevel"/>
    <w:tmpl w:val="4C78EECA"/>
    <w:lvl w:ilvl="0" w:tplc="416A0238">
      <w:start w:val="1"/>
      <w:numFmt w:val="bullet"/>
      <w:lvlText w:val="●"/>
      <w:lvlJc w:val="left"/>
      <w:pPr>
        <w:ind w:left="720" w:hanging="360"/>
      </w:pPr>
    </w:lvl>
    <w:lvl w:ilvl="1" w:tplc="6FD49224">
      <w:start w:val="1"/>
      <w:numFmt w:val="bullet"/>
      <w:lvlText w:val="○"/>
      <w:lvlJc w:val="left"/>
      <w:pPr>
        <w:ind w:left="1440" w:hanging="360"/>
      </w:pPr>
    </w:lvl>
    <w:lvl w:ilvl="2" w:tplc="F91AF2A0">
      <w:start w:val="1"/>
      <w:numFmt w:val="bullet"/>
      <w:lvlText w:val="■"/>
      <w:lvlJc w:val="left"/>
      <w:pPr>
        <w:ind w:left="2160" w:hanging="360"/>
      </w:pPr>
    </w:lvl>
    <w:lvl w:ilvl="3" w:tplc="68142ABA">
      <w:start w:val="1"/>
      <w:numFmt w:val="bullet"/>
      <w:lvlText w:val="●"/>
      <w:lvlJc w:val="left"/>
      <w:pPr>
        <w:ind w:left="2880" w:hanging="360"/>
      </w:pPr>
    </w:lvl>
    <w:lvl w:ilvl="4" w:tplc="A82C3014">
      <w:start w:val="1"/>
      <w:numFmt w:val="bullet"/>
      <w:lvlText w:val="○"/>
      <w:lvlJc w:val="left"/>
      <w:pPr>
        <w:ind w:left="3600" w:hanging="360"/>
      </w:pPr>
    </w:lvl>
    <w:lvl w:ilvl="5" w:tplc="F6802626">
      <w:start w:val="1"/>
      <w:numFmt w:val="bullet"/>
      <w:lvlText w:val="■"/>
      <w:lvlJc w:val="left"/>
      <w:pPr>
        <w:ind w:left="4320" w:hanging="360"/>
      </w:pPr>
    </w:lvl>
    <w:lvl w:ilvl="6" w:tplc="F24866BC">
      <w:start w:val="1"/>
      <w:numFmt w:val="bullet"/>
      <w:lvlText w:val="●"/>
      <w:lvlJc w:val="left"/>
      <w:pPr>
        <w:ind w:left="5040" w:hanging="360"/>
      </w:pPr>
    </w:lvl>
    <w:lvl w:ilvl="7" w:tplc="AF5E2EEC">
      <w:start w:val="1"/>
      <w:numFmt w:val="bullet"/>
      <w:lvlText w:val="●"/>
      <w:lvlJc w:val="left"/>
      <w:pPr>
        <w:ind w:left="5760" w:hanging="360"/>
      </w:pPr>
    </w:lvl>
    <w:lvl w:ilvl="8" w:tplc="60B8F768">
      <w:start w:val="1"/>
      <w:numFmt w:val="bullet"/>
      <w:lvlText w:val="●"/>
      <w:lvlJc w:val="left"/>
      <w:pPr>
        <w:ind w:left="6480" w:hanging="360"/>
      </w:pPr>
    </w:lvl>
  </w:abstractNum>
  <w:abstractNum w:abstractNumId="1">
    <w:nsid w:val="6FD64595"/>
    <w:multiLevelType w:val="hybridMultilevel"/>
    <w:tmpl w:val="4FDE8936"/>
    <w:lvl w:ilvl="0" w:tplc="40D45F6E">
      <w:start w:val="1"/>
      <w:numFmt w:val="bullet"/>
      <w:lvlText w:val="•"/>
      <w:lvlJc w:val="left"/>
      <w:pPr>
        <w:ind w:left="500" w:hanging="260"/>
      </w:pPr>
    </w:lvl>
    <w:lvl w:ilvl="1" w:tplc="92C6352E">
      <w:start w:val="1"/>
      <w:numFmt w:val="bullet"/>
      <w:lvlText w:val="–"/>
      <w:lvlJc w:val="left"/>
      <w:pPr>
        <w:ind w:left="960" w:hanging="260"/>
      </w:pPr>
    </w:lvl>
    <w:lvl w:ilvl="2" w:tplc="8DF2E242">
      <w:numFmt w:val="decimal"/>
      <w:lvlText w:val=""/>
      <w:lvlJc w:val="left"/>
    </w:lvl>
    <w:lvl w:ilvl="3" w:tplc="ADE82BE0">
      <w:numFmt w:val="decimal"/>
      <w:lvlText w:val=""/>
      <w:lvlJc w:val="left"/>
    </w:lvl>
    <w:lvl w:ilvl="4" w:tplc="AF76F466">
      <w:numFmt w:val="decimal"/>
      <w:lvlText w:val=""/>
      <w:lvlJc w:val="left"/>
    </w:lvl>
    <w:lvl w:ilvl="5" w:tplc="7E7AAE5E">
      <w:numFmt w:val="decimal"/>
      <w:lvlText w:val=""/>
      <w:lvlJc w:val="left"/>
    </w:lvl>
    <w:lvl w:ilvl="6" w:tplc="F11EAD1E">
      <w:numFmt w:val="decimal"/>
      <w:lvlText w:val=""/>
      <w:lvlJc w:val="left"/>
    </w:lvl>
    <w:lvl w:ilvl="7" w:tplc="C5E463C6">
      <w:numFmt w:val="decimal"/>
      <w:lvlText w:val=""/>
      <w:lvlJc w:val="left"/>
    </w:lvl>
    <w:lvl w:ilvl="8" w:tplc="2826BCF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1CC"/>
    <w:rsid w:val="000161CC"/>
    <w:rsid w:val="000B7244"/>
    <w:rsid w:val="00256100"/>
    <w:rsid w:val="002D5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33D614-2EAC-4A12-9195-9CCDE5C5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6" w:space="3" w:color="A0A0A0"/>
      </w:pBdr>
      <w:spacing w:before="240" w:after="110"/>
      <w:outlineLvl w:val="0"/>
    </w:pPr>
    <w:rPr>
      <w:b/>
      <w:bCs/>
      <w:color w:val="012169"/>
      <w:sz w:val="27"/>
      <w:szCs w:val="27"/>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1084</Words>
  <Characters>6184</Characters>
  <Application>Microsoft Office Word</Application>
  <DocSecurity>0</DocSecurity>
  <Lines>51</Lines>
  <Paragraphs>14</Paragraphs>
  <ScaleCrop>false</ScaleCrop>
  <Company/>
  <LinksUpToDate>false</LinksUpToDate>
  <CharactersWithSpaces>7254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Improvement Proposal - Apex Global Investments</dc:title>
  <dc:creator>Sales and Trading Analyst</dc:creator>
  <cp:lastModifiedBy>A</cp:lastModifiedBy>
  <cp:revision>3</cp:revision>
  <dcterms:created xsi:type="dcterms:W3CDTF">2026-10-02T07:39:00Z</dcterms:created>
  <dcterms:modified xsi:type="dcterms:W3CDTF">2026-10-02T07:45:00Z</dcterms:modified>
</cp:coreProperties>
</file>