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01D2" w14:textId="77777777" w:rsidR="002D29BF" w:rsidRDefault="00000000">
      <w:pPr>
        <w:pStyle w:val="Title"/>
      </w:pPr>
      <w:r>
        <w:t>Financial Modeling Formula Guide</w:t>
      </w:r>
    </w:p>
    <w:p w14:paraId="7D4BA2D6" w14:textId="77777777" w:rsidR="002D29BF" w:rsidRDefault="00000000">
      <w:r>
        <w:rPr>
          <w:b/>
          <w:color w:val="5B9BD5"/>
          <w:sz w:val="21"/>
        </w:rPr>
        <w:t>Excel in Business | Intermediate reference guide</w:t>
      </w:r>
    </w:p>
    <w:p w14:paraId="59B2EBDE" w14:textId="77777777" w:rsidR="002D29BF" w:rsidRDefault="00000000">
      <w:r>
        <w:t xml:space="preserve">Use this guide throughout the simulation as a quick reference for the formulas and modeling conventions commonly used in a connected financial forecast. </w:t>
      </w:r>
      <w:r>
        <w:rPr>
          <w:i/>
        </w:rPr>
        <w:t>The exact layout of your workbook may vary, but the relationships between the financial concepts remain the same.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2D29BF" w14:paraId="30CECDBC" w14:textId="77777777">
        <w:trPr>
          <w:jc w:val="center"/>
        </w:trPr>
        <w:tc>
          <w:tcPr>
            <w:tcW w:w="9792" w:type="dxa"/>
            <w:shd w:val="clear" w:color="auto" w:fill="D9EA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00F94DE" w14:textId="77777777" w:rsidR="002D29BF" w:rsidRDefault="00000000">
            <w:pPr>
              <w:spacing w:after="0"/>
            </w:pPr>
            <w:r>
              <w:rPr>
                <w:b/>
                <w:color w:val="17365D"/>
              </w:rPr>
              <w:t xml:space="preserve">Modeling principle: </w:t>
            </w:r>
            <w:r>
              <w:t>Keep assumptions separate from calculations. When an assumption changes, linked formulas should update the forecast automatically.</w:t>
            </w:r>
          </w:p>
        </w:tc>
      </w:tr>
    </w:tbl>
    <w:p w14:paraId="08B76AE9" w14:textId="77777777" w:rsidR="002D29BF" w:rsidRDefault="002D29BF"/>
    <w:p w14:paraId="7F8D164D" w14:textId="77777777" w:rsidR="002D29BF" w:rsidRDefault="00000000">
      <w:pPr>
        <w:pStyle w:val="Heading1"/>
      </w:pPr>
      <w:r>
        <w:t>Core forecasting formulas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3150"/>
        <w:gridCol w:w="3150"/>
      </w:tblGrid>
      <w:tr w:rsidR="002D29BF" w14:paraId="0FD03590" w14:textId="77777777">
        <w:trPr>
          <w:tblHeader/>
          <w:jc w:val="center"/>
        </w:trPr>
        <w:tc>
          <w:tcPr>
            <w:tcW w:w="1750" w:type="dxa"/>
            <w:shd w:val="clear" w:color="auto" w:fill="17365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9D87E0" w14:textId="77777777" w:rsidR="002D29B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Financial concept</w:t>
            </w:r>
          </w:p>
        </w:tc>
        <w:tc>
          <w:tcPr>
            <w:tcW w:w="3150" w:type="dxa"/>
            <w:shd w:val="clear" w:color="auto" w:fill="17365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72789C" w14:textId="77777777" w:rsidR="002D29BF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Formula</w:t>
            </w:r>
          </w:p>
        </w:tc>
        <w:tc>
          <w:tcPr>
            <w:tcW w:w="3150" w:type="dxa"/>
            <w:shd w:val="clear" w:color="auto" w:fill="17365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89E983" w14:textId="77777777" w:rsidR="002D29BF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What it tells you</w:t>
            </w:r>
          </w:p>
        </w:tc>
      </w:tr>
      <w:tr w:rsidR="002D29BF" w14:paraId="28384890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1A3892A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Revenue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9D1DE69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Units Sold x Average Selling Price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34E26EE" w14:textId="77777777" w:rsidR="002D29BF" w:rsidRDefault="00000000">
            <w:pPr>
              <w:spacing w:after="0"/>
            </w:pPr>
            <w:r>
              <w:rPr>
                <w:sz w:val="18"/>
              </w:rPr>
              <w:t>Calculates sales generated from volume and pricing.</w:t>
            </w:r>
          </w:p>
        </w:tc>
      </w:tr>
      <w:tr w:rsidR="002D29BF" w14:paraId="69DF1C97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2447676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Average Selling Price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7813E8B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Revenue / Units Sold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44944BE" w14:textId="77777777" w:rsidR="002D29BF" w:rsidRDefault="00000000">
            <w:pPr>
              <w:spacing w:after="0"/>
            </w:pPr>
            <w:r>
              <w:rPr>
                <w:sz w:val="18"/>
              </w:rPr>
              <w:t>Shows the average price earned per unit sold.</w:t>
            </w:r>
          </w:p>
        </w:tc>
      </w:tr>
      <w:tr w:rsidR="002D29BF" w14:paraId="4F7FCD48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F58B874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Revenue Growth %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9A90DAF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(Current Year Revenue / Prior Year Revenue) - 1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57EE0B8" w14:textId="77777777" w:rsidR="002D29BF" w:rsidRDefault="00000000">
            <w:pPr>
              <w:spacing w:after="0"/>
            </w:pPr>
            <w:r>
              <w:rPr>
                <w:sz w:val="18"/>
              </w:rPr>
              <w:t>Measures year-over-year revenue growth.</w:t>
            </w:r>
          </w:p>
        </w:tc>
      </w:tr>
      <w:tr w:rsidR="002D29BF" w14:paraId="7D6E6D63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4F32635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Cost of Goods Sold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F0DC467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Units Sold x Unit Cost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E3474B7" w14:textId="77777777" w:rsidR="002D29BF" w:rsidRDefault="00000000">
            <w:pPr>
              <w:spacing w:after="0"/>
            </w:pPr>
            <w:r>
              <w:rPr>
                <w:sz w:val="18"/>
              </w:rPr>
              <w:t>Calculates direct costs associated with units sold.</w:t>
            </w:r>
          </w:p>
        </w:tc>
      </w:tr>
      <w:tr w:rsidR="002D29BF" w14:paraId="158901D1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0677829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Gross Profit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7986D9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Revenue - Cost of Goods Sold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D371764" w14:textId="77777777" w:rsidR="002D29BF" w:rsidRDefault="00000000">
            <w:pPr>
              <w:spacing w:after="0"/>
            </w:pPr>
            <w:r>
              <w:rPr>
                <w:sz w:val="18"/>
              </w:rPr>
              <w:t>Shows profit after direct product costs.</w:t>
            </w:r>
          </w:p>
        </w:tc>
      </w:tr>
      <w:tr w:rsidR="002D29BF" w14:paraId="4DEA0E99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4176207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Gross Margin %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0187BBC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Gross Profit / Revenue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64FC94A" w14:textId="77777777" w:rsidR="002D29BF" w:rsidRDefault="00000000">
            <w:pPr>
              <w:spacing w:after="0"/>
            </w:pPr>
            <w:r>
              <w:rPr>
                <w:sz w:val="18"/>
              </w:rPr>
              <w:t>Shows gross profit as a percentage of revenue.</w:t>
            </w:r>
          </w:p>
        </w:tc>
      </w:tr>
      <w:tr w:rsidR="002D29BF" w14:paraId="626AA83D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73EE0F2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EBITDA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24863D4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Gross Profit - Operating Expenses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E2A9389" w14:textId="77777777" w:rsidR="002D29BF" w:rsidRDefault="00000000">
            <w:pPr>
              <w:spacing w:after="0"/>
            </w:pPr>
            <w:r>
              <w:rPr>
                <w:sz w:val="18"/>
              </w:rPr>
              <w:t>Measures operating earnings before D&amp;A, interest, and tax.</w:t>
            </w:r>
          </w:p>
        </w:tc>
      </w:tr>
      <w:tr w:rsidR="002D29BF" w14:paraId="424D6AA7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0C51237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EBITDA Margin %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3588A98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EBITDA / Revenue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6C9AF0D" w14:textId="77777777" w:rsidR="002D29BF" w:rsidRDefault="00000000">
            <w:pPr>
              <w:spacing w:after="0"/>
            </w:pPr>
            <w:r>
              <w:rPr>
                <w:sz w:val="18"/>
              </w:rPr>
              <w:t>Shows EBITDA as a percentage of revenue.</w:t>
            </w:r>
          </w:p>
        </w:tc>
      </w:tr>
      <w:tr w:rsidR="002D29BF" w14:paraId="71EEC5DE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F0155D8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EBIT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1471CC1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EBITDA - Depreciation &amp; Amortization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026F76D" w14:textId="77777777" w:rsidR="002D29BF" w:rsidRDefault="00000000">
            <w:pPr>
              <w:spacing w:after="0"/>
            </w:pPr>
            <w:r>
              <w:rPr>
                <w:sz w:val="18"/>
              </w:rPr>
              <w:t>Measures operating profit after D&amp;A.</w:t>
            </w:r>
          </w:p>
        </w:tc>
      </w:tr>
      <w:tr w:rsidR="002D29BF" w14:paraId="5CEC82F1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029DB78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Profit Before Tax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0D5828F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EBIT - Net Interest Expense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9FE5414" w14:textId="77777777" w:rsidR="002D29BF" w:rsidRDefault="00000000">
            <w:pPr>
              <w:spacing w:after="0"/>
            </w:pPr>
            <w:r>
              <w:rPr>
                <w:sz w:val="18"/>
              </w:rPr>
              <w:t>Calculates profit before tax when interest expense is modeled as a positive expense.</w:t>
            </w:r>
          </w:p>
        </w:tc>
      </w:tr>
      <w:tr w:rsidR="002D29BF" w14:paraId="62F0C7D3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868452B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Tax Expense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33278DB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Profit Before Tax x Tax Rate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2535BAC" w14:textId="77777777" w:rsidR="002D29BF" w:rsidRDefault="00000000">
            <w:pPr>
              <w:spacing w:after="0"/>
            </w:pPr>
            <w:r>
              <w:rPr>
                <w:sz w:val="18"/>
              </w:rPr>
              <w:t>Estimates tax expense, subject to the tax convention used in the model.</w:t>
            </w:r>
          </w:p>
        </w:tc>
      </w:tr>
      <w:tr w:rsidR="002D29BF" w14:paraId="10B0F020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A2ECA89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Net Profit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01CBE4B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Profit Before Tax - Tax Expense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9BCF286" w14:textId="77777777" w:rsidR="002D29BF" w:rsidRDefault="00000000">
            <w:pPr>
              <w:spacing w:after="0"/>
            </w:pPr>
            <w:r>
              <w:rPr>
                <w:sz w:val="18"/>
              </w:rPr>
              <w:t>Shows profit after interest and tax.</w:t>
            </w:r>
          </w:p>
        </w:tc>
      </w:tr>
      <w:tr w:rsidR="002D29BF" w14:paraId="5417BE72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EF8BDA2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Change in Net Working Capital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78FF107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Current Year NWC - Prior Year NWC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81E7914" w14:textId="77777777" w:rsidR="002D29BF" w:rsidRDefault="00000000">
            <w:pPr>
              <w:spacing w:after="0"/>
            </w:pPr>
            <w:r>
              <w:rPr>
                <w:sz w:val="18"/>
              </w:rPr>
              <w:t>Measures the year-over-year change in working capital.</w:t>
            </w:r>
          </w:p>
        </w:tc>
      </w:tr>
      <w:tr w:rsidR="002D29BF" w14:paraId="4B409B9F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DF1EE83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Interest Expense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557DBED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Average Debt Balance x Interest Rate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69CDFC1" w14:textId="77777777" w:rsidR="002D29BF" w:rsidRDefault="00000000">
            <w:pPr>
              <w:spacing w:after="0"/>
            </w:pPr>
            <w:r>
              <w:rPr>
                <w:sz w:val="18"/>
              </w:rPr>
              <w:t>Estimates interest expense based on the debt balance used by the model.</w:t>
            </w:r>
          </w:p>
        </w:tc>
      </w:tr>
      <w:tr w:rsidR="002D29BF" w14:paraId="6F758FA8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89EF88F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Net Cash Flow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5B2389A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Operating Cash Flow + Investing Cash Flow + Financing Cash Flow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1323DB1" w14:textId="77777777" w:rsidR="002D29BF" w:rsidRDefault="00000000">
            <w:pPr>
              <w:spacing w:after="0"/>
            </w:pPr>
            <w:r>
              <w:rPr>
                <w:sz w:val="18"/>
              </w:rPr>
              <w:t>Combines the major sources and uses of cash.</w:t>
            </w:r>
          </w:p>
        </w:tc>
      </w:tr>
      <w:tr w:rsidR="002D29BF" w14:paraId="2EE65C15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C151081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Closing Cash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F26CAB4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Opening Cash + Net Cash Flow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E3B2AD1" w14:textId="77777777" w:rsidR="002D29BF" w:rsidRDefault="00000000">
            <w:pPr>
              <w:spacing w:after="0"/>
            </w:pPr>
            <w:r>
              <w:rPr>
                <w:sz w:val="18"/>
              </w:rPr>
              <w:t>Calculates the cash balance at the end of the period.</w:t>
            </w:r>
          </w:p>
        </w:tc>
      </w:tr>
      <w:tr w:rsidR="002D29BF" w14:paraId="7ED73CA1" w14:textId="77777777">
        <w:trPr>
          <w:jc w:val="center"/>
        </w:trPr>
        <w:tc>
          <w:tcPr>
            <w:tcW w:w="17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6676865" w14:textId="77777777" w:rsidR="002D29BF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Closing Debt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81CD191" w14:textId="77777777" w:rsidR="002D29BF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Opening Debt - Debt Repayment</w:t>
            </w:r>
          </w:p>
        </w:tc>
        <w:tc>
          <w:tcPr>
            <w:tcW w:w="315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4A09093" w14:textId="77777777" w:rsidR="002D29BF" w:rsidRDefault="00000000">
            <w:pPr>
              <w:spacing w:after="0"/>
            </w:pPr>
            <w:r>
              <w:rPr>
                <w:sz w:val="18"/>
              </w:rPr>
              <w:t>Calculates debt remaining after repayment.</w:t>
            </w:r>
          </w:p>
        </w:tc>
      </w:tr>
    </w:tbl>
    <w:p w14:paraId="223DD58A" w14:textId="77777777" w:rsidR="002D29BF" w:rsidRDefault="00000000">
      <w:pPr>
        <w:spacing w:before="120" w:after="40"/>
      </w:pPr>
      <w:r>
        <w:rPr>
          <w:b/>
          <w:color w:val="17365D"/>
        </w:rPr>
        <w:t xml:space="preserve">Important: </w:t>
      </w:r>
      <w:r>
        <w:rPr>
          <w:sz w:val="19"/>
        </w:rPr>
        <w:t>Financial models can use different sign conventions. Always follow the convention shown in the workbook. For example, debt repayment may be displayed as a positive amount that reduces debt or as a negative financing cash flow.</w:t>
      </w:r>
    </w:p>
    <w:p w14:paraId="3935DC16" w14:textId="77777777" w:rsidR="002D29BF" w:rsidRDefault="00000000">
      <w:pPr>
        <w:pStyle w:val="Heading1"/>
      </w:pPr>
      <w:r>
        <w:t>Forecasting conventions</w:t>
      </w:r>
    </w:p>
    <w:p w14:paraId="6249005F" w14:textId="77777777" w:rsidR="002D29BF" w:rsidRDefault="00000000">
      <w:pPr>
        <w:spacing w:after="60"/>
      </w:pPr>
      <w:r>
        <w:rPr>
          <w:b/>
          <w:color w:val="17365D"/>
        </w:rPr>
        <w:t xml:space="preserve">Historical vs. forecast years: </w:t>
      </w:r>
      <w:r>
        <w:rPr>
          <w:sz w:val="19"/>
        </w:rPr>
        <w:t>Historical periods reflect actual results. Forecast years estimate future performance and are often marked with an “E” for estimated.</w:t>
      </w:r>
    </w:p>
    <w:p w14:paraId="25A02830" w14:textId="77777777" w:rsidR="002D29BF" w:rsidRDefault="00000000">
      <w:pPr>
        <w:spacing w:after="60"/>
      </w:pPr>
      <w:r>
        <w:rPr>
          <w:b/>
          <w:color w:val="17365D"/>
        </w:rPr>
        <w:t xml:space="preserve">Link instead of retyping: </w:t>
      </w:r>
      <w:r>
        <w:rPr>
          <w:sz w:val="19"/>
        </w:rPr>
        <w:t>When a value already exists elsewhere in the model, link to that cell rather than typing the same number again. This keeps the model connected and reduces errors.</w:t>
      </w:r>
    </w:p>
    <w:p w14:paraId="0C326D97" w14:textId="77777777" w:rsidR="002D29BF" w:rsidRDefault="00000000">
      <w:pPr>
        <w:spacing w:after="60"/>
      </w:pPr>
      <w:r>
        <w:rPr>
          <w:b/>
          <w:color w:val="17365D"/>
        </w:rPr>
        <w:t xml:space="preserve">Keep assumptions separate: </w:t>
      </w:r>
      <w:r>
        <w:rPr>
          <w:sz w:val="19"/>
        </w:rPr>
        <w:t>Growth rates, pricing, tax rates, interest rates, and other drivers should live in an assumptions section rather than being hardcoded inside calculation formulas.</w:t>
      </w:r>
    </w:p>
    <w:p w14:paraId="05A2FD85" w14:textId="77777777" w:rsidR="002D29BF" w:rsidRDefault="00000000">
      <w:pPr>
        <w:spacing w:after="60"/>
      </w:pPr>
      <w:r>
        <w:rPr>
          <w:b/>
          <w:color w:val="17365D"/>
        </w:rPr>
        <w:t xml:space="preserve">Copy formulas consistently: </w:t>
      </w:r>
      <w:r>
        <w:rPr>
          <w:sz w:val="19"/>
        </w:rPr>
        <w:t>A formula copied across forecast years should follow the same calculation pattern unless the business logic changes.</w:t>
      </w:r>
    </w:p>
    <w:p w14:paraId="58E48B9D" w14:textId="77777777" w:rsidR="002D29BF" w:rsidRDefault="00000000">
      <w:pPr>
        <w:spacing w:after="60"/>
      </w:pPr>
      <w:r>
        <w:rPr>
          <w:b/>
          <w:color w:val="17365D"/>
        </w:rPr>
        <w:t xml:space="preserve">Use absolute references when needed: </w:t>
      </w:r>
      <w:r>
        <w:rPr>
          <w:sz w:val="19"/>
        </w:rPr>
        <w:t>Lock a cell reference with $ signs when every forecast period needs to use the same assumption or control cell.</w:t>
      </w:r>
    </w:p>
    <w:p w14:paraId="52CCFDFF" w14:textId="77777777" w:rsidR="002D29BF" w:rsidRDefault="00000000">
      <w:pPr>
        <w:spacing w:after="60"/>
      </w:pPr>
      <w:r>
        <w:rPr>
          <w:b/>
          <w:color w:val="17365D"/>
        </w:rPr>
        <w:t xml:space="preserve">Use consistent units: </w:t>
      </w:r>
      <w:r>
        <w:rPr>
          <w:sz w:val="19"/>
        </w:rPr>
        <w:t>Make sure the workbook clearly indicates whether figures are in dollars, thousands, millions, percentages, days, or units.</w:t>
      </w:r>
    </w:p>
    <w:p w14:paraId="1D38F20F" w14:textId="77777777" w:rsidR="002D29BF" w:rsidRDefault="00000000">
      <w:pPr>
        <w:spacing w:after="60"/>
      </w:pPr>
      <w:r>
        <w:rPr>
          <w:b/>
          <w:color w:val="17365D"/>
        </w:rPr>
        <w:t xml:space="preserve">Use consistent signs: </w:t>
      </w:r>
      <w:r>
        <w:rPr>
          <w:sz w:val="19"/>
        </w:rPr>
        <w:t>Keep expenses, cash outflows, debt repayments, and other deductions consistent with the sign convention used by the model.</w:t>
      </w:r>
    </w:p>
    <w:p w14:paraId="2CAAFBCC" w14:textId="77777777" w:rsidR="002D29BF" w:rsidRDefault="00000000">
      <w:pPr>
        <w:spacing w:after="60"/>
      </w:pPr>
      <w:r>
        <w:rPr>
          <w:b/>
          <w:color w:val="17365D"/>
        </w:rPr>
        <w:t xml:space="preserve">Avoid hardcoding into formulas: </w:t>
      </w:r>
      <w:r>
        <w:rPr>
          <w:sz w:val="19"/>
        </w:rPr>
        <w:t>If the model already contains an assumption cell, reference it. A formula such as =Revenue*(1+GrowthRateCell) is easier to update and audit than embedding the growth rate directly in the formula.</w:t>
      </w:r>
    </w:p>
    <w:p w14:paraId="368A8C7D" w14:textId="77777777" w:rsidR="002D29BF" w:rsidRDefault="00000000">
      <w:pPr>
        <w:pStyle w:val="Heading1"/>
      </w:pPr>
      <w:r>
        <w:t>Quick model checks</w:t>
      </w:r>
    </w:p>
    <w:p w14:paraId="7C3C66E8" w14:textId="77777777" w:rsidR="002D29BF" w:rsidRDefault="00000000">
      <w:pPr>
        <w:pStyle w:val="ListBullet"/>
        <w:spacing w:after="40"/>
      </w:pPr>
      <w:r>
        <w:t>Do forecast formulas link back to the correct assumptions?</w:t>
      </w:r>
    </w:p>
    <w:p w14:paraId="3444C7C5" w14:textId="77777777" w:rsidR="002D29BF" w:rsidRDefault="00000000">
      <w:pPr>
        <w:pStyle w:val="ListBullet"/>
        <w:spacing w:after="40"/>
      </w:pPr>
      <w:r>
        <w:t>Are formulas copied consistently across all forecast years?</w:t>
      </w:r>
    </w:p>
    <w:p w14:paraId="4DB0A336" w14:textId="77777777" w:rsidR="002D29BF" w:rsidRDefault="00000000">
      <w:pPr>
        <w:pStyle w:val="ListBullet"/>
        <w:spacing w:after="40"/>
      </w:pPr>
      <w:r>
        <w:t>Are percentages, currency values, and operational values formatted correctly?</w:t>
      </w:r>
    </w:p>
    <w:p w14:paraId="0C7235DF" w14:textId="77777777" w:rsidR="002D29BF" w:rsidRDefault="00000000">
      <w:pPr>
        <w:pStyle w:val="ListBullet"/>
        <w:spacing w:after="40"/>
      </w:pPr>
      <w:r>
        <w:t>Do opening balances agree with the prior year’s closing balances?</w:t>
      </w:r>
    </w:p>
    <w:p w14:paraId="14896B08" w14:textId="77777777" w:rsidR="002D29BF" w:rsidRDefault="00000000">
      <w:pPr>
        <w:pStyle w:val="ListBullet"/>
        <w:spacing w:after="40"/>
      </w:pPr>
      <w:r>
        <w:t>Do cash and debt balances move in the direction expected from the model logic?</w:t>
      </w:r>
    </w:p>
    <w:p w14:paraId="76DBBC2A" w14:textId="77777777" w:rsidR="002D29BF" w:rsidRDefault="00000000">
      <w:pPr>
        <w:pStyle w:val="ListBullet"/>
        <w:spacing w:after="40"/>
      </w:pPr>
      <w:r>
        <w:t>Are there any #REF!, #DIV/0!, #VALUE!, or other formula errors?</w:t>
      </w:r>
    </w:p>
    <w:p w14:paraId="66CE822E" w14:textId="4F0307C9" w:rsidR="002D29BF" w:rsidRDefault="00000000">
      <w:pPr>
        <w:pStyle w:val="ListBullet"/>
        <w:spacing w:after="40"/>
      </w:pPr>
      <w:r>
        <w:t>If you change one assumption, do the connected forecast outputs update?</w:t>
      </w:r>
      <w:r w:rsidR="00D15781"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D29BF" w14:paraId="0CCAFD73" w14:textId="77777777">
        <w:trPr>
          <w:jc w:val="center"/>
        </w:trPr>
        <w:tc>
          <w:tcPr>
            <w:tcW w:w="10224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650058" w14:textId="77777777" w:rsidR="002D29BF" w:rsidRDefault="00000000">
            <w:pPr>
              <w:spacing w:after="0"/>
            </w:pPr>
            <w:r>
              <w:rPr>
                <w:b/>
                <w:color w:val="17365D"/>
              </w:rPr>
              <w:t xml:space="preserve">Use this guide as a reference, not as a substitute for the task instructions. </w:t>
            </w:r>
            <w:r>
              <w:t>The workbook for each task will tell you which assumptions, formulas, and sign conventions to apply.</w:t>
            </w:r>
          </w:p>
        </w:tc>
      </w:tr>
    </w:tbl>
    <w:p w14:paraId="6269D135" w14:textId="77777777" w:rsidR="001B23DF" w:rsidRDefault="001B23DF"/>
    <w:sectPr w:rsidR="001B23DF" w:rsidSect="00034616">
      <w:pgSz w:w="12240" w:h="15840"/>
      <w:pgMar w:top="864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498949">
    <w:abstractNumId w:val="8"/>
  </w:num>
  <w:num w:numId="2" w16cid:durableId="1930967326">
    <w:abstractNumId w:val="6"/>
  </w:num>
  <w:num w:numId="3" w16cid:durableId="1885478724">
    <w:abstractNumId w:val="5"/>
  </w:num>
  <w:num w:numId="4" w16cid:durableId="1316104555">
    <w:abstractNumId w:val="4"/>
  </w:num>
  <w:num w:numId="5" w16cid:durableId="1091776640">
    <w:abstractNumId w:val="7"/>
  </w:num>
  <w:num w:numId="6" w16cid:durableId="1892377868">
    <w:abstractNumId w:val="3"/>
  </w:num>
  <w:num w:numId="7" w16cid:durableId="1314873218">
    <w:abstractNumId w:val="2"/>
  </w:num>
  <w:num w:numId="8" w16cid:durableId="10501001">
    <w:abstractNumId w:val="1"/>
  </w:num>
  <w:num w:numId="9" w16cid:durableId="197840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3DF"/>
    <w:rsid w:val="0029639D"/>
    <w:rsid w:val="002D29BF"/>
    <w:rsid w:val="00326F90"/>
    <w:rsid w:val="00AA1D8D"/>
    <w:rsid w:val="00B47730"/>
    <w:rsid w:val="00CB0664"/>
    <w:rsid w:val="00D15781"/>
    <w:rsid w:val="00FC693F"/>
    <w:rsid w:val="00FE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46813"/>
  <w14:defaultImageDpi w14:val="300"/>
  <w15:docId w15:val="{B8D103C5-80A6-4C22-992E-4BEF93B6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</w:pPr>
    <w:rPr>
      <w:rFonts w:ascii="Consolas" w:hAnsi="Consolas"/>
      <w:color w:val="1F293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Modeling Formula Guide</dc:title>
  <dc:subject>Excel in Business simulation reference guide</dc:subject>
  <dc:creator>Forage Academy</dc:creator>
  <cp:keywords>Excel, financial modeling, forecasting, formulas, P&amp;L, cash flow</cp:keywords>
  <dc:description>generated by python-docx</dc:description>
  <cp:lastModifiedBy>Dodson, Jessika</cp:lastModifiedBy>
  <cp:revision>2</cp:revision>
  <dcterms:created xsi:type="dcterms:W3CDTF">2026-09-09T17:15:00Z</dcterms:created>
  <dcterms:modified xsi:type="dcterms:W3CDTF">2026-09-09T17:15:00Z</dcterms:modified>
  <cp:category/>
</cp:coreProperties>
</file>