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4CA6" w:rsidRPr="00DD4CA6" w:rsidRDefault="00DD4CA6" w:rsidP="00DD4CA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Preliminary Report: Financial Analysis and Risk Assessment of Green Solutions Manufacturing Ltd.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Executive Summary</w:t>
      </w:r>
    </w:p>
    <w:p w:rsidR="00430FD0" w:rsidRDefault="00CB744C">
      <w:pPr>
        <w:spacing w:before="100" w:beforeAutospacing="1" w:after="100" w:afterAutospacing="1" w:line="240" w:lineRule="auto"/>
      </w:pPr>
      <w:r>
        <w:rPr>
          <w:rFonts w:ascii="Segoe UI" w:eastAsia="Times New Roman" w:hAnsi="Segoe UI" w:cs="Segoe UI"/>
          <w:sz w:val="20"/>
          <w:szCs w:val="24"/>
          <w:lang w:eastAsia="en-GB"/>
        </w:rPr>
        <w:t>Green Solutions Manufacturing Ltd. delivered a strong FY2023, with revenue up 70.7% year-on-year to £53.8m and EBITDA more than tripling to £5.5m as margins expanded from 4.7% to 10.3%. Leverage fell sharply from 7.8x to 1.2x EBITDA and the company maintai</w:t>
      </w:r>
      <w:r>
        <w:rPr>
          <w:rFonts w:ascii="Segoe UI" w:eastAsia="Times New Roman" w:hAnsi="Segoe UI" w:cs="Segoe UI"/>
          <w:sz w:val="20"/>
          <w:szCs w:val="24"/>
          <w:lang w:eastAsia="en-GB"/>
        </w:rPr>
        <w:t>ned a net cash position throughout the period, supported by strong interest cover of 17.5x. The principal risks are a narrowing current ratio (1.9x to 1.4x) and capital expenditure growing faster than operating cash flow; neither currently threatens near-t</w:t>
      </w:r>
      <w:r>
        <w:rPr>
          <w:rFonts w:ascii="Segoe UI" w:eastAsia="Times New Roman" w:hAnsi="Segoe UI" w:cs="Segoe UI"/>
          <w:sz w:val="20"/>
          <w:szCs w:val="24"/>
          <w:lang w:eastAsia="en-GB"/>
        </w:rPr>
        <w:t>erm solvency, but both warrant monitoring.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Financial Analysis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Revenue and Profitability</w:t>
      </w:r>
    </w:p>
    <w:p w:rsidR="00430FD0" w:rsidRDefault="00CB744C">
      <w:pPr>
        <w:spacing w:before="100" w:beforeAutospacing="1" w:after="100" w:afterAutospacing="1" w:line="240" w:lineRule="auto"/>
      </w:pPr>
      <w:r>
        <w:rPr>
          <w:rFonts w:ascii="Segoe UI" w:eastAsia="Times New Roman" w:hAnsi="Segoe UI" w:cs="Segoe UI"/>
          <w:sz w:val="20"/>
          <w:szCs w:val="24"/>
          <w:lang w:eastAsia="en-GB"/>
        </w:rPr>
        <w:t>Revenue grew 70.7% to £53.8m, driven by strong commercial momentum. Profitability improved even faster: EBITDA rose 269.6% to £5.5m and EBITDA margin nearly doubled fro</w:t>
      </w:r>
      <w:r>
        <w:rPr>
          <w:rFonts w:ascii="Segoe UI" w:eastAsia="Times New Roman" w:hAnsi="Segoe UI" w:cs="Segoe UI"/>
          <w:sz w:val="20"/>
          <w:szCs w:val="24"/>
          <w:lang w:eastAsia="en-GB"/>
        </w:rPr>
        <w:t>m 4.7% to 10.3%. Profit after tax increased from £0.9m to £5.6m, reflecting operating leverage and a 56.1% reduction in net interest expense.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Assets and Liabilities</w:t>
      </w:r>
    </w:p>
    <w:p w:rsidR="00430FD0" w:rsidRDefault="00CB744C">
      <w:pPr>
        <w:spacing w:before="100" w:beforeAutospacing="1" w:after="100" w:afterAutospacing="1" w:line="240" w:lineRule="auto"/>
      </w:pPr>
      <w:r>
        <w:rPr>
          <w:rFonts w:ascii="Segoe UI" w:eastAsia="Times New Roman" w:hAnsi="Segoe UI" w:cs="Segoe UI"/>
          <w:sz w:val="20"/>
          <w:szCs w:val="24"/>
          <w:lang w:eastAsia="en-GB"/>
        </w:rPr>
        <w:t>Total assets grew 19.1% to £62.1m, well below revenue growth, indicating improved asset eff</w:t>
      </w:r>
      <w:r>
        <w:rPr>
          <w:rFonts w:ascii="Segoe UI" w:eastAsia="Times New Roman" w:hAnsi="Segoe UI" w:cs="Segoe UI"/>
          <w:sz w:val="20"/>
          <w:szCs w:val="24"/>
          <w:lang w:eastAsia="en-GB"/>
        </w:rPr>
        <w:t>iciency. Liabilities grew only 7.5% to £30.5m while net worth rose 33.1% to £31.6m, so the balance sheet is increasingly equity-funded. Inventory grew 40.4%, below revenue growth, a reasonable trade-off to support higher volumes.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Cash Flow</w:t>
      </w:r>
    </w:p>
    <w:p w:rsidR="00430FD0" w:rsidRDefault="00CB744C">
      <w:pPr>
        <w:spacing w:before="100" w:beforeAutospacing="1" w:after="100" w:afterAutospacing="1" w:line="240" w:lineRule="auto"/>
      </w:pPr>
      <w:r>
        <w:rPr>
          <w:rFonts w:ascii="Segoe UI" w:eastAsia="Times New Roman" w:hAnsi="Segoe UI" w:cs="Segoe UI"/>
          <w:sz w:val="20"/>
          <w:szCs w:val="24"/>
          <w:lang w:eastAsia="en-GB"/>
        </w:rPr>
        <w:t>Operating cash f</w:t>
      </w:r>
      <w:r>
        <w:rPr>
          <w:rFonts w:ascii="Segoe UI" w:eastAsia="Times New Roman" w:hAnsi="Segoe UI" w:cs="Segoe UI"/>
          <w:sz w:val="20"/>
          <w:szCs w:val="24"/>
          <w:lang w:eastAsia="en-GB"/>
        </w:rPr>
        <w:t>low nearly doubled to £11.4m (+92.6%), outpacing EBITDA growth. Capital expenditure rose faster still (+147.2% to £8.0m), so free cash flow grew only 27.1% to £3.4m. Cash on hand fell 9.3% to £17.6m as cash was deployed into CapEx and debt repayment.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Key Financial Ratios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Profitability Ratios</w:t>
      </w:r>
    </w:p>
    <w:p w:rsidR="00430FD0" w:rsidRDefault="00CB744C">
      <w:pPr>
        <w:spacing w:before="100" w:beforeAutospacing="1" w:after="100" w:afterAutospacing="1" w:line="240" w:lineRule="auto"/>
      </w:pPr>
      <w:r>
        <w:rPr>
          <w:rFonts w:ascii="Segoe UI" w:eastAsia="Times New Roman" w:hAnsi="Segoe UI" w:cs="Segoe UI"/>
          <w:sz w:val="20"/>
          <w:szCs w:val="24"/>
          <w:lang w:eastAsia="en-GB"/>
        </w:rPr>
        <w:t>EBITDA margin improved from 4.7% to 10.3% and operating margin from 6.3% to 12.1%, confirming a genuine improvement in the core operating business rather than a one-off gain below the operating line.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Leverage and Liquidity Ratios</w:t>
      </w:r>
    </w:p>
    <w:p w:rsidR="00430FD0" w:rsidRDefault="00CB744C">
      <w:pPr>
        <w:spacing w:before="100" w:beforeAutospacing="1" w:after="100" w:afterAutospacing="1" w:line="240" w:lineRule="auto"/>
      </w:pPr>
      <w:r>
        <w:rPr>
          <w:rFonts w:ascii="Segoe UI" w:eastAsia="Times New Roman" w:hAnsi="Segoe UI" w:cs="Segoe UI"/>
          <w:sz w:val="20"/>
          <w:szCs w:val="24"/>
          <w:lang w:eastAsia="en-GB"/>
        </w:rPr>
        <w:t xml:space="preserve">Leverage (Debt/EBITDA) fell from 7.8x to 1.2x and EBITDA interest cover rose from 2.1x to 17.5x, both now comfortably within investment-grade ranges. The current ratio fell from 1.9x to 1.4x; it remains above the 1.0x minimum, but the declining </w:t>
      </w:r>
      <w:r>
        <w:rPr>
          <w:rFonts w:ascii="Segoe UI" w:eastAsia="Times New Roman" w:hAnsi="Segoe UI" w:cs="Segoe UI"/>
          <w:sz w:val="20"/>
          <w:szCs w:val="24"/>
          <w:lang w:eastAsia="en-GB"/>
        </w:rPr>
        <w:t>trend bears watching. The company held a net cash position in both years.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Risk Assessment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lastRenderedPageBreak/>
        <w:t>Key Financial Risks</w:t>
      </w:r>
    </w:p>
    <w:p w:rsidR="00430FD0" w:rsidRDefault="00CB744C">
      <w:pPr>
        <w:spacing w:before="100" w:beforeAutospacing="1" w:after="100" w:afterAutospacing="1" w:line="240" w:lineRule="auto"/>
      </w:pPr>
      <w:r>
        <w:rPr>
          <w:rFonts w:ascii="Segoe UI" w:eastAsia="Times New Roman" w:hAnsi="Segoe UI" w:cs="Segoe UI"/>
          <w:sz w:val="20"/>
          <w:szCs w:val="24"/>
          <w:lang w:eastAsia="en-GB"/>
        </w:rPr>
        <w:t xml:space="preserve">Key risks: (1) the current ratio has narrowed from 1.9x to 1.4x; (2) CapEx is outpacing operating cash flow growth (147.2% vs 92.6%), compressing </w:t>
      </w:r>
      <w:r>
        <w:rPr>
          <w:rFonts w:ascii="Segoe UI" w:eastAsia="Times New Roman" w:hAnsi="Segoe UI" w:cs="Segoe UI"/>
          <w:sz w:val="20"/>
          <w:szCs w:val="24"/>
          <w:lang w:eastAsia="en-GB"/>
        </w:rPr>
        <w:t>free cash flow growth; (3) the very high revenue growth rate (70.7%) should be tested for sustainability rather than assumed to continue.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Actionable Insights</w:t>
      </w:r>
    </w:p>
    <w:p w:rsidR="00430FD0" w:rsidRDefault="00CB744C">
      <w:pPr>
        <w:spacing w:before="100" w:beforeAutospacing="1" w:after="100" w:afterAutospacing="1" w:line="240" w:lineRule="auto"/>
      </w:pPr>
      <w:r>
        <w:rPr>
          <w:rFonts w:ascii="Segoe UI" w:eastAsia="Times New Roman" w:hAnsi="Segoe UI" w:cs="Segoe UI"/>
          <w:sz w:val="20"/>
          <w:szCs w:val="24"/>
          <w:lang w:eastAsia="en-GB"/>
        </w:rPr>
        <w:t>Request a rolling 12-month cash flow forecast to confirm the CapEx programme remains self-funded f</w:t>
      </w:r>
      <w:r>
        <w:rPr>
          <w:rFonts w:ascii="Segoe UI" w:eastAsia="Times New Roman" w:hAnsi="Segoe UI" w:cs="Segoe UI"/>
          <w:sz w:val="20"/>
          <w:szCs w:val="24"/>
          <w:lang w:eastAsia="en-GB"/>
        </w:rPr>
        <w:t>rom operations. Confirm the drivers of FY2023 revenue growth (new customers vs. one-off orders). Monitor the current ratio quarterly given the two-year declining trend.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Conclusion</w:t>
      </w:r>
    </w:p>
    <w:p w:rsidR="00430FD0" w:rsidRDefault="00CB744C">
      <w:pPr>
        <w:spacing w:before="100" w:beforeAutospacing="1" w:after="100" w:afterAutospacing="1" w:line="240" w:lineRule="auto"/>
      </w:pPr>
      <w:r>
        <w:rPr>
          <w:rFonts w:ascii="Segoe UI" w:eastAsia="Times New Roman" w:hAnsi="Segoe UI" w:cs="Segoe UI"/>
          <w:sz w:val="20"/>
          <w:szCs w:val="24"/>
          <w:lang w:eastAsia="en-GB"/>
        </w:rPr>
        <w:t>Green Solutions Manufacturing Ltd. is in a materially stronger credit positi</w:t>
      </w:r>
      <w:r>
        <w:rPr>
          <w:rFonts w:ascii="Segoe UI" w:eastAsia="Times New Roman" w:hAnsi="Segoe UI" w:cs="Segoe UI"/>
          <w:sz w:val="20"/>
          <w:szCs w:val="24"/>
          <w:lang w:eastAsia="en-GB"/>
        </w:rPr>
        <w:t>on than a year ago, with sharply reduced leverage, strong interest cover, and a net cash balance sheet. The main watch items are a tightening liquidity ratio and rising CapEx intensity, neither of which currently threatens near-term debt-servicing capacity</w:t>
      </w:r>
      <w:r>
        <w:rPr>
          <w:rFonts w:ascii="Segoe UI" w:eastAsia="Times New Roman" w:hAnsi="Segoe UI" w:cs="Segoe UI"/>
          <w:sz w:val="20"/>
          <w:szCs w:val="24"/>
          <w:lang w:eastAsia="en-GB"/>
        </w:rPr>
        <w:t xml:space="preserve"> but both warrant continued monitoring.</w:t>
      </w:r>
    </w:p>
    <w:p w:rsidR="00DD4CA6" w:rsidRPr="00DD4CA6" w:rsidRDefault="00CB744C" w:rsidP="00DD4CA6">
      <w:pPr>
        <w:spacing w:after="0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>
        <w:rPr>
          <w:rFonts w:ascii="Segoe UI" w:eastAsia="Times New Roman" w:hAnsi="Segoe UI" w:cs="Segoe UI"/>
          <w:sz w:val="20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DD4CA6" w:rsidRPr="00DD4CA6" w:rsidRDefault="00CB744C" w:rsidP="00DD4CA6">
      <w:pPr>
        <w:spacing w:before="100" w:beforeAutospacing="1" w:after="100" w:afterAutospacing="1" w:line="240" w:lineRule="auto"/>
        <w:rPr>
          <w:rFonts w:ascii="Segoe UI" w:hAnsi="Segoe UI" w:cs="Segoe UI"/>
          <w:sz w:val="18"/>
        </w:rPr>
      </w:pPr>
      <w:r>
        <w:rPr>
          <w:rFonts w:ascii="Segoe UI" w:eastAsia="Times New Roman" w:hAnsi="Segoe UI" w:cs="Segoe UI"/>
          <w:sz w:val="20"/>
          <w:szCs w:val="24"/>
          <w:lang w:eastAsia="en-GB"/>
        </w:rPr>
        <w:t>Prepared by: Ewan Andrew Leon</w:t>
      </w:r>
      <w:bookmarkStart w:id="0" w:name="_GoBack"/>
      <w:bookmarkEnd w:id="0"/>
      <w:r w:rsidR="00DD4CA6" w:rsidRPr="00DD4CA6">
        <w:rPr>
          <w:rFonts w:ascii="Segoe UI" w:eastAsia="Times New Roman" w:hAnsi="Segoe UI" w:cs="Segoe UI"/>
          <w:sz w:val="20"/>
          <w:szCs w:val="24"/>
          <w:lang w:eastAsia="en-GB"/>
        </w:rPr>
        <w:br/>
        <w:t>Position: Credit Analyst</w:t>
      </w:r>
      <w:r w:rsidR="00DD4CA6" w:rsidRPr="00DD4CA6">
        <w:rPr>
          <w:rFonts w:ascii="Segoe UI" w:eastAsia="Times New Roman" w:hAnsi="Segoe UI" w:cs="Segoe UI"/>
          <w:sz w:val="20"/>
          <w:szCs w:val="24"/>
          <w:lang w:eastAsia="en-GB"/>
        </w:rPr>
        <w:br/>
        <w:t>Standard Chartered Bank</w:t>
      </w:r>
      <w:r w:rsidR="00DD4CA6" w:rsidRPr="00DD4CA6">
        <w:rPr>
          <w:rFonts w:ascii="Segoe UI" w:eastAsia="Times New Roman" w:hAnsi="Segoe UI" w:cs="Segoe UI"/>
          <w:sz w:val="20"/>
          <w:szCs w:val="24"/>
          <w:lang w:eastAsia="en-GB"/>
        </w:rPr>
        <w:br/>
        <w:t xml:space="preserve">Date: </w:t>
      </w:r>
      <w:r w:rsidR="00DD4CA6">
        <w:rPr>
          <w:rFonts w:ascii="Segoe UI" w:eastAsia="Times New Roman" w:hAnsi="Segoe UI" w:cs="Segoe UI"/>
          <w:sz w:val="20"/>
          <w:szCs w:val="24"/>
          <w:lang w:eastAsia="en-GB"/>
        </w:rPr>
        <w:t>26</w:t>
      </w:r>
      <w:r w:rsidR="00DD4CA6" w:rsidRPr="00DD4CA6">
        <w:rPr>
          <w:rFonts w:ascii="Segoe UI" w:eastAsia="Times New Roman" w:hAnsi="Segoe UI" w:cs="Segoe UI"/>
          <w:sz w:val="20"/>
          <w:szCs w:val="24"/>
          <w:vertAlign w:val="superscript"/>
          <w:lang w:eastAsia="en-GB"/>
        </w:rPr>
        <w:t>th</w:t>
      </w:r>
      <w:r w:rsid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July’24</w:t>
      </w:r>
    </w:p>
    <w:sectPr w:rsidR="00DD4CA6" w:rsidRPr="00DD4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683D9B"/>
    <w:multiLevelType w:val="multilevel"/>
    <w:tmpl w:val="2AE2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223D7D"/>
    <w:multiLevelType w:val="multilevel"/>
    <w:tmpl w:val="38DE2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22E53EE"/>
    <w:multiLevelType w:val="multilevel"/>
    <w:tmpl w:val="49B4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5B2827"/>
    <w:multiLevelType w:val="multilevel"/>
    <w:tmpl w:val="4BF6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16D2CBF"/>
    <w:multiLevelType w:val="multilevel"/>
    <w:tmpl w:val="A304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1572E0"/>
    <w:multiLevelType w:val="multilevel"/>
    <w:tmpl w:val="79A0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B70177"/>
    <w:multiLevelType w:val="multilevel"/>
    <w:tmpl w:val="9E26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5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M3NDQxNDQyMTY2MTRS0lEKTi0uzszPAykwrAUAECxosSwAAAA="/>
  </w:docVars>
  <w:rsids>
    <w:rsidRoot w:val="00DD4CA6"/>
    <w:rsid w:val="00430FD0"/>
    <w:rsid w:val="007D2693"/>
    <w:rsid w:val="008F34F5"/>
    <w:rsid w:val="00CB744C"/>
    <w:rsid w:val="00DD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18D1E8-7FA4-44B7-8C41-10845C450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D4C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DD4C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D4C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DD4CA6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D4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D4CA6"/>
    <w:rPr>
      <w:b/>
      <w:bCs/>
    </w:rPr>
  </w:style>
  <w:style w:type="paragraph" w:styleId="ListParagraph">
    <w:name w:val="List Paragraph"/>
    <w:basedOn w:val="Normal"/>
    <w:uiPriority w:val="34"/>
    <w:qFormat/>
    <w:rsid w:val="008F34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27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</cp:lastModifiedBy>
  <cp:revision>2</cp:revision>
  <dcterms:created xsi:type="dcterms:W3CDTF">2024-07-29T06:53:00Z</dcterms:created>
  <dcterms:modified xsi:type="dcterms:W3CDTF">2026-10-10T11:38:00Z</dcterms:modified>
</cp:coreProperties>
</file>