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11d2605280fa655306ddf39fd36428d22dd456"/>
    <w:p>
      <w:pPr>
        <w:pStyle w:val="Heading1"/>
      </w:pPr>
      <w:r>
        <w:t xml:space="preserve">CEO/CMO Presentation Script — Online Retail Expansion Analysis</w:t>
      </w:r>
    </w:p>
    <w:bookmarkStart w:id="20" w:name="target-length-5-minutes"/>
    <w:p>
      <w:pPr>
        <w:pStyle w:val="Heading3"/>
      </w:pPr>
      <w:r>
        <w:t xml:space="preserve">Target length: ~5 minutes</w:t>
      </w:r>
    </w:p>
    <w:p>
      <w:r>
        <w:pict>
          <v:rect style="width:0;height:1.5pt" o:hralign="center" o:hrstd="t" o:hr="t"/>
        </w:pict>
      </w:r>
    </w:p>
    <w:bookmarkEnd w:id="20"/>
    <w:bookmarkStart w:id="21" w:name="opening-data-cleanup"/>
    <w:p>
      <w:pPr>
        <w:pStyle w:val="Heading2"/>
      </w:pPr>
      <w:r>
        <w:t xml:space="preserve">[0:00–0:40] Opening + Data Cleanup</w:t>
      </w:r>
    </w:p>
    <w:p>
      <w:pPr>
        <w:pStyle w:val="FirstParagraph"/>
      </w:pPr>
      <w:r>
        <w:t xml:space="preserve">Thanks for your time. Before I get into the four questions you both asked, I want to walk you through how I got the data ready — because the numbers you’re about to see are only as trustworthy as the cleanup behind them.</w:t>
      </w:r>
    </w:p>
    <w:p>
      <w:pPr>
        <w:pStyle w:val="BodyText"/>
      </w:pPr>
      <w:r>
        <w:t xml:space="preserve">The raw dataset had two problems: negative quantities, which were returns and cancellations, and a handful of negative unit prices from data-entry errors. I excluded both — keeping only orders with quantity of at least 1 and price at or above zero. I also scoped everything to 2011 only, across all four questions, not just the first one — that was a deliberate call on my part, so every chart you’re about to see reflects the same time window and nothing here is comparing apples to partial oranges.</w:t>
      </w:r>
    </w:p>
    <w:p>
      <w:r>
        <w:pict>
          <v:rect style="width:0;height:1.5pt" o:hralign="center" o:hrstd="t" o:hr="t"/>
        </w:pict>
      </w:r>
    </w:p>
    <w:bookmarkEnd w:id="21"/>
    <w:bookmarkStart w:id="22" w:name="question-1-ceo-revenue-trend"/>
    <w:p>
      <w:pPr>
        <w:pStyle w:val="Heading2"/>
      </w:pPr>
      <w:r>
        <w:t xml:space="preserve">[0:40–1:35] Question 1 (CEO) — Revenue Trend</w:t>
      </w:r>
    </w:p>
    <w:p>
      <w:pPr>
        <w:pStyle w:val="FirstParagraph"/>
      </w:pPr>
      <w:r>
        <w:t xml:space="preserve">First — your revenue trend for the year. Revenue held steady in the £500 to £770 thousand range through the summer, then broke out sharply from September, peaking at £1.51 million in November — a 31% jump over October alone. That’s a clear, single seasonal spike, not gradual growth. December looks like a drop-off, but that’s a partial month in the data, not a real decline.</w:t>
      </w:r>
    </w:p>
    <w:p>
      <w:pPr>
        <w:pStyle w:val="BodyText"/>
      </w:pPr>
      <w:r>
        <w:t xml:space="preserve">What this means for you: your business isn’t seasonal in a soft way — it’s one sharp pre-holiday surge. That has direct implications for inventory and cash flow planning heading into Q4 next year.</w:t>
      </w:r>
    </w:p>
    <w:p>
      <w:r>
        <w:pict>
          <v:rect style="width:0;height:1.5pt" o:hralign="center" o:hrstd="t" o:hr="t"/>
        </w:pict>
      </w:r>
    </w:p>
    <w:bookmarkEnd w:id="22"/>
    <w:bookmarkStart w:id="23" w:name="question-2-cmo-top-countries"/>
    <w:p>
      <w:pPr>
        <w:pStyle w:val="Heading2"/>
      </w:pPr>
      <w:r>
        <w:t xml:space="preserve">[1:35–2:30] Question 2 (CMO) — Top Countries</w:t>
      </w:r>
    </w:p>
    <w:p>
      <w:pPr>
        <w:pStyle w:val="FirstParagraph"/>
      </w:pPr>
      <w:r>
        <w:t xml:space="preserve">Second — where’s the international revenue actually coming from, outside the UK. Four countries lead clearly: Netherlands, Ireland, Germany, and France, each well ahead of the rest of the pack. One thing worth flagging: Sweden sells a high volume of units but generates comparatively low revenue — that’s a lower average order value, and worth a pricing or product-mix conversation before you treat it as a growth market.</w:t>
      </w:r>
    </w:p>
    <w:p>
      <w:r>
        <w:pict>
          <v:rect style="width:0;height:1.5pt" o:hralign="center" o:hrstd="t" o:hr="t"/>
        </w:pict>
      </w:r>
    </w:p>
    <w:bookmarkEnd w:id="23"/>
    <w:bookmarkStart w:id="24" w:name="question-3-cmo-top-customers"/>
    <w:p>
      <w:pPr>
        <w:pStyle w:val="Heading2"/>
      </w:pPr>
      <w:r>
        <w:t xml:space="preserve">[2:30–3:25] Question 3 (CMO) — Top Customers</w:t>
      </w:r>
    </w:p>
    <w:p>
      <w:pPr>
        <w:pStyle w:val="FirstParagraph"/>
      </w:pPr>
      <w:r>
        <w:t xml:space="preserve">Third — your highest-value customers. Your single top customer generated £272,000 in 2011 — more revenue than your 6th through 10th ranked customers combined. That’s not just a nice statistic, it’s a concentration risk: a meaningful share of your revenue depends on a small handful of accounts. I’d treat customer retention for this group as a priority, not a nice-to-have, and pair it with a push to diversify the base so you’re not exposed if even one or two of them leave.</w:t>
      </w:r>
    </w:p>
    <w:p>
      <w:r>
        <w:pict>
          <v:rect style="width:0;height:1.5pt" o:hralign="center" o:hrstd="t" o:hr="t"/>
        </w:pict>
      </w:r>
    </w:p>
    <w:bookmarkEnd w:id="24"/>
    <w:bookmarkStart w:id="25" w:name="question-4-ceo-expansion-map"/>
    <w:p>
      <w:pPr>
        <w:pStyle w:val="Heading2"/>
      </w:pPr>
      <w:r>
        <w:t xml:space="preserve">[3:25–4:20] Question 4 (CEO) — Expansion Map</w:t>
      </w:r>
    </w:p>
    <w:p>
      <w:pPr>
        <w:pStyle w:val="FirstParagraph"/>
      </w:pPr>
      <w:r>
        <w:t xml:space="preserve">Finally — the one you’re both here for: where should you expand. Looking at total units sold by country, excluding the UK, the same four markets come out on top: Netherlands, Ireland, Germany, and France, with Australia close behind. These aren’t just your best-performing markets today — they’re the ones with proven demand at scale, which makes them the lowest-risk places to invest expansion budget first, rather than betting on unproven territory.</w:t>
      </w:r>
    </w:p>
    <w:p>
      <w:r>
        <w:pict>
          <v:rect style="width:0;height:1.5pt" o:hralign="center" o:hrstd="t" o:hr="t"/>
        </w:pict>
      </w:r>
    </w:p>
    <w:bookmarkEnd w:id="25"/>
    <w:bookmarkStart w:id="27" w:name="close"/>
    <w:p>
      <w:pPr>
        <w:pStyle w:val="Heading2"/>
      </w:pPr>
      <w:r>
        <w:t xml:space="preserve">[4:20–5:00] Close</w:t>
      </w:r>
    </w:p>
    <w:p>
      <w:pPr>
        <w:pStyle w:val="FirstParagraph"/>
      </w:pPr>
      <w:r>
        <w:t xml:space="preserve">To summarize: your revenue is healthy but concentrated in one sharp seasonal window, your top customers carry outsized weight, and your clearest expansion opportunities are already sitting in your existing top-performing markets — Netherlands, Ireland, Germany, France, and Australia. My recommendation is to treat Q4 planning, customer retention for your top accounts, and expansion into those five markets as the three priorities coming out of this analysis. Happy to take any questions.</w:t>
      </w:r>
    </w:p>
    <w:p>
      <w:r>
        <w:pict>
          <v:rect style="width:0;height:1.5pt" o:hralign="center" o:hrstd="t" o:hr="t"/>
        </w:pict>
      </w:r>
    </w:p>
    <w:bookmarkStart w:id="26" w:name="delivery-notes"/>
    <w:p>
      <w:pPr>
        <w:pStyle w:val="Heading3"/>
      </w:pPr>
      <w:r>
        <w:t xml:space="preserve">Delivery notes</w:t>
      </w:r>
    </w:p>
    <w:p>
      <w:pPr>
        <w:numPr>
          <w:ilvl w:val="0"/>
          <w:numId w:val="1001"/>
        </w:numPr>
        <w:pStyle w:val="Compact"/>
      </w:pPr>
      <w:r>
        <w:t xml:space="preserve">Read at a natural, unhurried pace — this should land close to 5 minutes without rushing.</w:t>
      </w:r>
    </w:p>
    <w:p>
      <w:pPr>
        <w:numPr>
          <w:ilvl w:val="0"/>
          <w:numId w:val="1001"/>
        </w:numPr>
        <w:pStyle w:val="Compact"/>
      </w:pPr>
      <w:r>
        <w:t xml:space="preserve">Pause briefly at each section break to let the current chart/number land before moving on.</w:t>
      </w:r>
    </w:p>
    <w:p>
      <w:pPr>
        <w:numPr>
          <w:ilvl w:val="0"/>
          <w:numId w:val="1001"/>
        </w:numPr>
        <w:pStyle w:val="Compact"/>
      </w:pPr>
      <w:r>
        <w:t xml:space="preserve">If you’re switching visuals on screen while talking, cue the switch at the start of each bracketed section, not mid-sentence.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2026-09-25T20:50:45Z</dcterms:created>
  <dcterms:modified xsi:type="dcterms:W3CDTF">2026-09-25T20:50:45Z</dcterms:modified>
</cp:coreProperties>
</file>

<file path=docProps/custom.xml><?xml version="1.0" encoding="utf-8"?>
<Properties xmlns="http://schemas.openxmlformats.org/officeDocument/2006/custom-properties" xmlns:vt="http://schemas.openxmlformats.org/officeDocument/2006/docPropsVTypes"/>
</file>