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522"/>
        <w:rPr>
          <w:rFonts w:ascii="Times New Roman"/>
        </w:rPr>
      </w:pPr>
      <w:r>
        <w:rPr>
          <w:rFonts w:ascii="Times New Roman"/>
        </w:rPr>
        <w:pict>
          <v:group style="width:323.150pt;height:39.7pt;mso-position-horizontal-relative:char;mso-position-vertical-relative:line" coordorigin="0,0" coordsize="6463,794">
            <v:rect style="position:absolute;left:0;top:0;width:6463;height:794" filled="true" fillcolor="#f79c88" stroked="false">
              <v:fill type="solid"/>
            </v:rect>
            <v:shape style="position:absolute;left:2145;top:217;width:2160;height:424" type="#_x0000_t75" stroked="false">
              <v:imagedata r:id="rId5" o:title=""/>
            </v:shape>
            <v:shape style="position:absolute;left:4404;top:217;width:1607;height:304" type="#_x0000_t75" stroked="false">
              <v:imagedata r:id="rId6" o:title=""/>
            </v:shape>
            <v:shape style="position:absolute;left:401;top:217;width:1721;height:402" type="#_x0000_t75" stroked="false">
              <v:imagedata r:id="rId7" o:title=""/>
            </v:shape>
          </v:group>
        </w:pict>
      </w:r>
      <w:r>
        <w:rPr>
          <w:rFonts w:ascii="Times New Roman"/>
        </w:rPr>
      </w:r>
    </w:p>
    <w:p>
      <w:pPr>
        <w:pStyle w:val="BodyText"/>
        <w:spacing w:before="7"/>
        <w:rPr>
          <w:rFonts w:ascii="Times New Roman"/>
          <w:sz w:val="10"/>
        </w:rPr>
      </w:pPr>
    </w:p>
    <w:p>
      <w:pPr>
        <w:tabs>
          <w:tab w:pos="6179" w:val="left" w:leader="none"/>
        </w:tabs>
        <w:spacing w:line="189" w:lineRule="exact" w:before="96"/>
        <w:ind w:left="532" w:right="0" w:firstLine="0"/>
        <w:jc w:val="left"/>
        <w:rPr>
          <w:sz w:val="14"/>
        </w:rPr>
      </w:pPr>
      <w:r>
        <w:rPr>
          <w:color w:val="231F20"/>
          <w:sz w:val="14"/>
        </w:rPr>
        <w:t>DOI:</w:t>
      </w:r>
      <w:r>
        <w:rPr>
          <w:color w:val="231F20"/>
          <w:spacing w:val="10"/>
          <w:sz w:val="14"/>
        </w:rPr>
        <w:t> </w:t>
      </w:r>
      <w:r>
        <w:rPr>
          <w:color w:val="231F20"/>
          <w:sz w:val="14"/>
        </w:rPr>
        <w:t>10.1111/1475-679X.12062</w:t>
        <w:tab/>
      </w:r>
      <w:r>
        <w:rPr>
          <w:color w:val="231F20"/>
          <w:position w:val="-5"/>
          <w:sz w:val="14"/>
        </w:rPr>
        <w:drawing>
          <wp:inline distT="0" distB="0" distL="0" distR="0">
            <wp:extent cx="521182" cy="101672"/>
            <wp:effectExtent l="0" t="0" r="0" b="0"/>
            <wp:docPr id="1" name="image4.png" descr=""/>
            <wp:cNvGraphicFramePr>
              <a:graphicFrameLocks noChangeAspect="1"/>
            </wp:cNvGraphicFramePr>
            <a:graphic>
              <a:graphicData uri="http://schemas.openxmlformats.org/drawingml/2006/picture">
                <pic:pic>
                  <pic:nvPicPr>
                    <pic:cNvPr id="2" name="image4.png"/>
                    <pic:cNvPicPr/>
                  </pic:nvPicPr>
                  <pic:blipFill>
                    <a:blip r:embed="rId8" cstate="print"/>
                    <a:stretch>
                      <a:fillRect/>
                    </a:stretch>
                  </pic:blipFill>
                  <pic:spPr>
                    <a:xfrm>
                      <a:off x="0" y="0"/>
                      <a:ext cx="521182" cy="101672"/>
                    </a:xfrm>
                    <a:prstGeom prst="rect">
                      <a:avLst/>
                    </a:prstGeom>
                  </pic:spPr>
                </pic:pic>
              </a:graphicData>
            </a:graphic>
          </wp:inline>
        </w:drawing>
      </w:r>
      <w:r>
        <w:rPr>
          <w:color w:val="231F20"/>
          <w:position w:val="-5"/>
          <w:sz w:val="14"/>
        </w:rPr>
      </w:r>
    </w:p>
    <w:p>
      <w:pPr>
        <w:spacing w:line="208" w:lineRule="auto" w:before="14"/>
        <w:ind w:left="495" w:right="4595" w:firstLine="0"/>
        <w:jc w:val="center"/>
        <w:rPr>
          <w:i/>
          <w:sz w:val="14"/>
        </w:rPr>
      </w:pPr>
      <w:r>
        <w:rPr>
          <w:color w:val="231F20"/>
          <w:sz w:val="14"/>
        </w:rPr>
        <w:t>Journal of Accounting Research Vol. 52 No. 5 December 2014 </w:t>
      </w:r>
      <w:r>
        <w:rPr>
          <w:i/>
          <w:color w:val="231F20"/>
          <w:sz w:val="14"/>
        </w:rPr>
        <w:t>Printed in U.S.A.</w:t>
      </w:r>
    </w:p>
    <w:p>
      <w:pPr>
        <w:pStyle w:val="BodyText"/>
        <w:rPr>
          <w:i/>
        </w:rPr>
      </w:pPr>
    </w:p>
    <w:p>
      <w:pPr>
        <w:pStyle w:val="BodyText"/>
        <w:rPr>
          <w:i/>
        </w:rPr>
      </w:pPr>
    </w:p>
    <w:p>
      <w:pPr>
        <w:pStyle w:val="BodyText"/>
        <w:spacing w:before="9"/>
        <w:rPr>
          <w:i/>
          <w:sz w:val="27"/>
        </w:rPr>
      </w:pPr>
    </w:p>
    <w:p>
      <w:pPr>
        <w:spacing w:line="242" w:lineRule="auto" w:before="88"/>
        <w:ind w:left="957" w:right="573" w:hanging="1"/>
        <w:jc w:val="center"/>
        <w:rPr>
          <w:rFonts w:ascii="Times New Roman" w:hAnsi="Times New Roman"/>
          <w:b/>
          <w:sz w:val="41"/>
        </w:rPr>
      </w:pPr>
      <w:r>
        <w:rPr>
          <w:rFonts w:ascii="Times New Roman" w:hAnsi="Times New Roman"/>
          <w:b/>
          <w:sz w:val="41"/>
        </w:rPr>
        <w:t>Debtholders’ Demand for Conservatism: Evidence from Changes in Directors’</w:t>
      </w:r>
      <w:r>
        <w:rPr>
          <w:rFonts w:ascii="Times New Roman" w:hAnsi="Times New Roman"/>
          <w:b/>
          <w:spacing w:val="-51"/>
          <w:sz w:val="41"/>
        </w:rPr>
        <w:t> </w:t>
      </w:r>
      <w:r>
        <w:rPr>
          <w:rFonts w:ascii="Times New Roman" w:hAnsi="Times New Roman"/>
          <w:b/>
          <w:spacing w:val="1"/>
          <w:sz w:val="41"/>
        </w:rPr>
        <w:t>Fiduciary </w:t>
      </w:r>
      <w:r>
        <w:rPr>
          <w:rFonts w:ascii="Times New Roman" w:hAnsi="Times New Roman"/>
          <w:b/>
          <w:sz w:val="41"/>
        </w:rPr>
        <w:t>Duties</w:t>
      </w:r>
    </w:p>
    <w:p>
      <w:pPr>
        <w:spacing w:line="230" w:lineRule="auto" w:before="185"/>
        <w:ind w:left="1679" w:right="1306" w:firstLine="0"/>
        <w:jc w:val="center"/>
        <w:rPr>
          <w:rFonts w:ascii="Arial" w:hAnsi="Arial"/>
          <w:b/>
          <w:i/>
          <w:sz w:val="12"/>
        </w:rPr>
      </w:pPr>
      <w:r>
        <w:rPr>
          <w:rFonts w:ascii="Times New Roman" w:hAnsi="Times New Roman"/>
          <w:b/>
          <w:color w:val="231F20"/>
          <w:sz w:val="16"/>
        </w:rPr>
        <w:t>JAGADISON K. AIER ,</w:t>
      </w:r>
      <w:r>
        <w:rPr>
          <w:rFonts w:ascii="Swis721 BT" w:hAnsi="Swis721 BT"/>
          <w:b/>
          <w:color w:val="231F20"/>
          <w:position w:val="6"/>
          <w:sz w:val="16"/>
        </w:rPr>
        <w:t>∗ </w:t>
      </w:r>
      <w:r>
        <w:rPr>
          <w:rFonts w:ascii="Times New Roman" w:hAnsi="Times New Roman"/>
          <w:b/>
          <w:color w:val="231F20"/>
          <w:sz w:val="16"/>
        </w:rPr>
        <w:t>LONG CHEN ,</w:t>
      </w:r>
      <w:r>
        <w:rPr>
          <w:rFonts w:ascii="Swis721 BT" w:hAnsi="Swis721 BT"/>
          <w:b/>
          <w:color w:val="231F20"/>
          <w:position w:val="6"/>
          <w:sz w:val="16"/>
        </w:rPr>
        <w:t>∗</w:t>
      </w:r>
      <w:r>
        <w:rPr>
          <w:rFonts w:ascii="Swis721 BT" w:hAnsi="Swis721 BT"/>
          <w:b/>
          <w:color w:val="231F20"/>
          <w:w w:val="89"/>
          <w:position w:val="6"/>
          <w:sz w:val="16"/>
        </w:rPr>
        <w:t> </w:t>
      </w:r>
      <w:r>
        <w:rPr>
          <w:rFonts w:ascii="Times New Roman" w:hAnsi="Times New Roman"/>
          <w:b/>
          <w:color w:val="231F20"/>
          <w:sz w:val="16"/>
        </w:rPr>
        <w:t>AND MIKHAIL PEVZNE R</w:t>
      </w:r>
      <w:r>
        <w:rPr>
          <w:rFonts w:ascii="Arial" w:hAnsi="Arial"/>
          <w:b/>
          <w:i/>
          <w:color w:val="231F20"/>
          <w:position w:val="6"/>
          <w:sz w:val="12"/>
        </w:rPr>
        <w:t>†</w:t>
      </w:r>
    </w:p>
    <w:p>
      <w:pPr>
        <w:pStyle w:val="BodyText"/>
        <w:spacing w:before="3"/>
        <w:rPr>
          <w:rFonts w:ascii="Arial"/>
          <w:b/>
          <w:i/>
          <w:sz w:val="25"/>
        </w:rPr>
      </w:pPr>
    </w:p>
    <w:p>
      <w:pPr>
        <w:spacing w:before="0"/>
        <w:ind w:left="495" w:right="115" w:firstLine="0"/>
        <w:jc w:val="center"/>
        <w:rPr>
          <w:sz w:val="16"/>
        </w:rPr>
      </w:pPr>
      <w:r>
        <w:rPr>
          <w:color w:val="231F20"/>
          <w:sz w:val="16"/>
        </w:rPr>
        <w:t>Received 24 May 2012; accepted 31 August 2014</w:t>
      </w:r>
    </w:p>
    <w:p>
      <w:pPr>
        <w:pStyle w:val="BodyText"/>
      </w:pPr>
    </w:p>
    <w:p>
      <w:pPr>
        <w:pStyle w:val="BodyText"/>
      </w:pPr>
    </w:p>
    <w:p>
      <w:pPr>
        <w:pStyle w:val="BodyText"/>
        <w:spacing w:before="4"/>
        <w:rPr>
          <w:sz w:val="21"/>
        </w:rPr>
      </w:pPr>
      <w:r>
        <w:rPr/>
        <w:pict>
          <v:line style="position:absolute;mso-position-horizontal-relative:page;mso-position-vertical-relative:paragraph;z-index:1048;mso-wrap-distance-left:0;mso-wrap-distance-right:0" from="90.629997pt,15.502579pt" to="413.423997pt,15.502579pt" stroked="true" strokeweight=".504pt" strokecolor="#000000">
            <v:stroke dashstyle="solid"/>
            <w10:wrap type="topAndBottom"/>
          </v:line>
        </w:pict>
      </w:r>
    </w:p>
    <w:p>
      <w:pPr>
        <w:pStyle w:val="BodyText"/>
      </w:pPr>
    </w:p>
    <w:p>
      <w:pPr>
        <w:pStyle w:val="BodyText"/>
        <w:spacing w:before="10"/>
        <w:rPr>
          <w:sz w:val="16"/>
        </w:rPr>
      </w:pPr>
    </w:p>
    <w:p>
      <w:pPr>
        <w:spacing w:before="96"/>
        <w:ind w:left="3350" w:right="0" w:firstLine="0"/>
        <w:jc w:val="left"/>
        <w:rPr>
          <w:sz w:val="16"/>
        </w:rPr>
      </w:pPr>
      <w:r>
        <w:rPr>
          <w:color w:val="231F20"/>
          <w:sz w:val="16"/>
        </w:rPr>
        <w:t>ABSTRACT</w:t>
      </w:r>
    </w:p>
    <w:p>
      <w:pPr>
        <w:spacing w:line="235" w:lineRule="auto" w:before="134"/>
        <w:ind w:left="771" w:right="387" w:firstLine="0"/>
        <w:jc w:val="both"/>
        <w:rPr>
          <w:sz w:val="18"/>
        </w:rPr>
      </w:pPr>
      <w:r>
        <w:rPr>
          <w:sz w:val="18"/>
        </w:rPr>
        <w:t>Debtholders’</w:t>
      </w:r>
      <w:r>
        <w:rPr>
          <w:spacing w:val="-20"/>
          <w:sz w:val="18"/>
        </w:rPr>
        <w:t> </w:t>
      </w:r>
      <w:r>
        <w:rPr>
          <w:sz w:val="18"/>
        </w:rPr>
        <w:t>demand</w:t>
      </w:r>
      <w:r>
        <w:rPr>
          <w:spacing w:val="-20"/>
          <w:sz w:val="18"/>
        </w:rPr>
        <w:t> </w:t>
      </w:r>
      <w:r>
        <w:rPr>
          <w:sz w:val="18"/>
        </w:rPr>
        <w:t>has</w:t>
      </w:r>
      <w:r>
        <w:rPr>
          <w:spacing w:val="-20"/>
          <w:sz w:val="18"/>
        </w:rPr>
        <w:t> </w:t>
      </w:r>
      <w:r>
        <w:rPr>
          <w:sz w:val="18"/>
        </w:rPr>
        <w:t>been</w:t>
      </w:r>
      <w:r>
        <w:rPr>
          <w:spacing w:val="-20"/>
          <w:sz w:val="18"/>
        </w:rPr>
        <w:t> </w:t>
      </w:r>
      <w:r>
        <w:rPr>
          <w:sz w:val="18"/>
        </w:rPr>
        <w:t>widely</w:t>
      </w:r>
      <w:r>
        <w:rPr>
          <w:spacing w:val="-20"/>
          <w:sz w:val="18"/>
        </w:rPr>
        <w:t> </w:t>
      </w:r>
      <w:r>
        <w:rPr>
          <w:sz w:val="18"/>
        </w:rPr>
        <w:t>discussed</w:t>
      </w:r>
      <w:r>
        <w:rPr>
          <w:spacing w:val="-20"/>
          <w:sz w:val="18"/>
        </w:rPr>
        <w:t> </w:t>
      </w:r>
      <w:r>
        <w:rPr>
          <w:sz w:val="18"/>
        </w:rPr>
        <w:t>as</w:t>
      </w:r>
      <w:r>
        <w:rPr>
          <w:spacing w:val="-20"/>
          <w:sz w:val="18"/>
        </w:rPr>
        <w:t> </w:t>
      </w:r>
      <w:r>
        <w:rPr>
          <w:sz w:val="18"/>
        </w:rPr>
        <w:t>a</w:t>
      </w:r>
      <w:r>
        <w:rPr>
          <w:spacing w:val="-20"/>
          <w:sz w:val="18"/>
        </w:rPr>
        <w:t> </w:t>
      </w:r>
      <w:r>
        <w:rPr>
          <w:sz w:val="18"/>
        </w:rPr>
        <w:t>key</w:t>
      </w:r>
      <w:r>
        <w:rPr>
          <w:spacing w:val="-20"/>
          <w:sz w:val="18"/>
        </w:rPr>
        <w:t> </w:t>
      </w:r>
      <w:r>
        <w:rPr>
          <w:sz w:val="18"/>
        </w:rPr>
        <w:t>determinant</w:t>
      </w:r>
      <w:r>
        <w:rPr>
          <w:spacing w:val="-20"/>
          <w:sz w:val="18"/>
        </w:rPr>
        <w:t> </w:t>
      </w:r>
      <w:r>
        <w:rPr>
          <w:sz w:val="18"/>
        </w:rPr>
        <w:t>of</w:t>
      </w:r>
      <w:r>
        <w:rPr>
          <w:spacing w:val="-20"/>
          <w:sz w:val="18"/>
        </w:rPr>
        <w:t> </w:t>
      </w:r>
      <w:r>
        <w:rPr>
          <w:sz w:val="18"/>
        </w:rPr>
        <w:t>con- servatism</w:t>
      </w:r>
      <w:r>
        <w:rPr>
          <w:spacing w:val="-13"/>
          <w:sz w:val="18"/>
        </w:rPr>
        <w:t> </w:t>
      </w:r>
      <w:r>
        <w:rPr>
          <w:sz w:val="18"/>
        </w:rPr>
        <w:t>but</w:t>
      </w:r>
      <w:r>
        <w:rPr>
          <w:spacing w:val="-13"/>
          <w:sz w:val="18"/>
        </w:rPr>
        <w:t> </w:t>
      </w:r>
      <w:r>
        <w:rPr>
          <w:sz w:val="18"/>
        </w:rPr>
        <w:t>clear</w:t>
      </w:r>
      <w:r>
        <w:rPr>
          <w:spacing w:val="-12"/>
          <w:sz w:val="18"/>
        </w:rPr>
        <w:t> </w:t>
      </w:r>
      <w:r>
        <w:rPr>
          <w:sz w:val="18"/>
        </w:rPr>
        <w:t>causal</w:t>
      </w:r>
      <w:r>
        <w:rPr>
          <w:spacing w:val="-13"/>
          <w:sz w:val="18"/>
        </w:rPr>
        <w:t> </w:t>
      </w:r>
      <w:r>
        <w:rPr>
          <w:sz w:val="18"/>
        </w:rPr>
        <w:t>evidence</w:t>
      </w:r>
      <w:r>
        <w:rPr>
          <w:spacing w:val="-12"/>
          <w:sz w:val="18"/>
        </w:rPr>
        <w:t> </w:t>
      </w:r>
      <w:r>
        <w:rPr>
          <w:sz w:val="18"/>
        </w:rPr>
        <w:t>is</w:t>
      </w:r>
      <w:r>
        <w:rPr>
          <w:spacing w:val="-13"/>
          <w:sz w:val="18"/>
        </w:rPr>
        <w:t> </w:t>
      </w:r>
      <w:r>
        <w:rPr>
          <w:sz w:val="18"/>
        </w:rPr>
        <w:t>not</w:t>
      </w:r>
      <w:r>
        <w:rPr>
          <w:spacing w:val="-13"/>
          <w:sz w:val="18"/>
        </w:rPr>
        <w:t> </w:t>
      </w:r>
      <w:r>
        <w:rPr>
          <w:sz w:val="18"/>
        </w:rPr>
        <w:t>yet</w:t>
      </w:r>
      <w:r>
        <w:rPr>
          <w:spacing w:val="-13"/>
          <w:sz w:val="18"/>
        </w:rPr>
        <w:t> </w:t>
      </w:r>
      <w:r>
        <w:rPr>
          <w:sz w:val="18"/>
        </w:rPr>
        <w:t>established.</w:t>
      </w:r>
      <w:r>
        <w:rPr>
          <w:spacing w:val="-13"/>
          <w:sz w:val="18"/>
        </w:rPr>
        <w:t> </w:t>
      </w:r>
      <w:r>
        <w:rPr>
          <w:sz w:val="18"/>
        </w:rPr>
        <w:t>Using</w:t>
      </w:r>
      <w:r>
        <w:rPr>
          <w:spacing w:val="-13"/>
          <w:sz w:val="18"/>
        </w:rPr>
        <w:t> </w:t>
      </w:r>
      <w:r>
        <w:rPr>
          <w:sz w:val="18"/>
        </w:rPr>
        <w:t>a</w:t>
      </w:r>
      <w:r>
        <w:rPr>
          <w:spacing w:val="-12"/>
          <w:sz w:val="18"/>
        </w:rPr>
        <w:t> </w:t>
      </w:r>
      <w:r>
        <w:rPr>
          <w:sz w:val="18"/>
        </w:rPr>
        <w:t>natural</w:t>
      </w:r>
      <w:r>
        <w:rPr>
          <w:spacing w:val="-13"/>
          <w:sz w:val="18"/>
        </w:rPr>
        <w:t> </w:t>
      </w:r>
      <w:r>
        <w:rPr>
          <w:sz w:val="18"/>
        </w:rPr>
        <w:t>ex- periment setting, wherein a Delaware court ruled that the fiduciary duties of directors in near insolvent Delaware companies extend to creditors, we predict and find that firms subject to the ruling significantly increased</w:t>
      </w:r>
      <w:r>
        <w:rPr>
          <w:spacing w:val="-16"/>
          <w:sz w:val="18"/>
        </w:rPr>
        <w:t> </w:t>
      </w:r>
      <w:r>
        <w:rPr>
          <w:sz w:val="18"/>
        </w:rPr>
        <w:t>their accounting conservatism. In addition, our results suggest that the increase in conservatism is more pronounced in near insolvent Delaware firms with stronger boards, confirming that the court ruling takes effect through the channel</w:t>
      </w:r>
      <w:r>
        <w:rPr>
          <w:spacing w:val="-3"/>
          <w:sz w:val="18"/>
        </w:rPr>
        <w:t> </w:t>
      </w:r>
      <w:r>
        <w:rPr>
          <w:sz w:val="18"/>
        </w:rPr>
        <w:t>of</w:t>
      </w:r>
      <w:r>
        <w:rPr>
          <w:spacing w:val="-3"/>
          <w:sz w:val="18"/>
        </w:rPr>
        <w:t> </w:t>
      </w:r>
      <w:r>
        <w:rPr>
          <w:sz w:val="18"/>
        </w:rPr>
        <w:t>the</w:t>
      </w:r>
      <w:r>
        <w:rPr>
          <w:spacing w:val="-3"/>
          <w:sz w:val="18"/>
        </w:rPr>
        <w:t> </w:t>
      </w:r>
      <w:r>
        <w:rPr>
          <w:sz w:val="18"/>
        </w:rPr>
        <w:t>board</w:t>
      </w:r>
      <w:r>
        <w:rPr>
          <w:spacing w:val="-3"/>
          <w:sz w:val="18"/>
        </w:rPr>
        <w:t> </w:t>
      </w:r>
      <w:r>
        <w:rPr>
          <w:sz w:val="18"/>
        </w:rPr>
        <w:t>of</w:t>
      </w:r>
      <w:r>
        <w:rPr>
          <w:spacing w:val="-3"/>
          <w:sz w:val="18"/>
        </w:rPr>
        <w:t> </w:t>
      </w:r>
      <w:r>
        <w:rPr>
          <w:sz w:val="18"/>
        </w:rPr>
        <w:t>directors.</w:t>
      </w:r>
      <w:r>
        <w:rPr>
          <w:spacing w:val="-3"/>
          <w:sz w:val="18"/>
        </w:rPr>
        <w:t> </w:t>
      </w:r>
      <w:r>
        <w:rPr>
          <w:sz w:val="18"/>
        </w:rPr>
        <w:t>Our</w:t>
      </w:r>
      <w:r>
        <w:rPr>
          <w:spacing w:val="-3"/>
          <w:sz w:val="18"/>
        </w:rPr>
        <w:t> </w:t>
      </w:r>
      <w:r>
        <w:rPr>
          <w:sz w:val="18"/>
        </w:rPr>
        <w:t>results</w:t>
      </w:r>
      <w:r>
        <w:rPr>
          <w:spacing w:val="-3"/>
          <w:sz w:val="18"/>
        </w:rPr>
        <w:t> </w:t>
      </w:r>
      <w:r>
        <w:rPr>
          <w:sz w:val="18"/>
        </w:rPr>
        <w:t>are</w:t>
      </w:r>
      <w:r>
        <w:rPr>
          <w:spacing w:val="-3"/>
          <w:sz w:val="18"/>
        </w:rPr>
        <w:t> </w:t>
      </w:r>
      <w:r>
        <w:rPr>
          <w:sz w:val="18"/>
        </w:rPr>
        <w:t>robust</w:t>
      </w:r>
      <w:r>
        <w:rPr>
          <w:spacing w:val="-3"/>
          <w:sz w:val="18"/>
        </w:rPr>
        <w:t> </w:t>
      </w:r>
      <w:r>
        <w:rPr>
          <w:sz w:val="18"/>
        </w:rPr>
        <w:t>to</w:t>
      </w:r>
      <w:r>
        <w:rPr>
          <w:spacing w:val="-3"/>
          <w:sz w:val="18"/>
        </w:rPr>
        <w:t> </w:t>
      </w:r>
      <w:r>
        <w:rPr>
          <w:sz w:val="18"/>
        </w:rPr>
        <w:t>using</w:t>
      </w:r>
      <w:r>
        <w:rPr>
          <w:spacing w:val="-3"/>
          <w:sz w:val="18"/>
        </w:rPr>
        <w:t> </w:t>
      </w:r>
      <w:r>
        <w:rPr>
          <w:sz w:val="18"/>
        </w:rPr>
        <w:t>alternative</w:t>
      </w:r>
    </w:p>
    <w:p>
      <w:pPr>
        <w:pStyle w:val="BodyText"/>
        <w:spacing w:before="2"/>
        <w:rPr>
          <w:sz w:val="26"/>
        </w:rPr>
      </w:pPr>
      <w:r>
        <w:rPr/>
        <w:pict>
          <v:line style="position:absolute;mso-position-horizontal-relative:page;mso-position-vertical-relative:paragraph;z-index:1072;mso-wrap-distance-left:0;mso-wrap-distance-right:0" from="90.629997pt,18.529827pt" to="126.503997pt,18.529827pt" stroked="true" strokeweight=".504pt" strokecolor="#000000">
            <v:stroke dashstyle="solid"/>
            <w10:wrap type="topAndBottom"/>
          </v:line>
        </w:pict>
      </w:r>
    </w:p>
    <w:p>
      <w:pPr>
        <w:spacing w:before="15"/>
        <w:ind w:left="532" w:right="149" w:firstLine="209"/>
        <w:jc w:val="both"/>
        <w:rPr>
          <w:sz w:val="16"/>
        </w:rPr>
      </w:pPr>
      <w:r>
        <w:rPr>
          <w:rFonts w:ascii="Lucida Sans Unicode" w:hAnsi="Lucida Sans Unicode"/>
          <w:color w:val="231F20"/>
          <w:position w:val="6"/>
          <w:sz w:val="16"/>
        </w:rPr>
        <w:t>∗</w:t>
      </w:r>
      <w:r>
        <w:rPr>
          <w:color w:val="231F20"/>
          <w:sz w:val="16"/>
        </w:rPr>
        <w:t>School</w:t>
      </w:r>
      <w:r>
        <w:rPr>
          <w:color w:val="231F20"/>
          <w:spacing w:val="-11"/>
          <w:sz w:val="16"/>
        </w:rPr>
        <w:t> </w:t>
      </w:r>
      <w:r>
        <w:rPr>
          <w:color w:val="231F20"/>
          <w:sz w:val="16"/>
        </w:rPr>
        <w:t>of</w:t>
      </w:r>
      <w:r>
        <w:rPr>
          <w:color w:val="231F20"/>
          <w:spacing w:val="-11"/>
          <w:sz w:val="16"/>
        </w:rPr>
        <w:t> </w:t>
      </w:r>
      <w:r>
        <w:rPr>
          <w:color w:val="231F20"/>
          <w:sz w:val="16"/>
        </w:rPr>
        <w:t>Business,</w:t>
      </w:r>
      <w:r>
        <w:rPr>
          <w:color w:val="231F20"/>
          <w:spacing w:val="-11"/>
          <w:sz w:val="16"/>
        </w:rPr>
        <w:t> </w:t>
      </w:r>
      <w:r>
        <w:rPr>
          <w:color w:val="231F20"/>
          <w:sz w:val="16"/>
        </w:rPr>
        <w:t>George</w:t>
      </w:r>
      <w:r>
        <w:rPr>
          <w:color w:val="231F20"/>
          <w:spacing w:val="-11"/>
          <w:sz w:val="16"/>
        </w:rPr>
        <w:t> </w:t>
      </w:r>
      <w:r>
        <w:rPr>
          <w:color w:val="231F20"/>
          <w:sz w:val="16"/>
        </w:rPr>
        <w:t>Mason</w:t>
      </w:r>
      <w:r>
        <w:rPr>
          <w:color w:val="231F20"/>
          <w:spacing w:val="-11"/>
          <w:sz w:val="16"/>
        </w:rPr>
        <w:t> </w:t>
      </w:r>
      <w:r>
        <w:rPr>
          <w:color w:val="231F20"/>
          <w:sz w:val="16"/>
        </w:rPr>
        <w:t>University</w:t>
      </w:r>
      <w:r>
        <w:rPr>
          <w:color w:val="231F20"/>
          <w:spacing w:val="-11"/>
          <w:sz w:val="16"/>
        </w:rPr>
        <w:t> </w:t>
      </w:r>
      <w:r>
        <w:rPr>
          <w:rFonts w:ascii="Arial" w:hAnsi="Arial"/>
          <w:i/>
          <w:color w:val="231F20"/>
          <w:position w:val="6"/>
          <w:sz w:val="12"/>
        </w:rPr>
        <w:t>†</w:t>
      </w:r>
      <w:r>
        <w:rPr>
          <w:color w:val="231F20"/>
          <w:sz w:val="16"/>
        </w:rPr>
        <w:t>Merrick</w:t>
      </w:r>
      <w:r>
        <w:rPr>
          <w:color w:val="231F20"/>
          <w:spacing w:val="-11"/>
          <w:sz w:val="16"/>
        </w:rPr>
        <w:t> </w:t>
      </w:r>
      <w:r>
        <w:rPr>
          <w:color w:val="231F20"/>
          <w:sz w:val="16"/>
        </w:rPr>
        <w:t>School</w:t>
      </w:r>
      <w:r>
        <w:rPr>
          <w:color w:val="231F20"/>
          <w:spacing w:val="-11"/>
          <w:sz w:val="16"/>
        </w:rPr>
        <w:t> </w:t>
      </w:r>
      <w:r>
        <w:rPr>
          <w:color w:val="231F20"/>
          <w:sz w:val="16"/>
        </w:rPr>
        <w:t>of</w:t>
      </w:r>
      <w:r>
        <w:rPr>
          <w:color w:val="231F20"/>
          <w:spacing w:val="-11"/>
          <w:sz w:val="16"/>
        </w:rPr>
        <w:t> </w:t>
      </w:r>
      <w:r>
        <w:rPr>
          <w:color w:val="231F20"/>
          <w:sz w:val="16"/>
        </w:rPr>
        <w:t>Business,</w:t>
      </w:r>
      <w:r>
        <w:rPr>
          <w:color w:val="231F20"/>
          <w:spacing w:val="-11"/>
          <w:sz w:val="16"/>
        </w:rPr>
        <w:t> </w:t>
      </w:r>
      <w:r>
        <w:rPr>
          <w:color w:val="231F20"/>
          <w:sz w:val="16"/>
        </w:rPr>
        <w:t>University</w:t>
      </w:r>
      <w:r>
        <w:rPr>
          <w:color w:val="231F20"/>
          <w:spacing w:val="-11"/>
          <w:sz w:val="16"/>
        </w:rPr>
        <w:t> </w:t>
      </w:r>
      <w:r>
        <w:rPr>
          <w:color w:val="231F20"/>
          <w:sz w:val="16"/>
        </w:rPr>
        <w:t>of Baltimore.</w:t>
      </w:r>
    </w:p>
    <w:p>
      <w:pPr>
        <w:spacing w:before="1"/>
        <w:ind w:left="532" w:right="148" w:firstLine="241"/>
        <w:jc w:val="both"/>
        <w:rPr>
          <w:sz w:val="16"/>
        </w:rPr>
      </w:pPr>
      <w:r>
        <w:rPr>
          <w:color w:val="231F20"/>
          <w:sz w:val="16"/>
        </w:rPr>
        <w:t>Accepted by Christian Leuz. </w:t>
      </w:r>
      <w:r>
        <w:rPr>
          <w:color w:val="231F20"/>
          <w:spacing w:val="-5"/>
          <w:sz w:val="16"/>
        </w:rPr>
        <w:t>We </w:t>
      </w:r>
      <w:r>
        <w:rPr>
          <w:color w:val="231F20"/>
          <w:sz w:val="16"/>
        </w:rPr>
        <w:t>appreciate helpful comments from an anonymous ref- eree, Ron Allen, Bill </w:t>
      </w:r>
      <w:r>
        <w:rPr>
          <w:color w:val="231F20"/>
          <w:spacing w:val="-3"/>
          <w:sz w:val="16"/>
        </w:rPr>
        <w:t>Baber, </w:t>
      </w:r>
      <w:r>
        <w:rPr>
          <w:color w:val="231F20"/>
          <w:sz w:val="16"/>
        </w:rPr>
        <w:t>Augustine Duru, Keith Jones, Gopal Krishnan, </w:t>
      </w:r>
      <w:r>
        <w:rPr>
          <w:color w:val="231F20"/>
          <w:spacing w:val="-6"/>
          <w:sz w:val="16"/>
        </w:rPr>
        <w:t>Tao </w:t>
      </w:r>
      <w:r>
        <w:rPr>
          <w:color w:val="231F20"/>
          <w:sz w:val="16"/>
        </w:rPr>
        <w:t>Ma, Xiu-  min Martin, Sarah </w:t>
      </w:r>
      <w:r>
        <w:rPr>
          <w:color w:val="231F20"/>
          <w:spacing w:val="-3"/>
          <w:sz w:val="16"/>
        </w:rPr>
        <w:t>Nutter, </w:t>
      </w:r>
      <w:r>
        <w:rPr>
          <w:color w:val="231F20"/>
          <w:sz w:val="16"/>
        </w:rPr>
        <w:t>Sugata Roychowdhury, Partha Sengupta, Phil Shane, Min Shen, </w:t>
      </w:r>
      <w:r>
        <w:rPr>
          <w:color w:val="231F20"/>
          <w:w w:val="95"/>
          <w:sz w:val="16"/>
        </w:rPr>
        <w:t>Anup Srivastava, Gnanakumar Visvanathan, Regina Wittenberg-Moerman, Fei Xie, and work- </w:t>
      </w:r>
      <w:r>
        <w:rPr>
          <w:color w:val="231F20"/>
          <w:sz w:val="16"/>
        </w:rPr>
        <w:t>shop</w:t>
      </w:r>
      <w:r>
        <w:rPr>
          <w:color w:val="231F20"/>
          <w:spacing w:val="-9"/>
          <w:sz w:val="16"/>
        </w:rPr>
        <w:t> </w:t>
      </w:r>
      <w:r>
        <w:rPr>
          <w:color w:val="231F20"/>
          <w:sz w:val="16"/>
        </w:rPr>
        <w:t>participants</w:t>
      </w:r>
      <w:r>
        <w:rPr>
          <w:color w:val="231F20"/>
          <w:spacing w:val="-9"/>
          <w:sz w:val="16"/>
        </w:rPr>
        <w:t> </w:t>
      </w:r>
      <w:r>
        <w:rPr>
          <w:color w:val="231F20"/>
          <w:sz w:val="16"/>
        </w:rPr>
        <w:t>at</w:t>
      </w:r>
      <w:r>
        <w:rPr>
          <w:color w:val="231F20"/>
          <w:spacing w:val="-9"/>
          <w:sz w:val="16"/>
        </w:rPr>
        <w:t> </w:t>
      </w:r>
      <w:r>
        <w:rPr>
          <w:color w:val="231F20"/>
          <w:sz w:val="16"/>
        </w:rPr>
        <w:t>American</w:t>
      </w:r>
      <w:r>
        <w:rPr>
          <w:color w:val="231F20"/>
          <w:spacing w:val="-9"/>
          <w:sz w:val="16"/>
        </w:rPr>
        <w:t> </w:t>
      </w:r>
      <w:r>
        <w:rPr>
          <w:color w:val="231F20"/>
          <w:sz w:val="16"/>
        </w:rPr>
        <w:t>University,</w:t>
      </w:r>
      <w:r>
        <w:rPr>
          <w:color w:val="231F20"/>
          <w:spacing w:val="-9"/>
          <w:sz w:val="16"/>
        </w:rPr>
        <w:t> </w:t>
      </w:r>
      <w:r>
        <w:rPr>
          <w:color w:val="231F20"/>
          <w:sz w:val="16"/>
        </w:rPr>
        <w:t>George</w:t>
      </w:r>
      <w:r>
        <w:rPr>
          <w:color w:val="231F20"/>
          <w:spacing w:val="-9"/>
          <w:sz w:val="16"/>
        </w:rPr>
        <w:t> </w:t>
      </w:r>
      <w:r>
        <w:rPr>
          <w:color w:val="231F20"/>
          <w:sz w:val="16"/>
        </w:rPr>
        <w:t>Mason</w:t>
      </w:r>
      <w:r>
        <w:rPr>
          <w:color w:val="231F20"/>
          <w:spacing w:val="-9"/>
          <w:sz w:val="16"/>
        </w:rPr>
        <w:t> </w:t>
      </w:r>
      <w:r>
        <w:rPr>
          <w:color w:val="231F20"/>
          <w:sz w:val="16"/>
        </w:rPr>
        <w:t>University,</w:t>
      </w:r>
      <w:r>
        <w:rPr>
          <w:color w:val="231F20"/>
          <w:spacing w:val="-9"/>
          <w:sz w:val="16"/>
        </w:rPr>
        <w:t> </w:t>
      </w:r>
      <w:r>
        <w:rPr>
          <w:color w:val="231F20"/>
          <w:sz w:val="16"/>
        </w:rPr>
        <w:t>University</w:t>
      </w:r>
      <w:r>
        <w:rPr>
          <w:color w:val="231F20"/>
          <w:spacing w:val="-9"/>
          <w:sz w:val="16"/>
        </w:rPr>
        <w:t> </w:t>
      </w:r>
      <w:r>
        <w:rPr>
          <w:color w:val="231F20"/>
          <w:sz w:val="16"/>
        </w:rPr>
        <w:t>of</w:t>
      </w:r>
      <w:r>
        <w:rPr>
          <w:color w:val="231F20"/>
          <w:spacing w:val="-9"/>
          <w:sz w:val="16"/>
        </w:rPr>
        <w:t> </w:t>
      </w:r>
      <w:r>
        <w:rPr>
          <w:color w:val="231F20"/>
          <w:sz w:val="16"/>
        </w:rPr>
        <w:t>Illinois</w:t>
      </w:r>
      <w:r>
        <w:rPr>
          <w:color w:val="231F20"/>
          <w:spacing w:val="-9"/>
          <w:sz w:val="16"/>
        </w:rPr>
        <w:t> </w:t>
      </w:r>
      <w:r>
        <w:rPr>
          <w:color w:val="231F20"/>
          <w:sz w:val="16"/>
        </w:rPr>
        <w:t>at Chicago,</w:t>
      </w:r>
      <w:r>
        <w:rPr>
          <w:color w:val="231F20"/>
          <w:spacing w:val="-13"/>
          <w:sz w:val="16"/>
        </w:rPr>
        <w:t> </w:t>
      </w:r>
      <w:r>
        <w:rPr>
          <w:color w:val="231F20"/>
          <w:sz w:val="16"/>
        </w:rPr>
        <w:t>Suffolk</w:t>
      </w:r>
      <w:r>
        <w:rPr>
          <w:color w:val="231F20"/>
          <w:spacing w:val="-13"/>
          <w:sz w:val="16"/>
        </w:rPr>
        <w:t> </w:t>
      </w:r>
      <w:r>
        <w:rPr>
          <w:color w:val="231F20"/>
          <w:sz w:val="16"/>
        </w:rPr>
        <w:t>University,</w:t>
      </w:r>
      <w:r>
        <w:rPr>
          <w:color w:val="231F20"/>
          <w:spacing w:val="-13"/>
          <w:sz w:val="16"/>
        </w:rPr>
        <w:t> </w:t>
      </w:r>
      <w:r>
        <w:rPr>
          <w:color w:val="231F20"/>
          <w:sz w:val="16"/>
        </w:rPr>
        <w:t>and</w:t>
      </w:r>
      <w:r>
        <w:rPr>
          <w:color w:val="231F20"/>
          <w:spacing w:val="-13"/>
          <w:sz w:val="16"/>
        </w:rPr>
        <w:t> </w:t>
      </w:r>
      <w:r>
        <w:rPr>
          <w:color w:val="231F20"/>
          <w:sz w:val="16"/>
        </w:rPr>
        <w:t>2012</w:t>
      </w:r>
      <w:r>
        <w:rPr>
          <w:color w:val="231F20"/>
          <w:spacing w:val="-13"/>
          <w:sz w:val="16"/>
        </w:rPr>
        <w:t> </w:t>
      </w:r>
      <w:r>
        <w:rPr>
          <w:color w:val="231F20"/>
          <w:sz w:val="16"/>
        </w:rPr>
        <w:t>Virginia</w:t>
      </w:r>
      <w:r>
        <w:rPr>
          <w:color w:val="231F20"/>
          <w:spacing w:val="-13"/>
          <w:sz w:val="16"/>
        </w:rPr>
        <w:t> </w:t>
      </w:r>
      <w:r>
        <w:rPr>
          <w:color w:val="231F20"/>
          <w:sz w:val="16"/>
        </w:rPr>
        <w:t>Accounting</w:t>
      </w:r>
      <w:r>
        <w:rPr>
          <w:color w:val="231F20"/>
          <w:spacing w:val="-13"/>
          <w:sz w:val="16"/>
        </w:rPr>
        <w:t> </w:t>
      </w:r>
      <w:r>
        <w:rPr>
          <w:color w:val="231F20"/>
          <w:sz w:val="16"/>
        </w:rPr>
        <w:t>Research</w:t>
      </w:r>
      <w:r>
        <w:rPr>
          <w:color w:val="231F20"/>
          <w:spacing w:val="-13"/>
          <w:sz w:val="16"/>
        </w:rPr>
        <w:t> </w:t>
      </w:r>
      <w:r>
        <w:rPr>
          <w:color w:val="231F20"/>
          <w:sz w:val="16"/>
        </w:rPr>
        <w:t>Conference.</w:t>
      </w:r>
      <w:r>
        <w:rPr>
          <w:color w:val="231F20"/>
          <w:spacing w:val="-13"/>
          <w:sz w:val="16"/>
        </w:rPr>
        <w:t> </w:t>
      </w:r>
      <w:r>
        <w:rPr>
          <w:color w:val="231F20"/>
          <w:sz w:val="16"/>
        </w:rPr>
        <w:t>Long</w:t>
      </w:r>
      <w:r>
        <w:rPr>
          <w:color w:val="231F20"/>
          <w:spacing w:val="-13"/>
          <w:sz w:val="16"/>
        </w:rPr>
        <w:t> </w:t>
      </w:r>
      <w:r>
        <w:rPr>
          <w:color w:val="231F20"/>
          <w:sz w:val="16"/>
        </w:rPr>
        <w:t>Chen acknowledges the summer research grants from George Mason University’s Provost Office and School of Business. Mikhail Pevzner acknowledges the assistance of Ernst and Young Chair</w:t>
      </w:r>
      <w:r>
        <w:rPr>
          <w:color w:val="231F20"/>
          <w:spacing w:val="-15"/>
          <w:sz w:val="16"/>
        </w:rPr>
        <w:t> </w:t>
      </w:r>
      <w:r>
        <w:rPr>
          <w:color w:val="231F20"/>
          <w:sz w:val="16"/>
        </w:rPr>
        <w:t>in</w:t>
      </w:r>
      <w:r>
        <w:rPr>
          <w:color w:val="231F20"/>
          <w:spacing w:val="-15"/>
          <w:sz w:val="16"/>
        </w:rPr>
        <w:t> </w:t>
      </w:r>
      <w:r>
        <w:rPr>
          <w:color w:val="231F20"/>
          <w:sz w:val="16"/>
        </w:rPr>
        <w:t>Accounting</w:t>
      </w:r>
      <w:r>
        <w:rPr>
          <w:color w:val="231F20"/>
          <w:spacing w:val="-15"/>
          <w:sz w:val="16"/>
        </w:rPr>
        <w:t> </w:t>
      </w:r>
      <w:r>
        <w:rPr>
          <w:color w:val="231F20"/>
          <w:sz w:val="16"/>
        </w:rPr>
        <w:t>at</w:t>
      </w:r>
      <w:r>
        <w:rPr>
          <w:color w:val="231F20"/>
          <w:spacing w:val="-15"/>
          <w:sz w:val="16"/>
        </w:rPr>
        <w:t> </w:t>
      </w:r>
      <w:r>
        <w:rPr>
          <w:color w:val="231F20"/>
          <w:sz w:val="16"/>
        </w:rPr>
        <w:t>the</w:t>
      </w:r>
      <w:r>
        <w:rPr>
          <w:color w:val="231F20"/>
          <w:spacing w:val="-15"/>
          <w:sz w:val="16"/>
        </w:rPr>
        <w:t> </w:t>
      </w:r>
      <w:r>
        <w:rPr>
          <w:color w:val="231F20"/>
          <w:sz w:val="16"/>
        </w:rPr>
        <w:t>University</w:t>
      </w:r>
      <w:r>
        <w:rPr>
          <w:color w:val="231F20"/>
          <w:spacing w:val="-15"/>
          <w:sz w:val="16"/>
        </w:rPr>
        <w:t> </w:t>
      </w:r>
      <w:r>
        <w:rPr>
          <w:color w:val="231F20"/>
          <w:sz w:val="16"/>
        </w:rPr>
        <w:t>of</w:t>
      </w:r>
      <w:r>
        <w:rPr>
          <w:color w:val="231F20"/>
          <w:spacing w:val="-15"/>
          <w:sz w:val="16"/>
        </w:rPr>
        <w:t> </w:t>
      </w:r>
      <w:r>
        <w:rPr>
          <w:color w:val="231F20"/>
          <w:sz w:val="16"/>
        </w:rPr>
        <w:t>Baltimore.</w:t>
      </w:r>
      <w:r>
        <w:rPr>
          <w:color w:val="231F20"/>
          <w:spacing w:val="-15"/>
          <w:sz w:val="16"/>
        </w:rPr>
        <w:t> </w:t>
      </w:r>
      <w:r>
        <w:rPr>
          <w:color w:val="231F20"/>
          <w:spacing w:val="-5"/>
          <w:sz w:val="16"/>
        </w:rPr>
        <w:t>We</w:t>
      </w:r>
      <w:r>
        <w:rPr>
          <w:color w:val="231F20"/>
          <w:spacing w:val="-15"/>
          <w:sz w:val="16"/>
        </w:rPr>
        <w:t> </w:t>
      </w:r>
      <w:r>
        <w:rPr>
          <w:color w:val="231F20"/>
          <w:sz w:val="16"/>
        </w:rPr>
        <w:t>thank</w:t>
      </w:r>
      <w:r>
        <w:rPr>
          <w:color w:val="231F20"/>
          <w:spacing w:val="-15"/>
          <w:sz w:val="16"/>
        </w:rPr>
        <w:t> </w:t>
      </w:r>
      <w:r>
        <w:rPr>
          <w:color w:val="231F20"/>
          <w:sz w:val="16"/>
        </w:rPr>
        <w:t>Larry</w:t>
      </w:r>
      <w:r>
        <w:rPr>
          <w:color w:val="231F20"/>
          <w:spacing w:val="-15"/>
          <w:sz w:val="16"/>
        </w:rPr>
        <w:t> </w:t>
      </w:r>
      <w:r>
        <w:rPr>
          <w:color w:val="231F20"/>
          <w:sz w:val="16"/>
        </w:rPr>
        <w:t>Friedman</w:t>
      </w:r>
      <w:r>
        <w:rPr>
          <w:color w:val="231F20"/>
          <w:spacing w:val="-15"/>
          <w:sz w:val="16"/>
        </w:rPr>
        <w:t> </w:t>
      </w:r>
      <w:r>
        <w:rPr>
          <w:color w:val="231F20"/>
          <w:sz w:val="16"/>
        </w:rPr>
        <w:t>and</w:t>
      </w:r>
      <w:r>
        <w:rPr>
          <w:color w:val="231F20"/>
          <w:spacing w:val="-15"/>
          <w:sz w:val="16"/>
        </w:rPr>
        <w:t> </w:t>
      </w:r>
      <w:r>
        <w:rPr>
          <w:color w:val="231F20"/>
          <w:sz w:val="16"/>
        </w:rPr>
        <w:t>Hui</w:t>
      </w:r>
      <w:r>
        <w:rPr>
          <w:color w:val="231F20"/>
          <w:spacing w:val="-15"/>
          <w:sz w:val="16"/>
        </w:rPr>
        <w:t> </w:t>
      </w:r>
      <w:r>
        <w:rPr>
          <w:color w:val="231F20"/>
          <w:sz w:val="16"/>
        </w:rPr>
        <w:t>Zhang for their insights on corporate </w:t>
      </w:r>
      <w:r>
        <w:rPr>
          <w:color w:val="231F20"/>
          <w:spacing w:val="-3"/>
          <w:sz w:val="16"/>
        </w:rPr>
        <w:t>law. </w:t>
      </w:r>
      <w:r>
        <w:rPr>
          <w:color w:val="231F20"/>
          <w:sz w:val="16"/>
        </w:rPr>
        <w:t>An online appendix to this paper can be downloaded at </w:t>
      </w:r>
      <w:hyperlink r:id="rId9">
        <w:r>
          <w:rPr>
            <w:color w:val="231F20"/>
            <w:w w:val="95"/>
            <w:sz w:val="16"/>
          </w:rPr>
          <w:t>http://research.chicagobooth.edu/arc/journal-of-accounting-research/online-supplements.</w:t>
        </w:r>
      </w:hyperlink>
    </w:p>
    <w:p>
      <w:pPr>
        <w:spacing w:before="146"/>
        <w:ind w:left="495" w:right="115" w:firstLine="0"/>
        <w:jc w:val="center"/>
        <w:rPr>
          <w:sz w:val="16"/>
        </w:rPr>
      </w:pPr>
      <w:r>
        <w:rPr>
          <w:color w:val="231F20"/>
          <w:w w:val="105"/>
          <w:sz w:val="16"/>
        </w:rPr>
        <w:t>993</w:t>
      </w:r>
    </w:p>
    <w:p>
      <w:pPr>
        <w:spacing w:before="99"/>
        <w:ind w:left="1726" w:right="0" w:firstLine="0"/>
        <w:jc w:val="left"/>
        <w:rPr>
          <w:sz w:val="14"/>
        </w:rPr>
      </w:pPr>
      <w:r>
        <w:rPr>
          <w:color w:val="231F20"/>
          <w:w w:val="95"/>
          <w:sz w:val="14"/>
        </w:rPr>
        <w:t>Copyright</w:t>
      </w:r>
      <w:r>
        <w:rPr>
          <w:color w:val="231F20"/>
          <w:spacing w:val="0"/>
          <w:sz w:val="14"/>
        </w:rPr>
        <w:t> </w:t>
      </w:r>
      <w:r>
        <w:rPr>
          <w:rFonts w:ascii="Lucida Sans Unicode"/>
          <w:color w:val="231F20"/>
          <w:spacing w:val="-77"/>
          <w:w w:val="128"/>
          <w:position w:val="2"/>
          <w:sz w:val="10"/>
        </w:rPr>
        <w:t>Q</w:t>
      </w:r>
      <w:r>
        <w:rPr>
          <w:color w:val="231F20"/>
          <w:w w:val="106"/>
          <w:position w:val="2"/>
          <w:sz w:val="7"/>
        </w:rPr>
        <w:t>C</w:t>
      </w:r>
      <w:r>
        <w:rPr>
          <w:color w:val="231F20"/>
          <w:spacing w:val="-5"/>
          <w:position w:val="2"/>
          <w:sz w:val="7"/>
        </w:rPr>
        <w:t> </w:t>
      </w:r>
      <w:r>
        <w:rPr>
          <w:color w:val="231F20"/>
          <w:w w:val="103"/>
          <w:sz w:val="14"/>
        </w:rPr>
        <w:t>,</w:t>
      </w:r>
      <w:r>
        <w:rPr>
          <w:color w:val="231F20"/>
          <w:spacing w:val="0"/>
          <w:sz w:val="14"/>
        </w:rPr>
        <w:t> </w:t>
      </w:r>
      <w:r>
        <w:rPr>
          <w:color w:val="231F20"/>
          <w:spacing w:val="-1"/>
          <w:w w:val="99"/>
          <w:sz w:val="14"/>
        </w:rPr>
        <w:t>U</w:t>
      </w:r>
      <w:r>
        <w:rPr>
          <w:color w:val="231F20"/>
          <w:w w:val="91"/>
          <w:sz w:val="14"/>
        </w:rPr>
        <w:t>niversity</w:t>
      </w:r>
      <w:r>
        <w:rPr>
          <w:color w:val="231F20"/>
          <w:spacing w:val="0"/>
          <w:sz w:val="14"/>
        </w:rPr>
        <w:t> </w:t>
      </w:r>
      <w:r>
        <w:rPr>
          <w:color w:val="231F20"/>
          <w:w w:val="99"/>
          <w:sz w:val="14"/>
        </w:rPr>
        <w:t>of</w:t>
      </w:r>
      <w:r>
        <w:rPr>
          <w:color w:val="231F20"/>
          <w:spacing w:val="0"/>
          <w:sz w:val="14"/>
        </w:rPr>
        <w:t> </w:t>
      </w:r>
      <w:r>
        <w:rPr>
          <w:color w:val="231F20"/>
          <w:w w:val="98"/>
          <w:sz w:val="14"/>
        </w:rPr>
        <w:t>Chicago</w:t>
      </w:r>
      <w:r>
        <w:rPr>
          <w:color w:val="231F20"/>
          <w:spacing w:val="0"/>
          <w:sz w:val="14"/>
        </w:rPr>
        <w:t> </w:t>
      </w:r>
      <w:r>
        <w:rPr>
          <w:color w:val="231F20"/>
          <w:w w:val="102"/>
          <w:sz w:val="14"/>
        </w:rPr>
        <w:t>on</w:t>
      </w:r>
      <w:r>
        <w:rPr>
          <w:color w:val="231F20"/>
          <w:spacing w:val="0"/>
          <w:sz w:val="14"/>
        </w:rPr>
        <w:t> </w:t>
      </w:r>
      <w:r>
        <w:rPr>
          <w:color w:val="231F20"/>
          <w:w w:val="99"/>
          <w:sz w:val="14"/>
        </w:rPr>
        <w:t>behalf</w:t>
      </w:r>
      <w:r>
        <w:rPr>
          <w:color w:val="231F20"/>
          <w:spacing w:val="0"/>
          <w:sz w:val="14"/>
        </w:rPr>
        <w:t> </w:t>
      </w:r>
      <w:r>
        <w:rPr>
          <w:color w:val="231F20"/>
          <w:w w:val="99"/>
          <w:sz w:val="14"/>
        </w:rPr>
        <w:t>of</w:t>
      </w:r>
      <w:r>
        <w:rPr>
          <w:color w:val="231F20"/>
          <w:spacing w:val="0"/>
          <w:sz w:val="14"/>
        </w:rPr>
        <w:t> </w:t>
      </w:r>
      <w:r>
        <w:rPr>
          <w:color w:val="231F20"/>
          <w:w w:val="101"/>
          <w:sz w:val="14"/>
        </w:rPr>
        <w:t>the</w:t>
      </w:r>
      <w:r>
        <w:rPr>
          <w:color w:val="231F20"/>
          <w:spacing w:val="0"/>
          <w:sz w:val="14"/>
        </w:rPr>
        <w:t> </w:t>
      </w:r>
      <w:r>
        <w:rPr>
          <w:color w:val="231F20"/>
          <w:w w:val="97"/>
          <w:sz w:val="14"/>
        </w:rPr>
        <w:t>Accounting</w:t>
      </w:r>
      <w:r>
        <w:rPr>
          <w:color w:val="231F20"/>
          <w:spacing w:val="0"/>
          <w:sz w:val="14"/>
        </w:rPr>
        <w:t> </w:t>
      </w:r>
      <w:r>
        <w:rPr>
          <w:color w:val="231F20"/>
          <w:w w:val="99"/>
          <w:sz w:val="14"/>
        </w:rPr>
        <w:t>Research</w:t>
      </w:r>
      <w:r>
        <w:rPr>
          <w:color w:val="231F20"/>
          <w:spacing w:val="0"/>
          <w:sz w:val="14"/>
        </w:rPr>
        <w:t> </w:t>
      </w:r>
      <w:r>
        <w:rPr>
          <w:color w:val="231F20"/>
          <w:w w:val="95"/>
          <w:sz w:val="14"/>
        </w:rPr>
        <w:t>C</w:t>
      </w:r>
      <w:r>
        <w:rPr>
          <w:color w:val="231F20"/>
          <w:w w:val="102"/>
          <w:sz w:val="14"/>
        </w:rPr>
        <w:t>ente</w:t>
      </w:r>
      <w:r>
        <w:rPr>
          <w:color w:val="231F20"/>
          <w:spacing w:val="-12"/>
          <w:w w:val="102"/>
          <w:sz w:val="14"/>
        </w:rPr>
        <w:t>r</w:t>
      </w:r>
      <w:r>
        <w:rPr>
          <w:color w:val="231F20"/>
          <w:w w:val="103"/>
          <w:sz w:val="14"/>
        </w:rPr>
        <w:t>,</w:t>
      </w:r>
      <w:r>
        <w:rPr>
          <w:color w:val="231F20"/>
          <w:spacing w:val="0"/>
          <w:sz w:val="14"/>
        </w:rPr>
        <w:t> </w:t>
      </w:r>
      <w:r>
        <w:rPr>
          <w:color w:val="231F20"/>
          <w:w w:val="103"/>
          <w:sz w:val="14"/>
        </w:rPr>
        <w:t>2014</w:t>
      </w:r>
    </w:p>
    <w:p>
      <w:pPr>
        <w:spacing w:after="0"/>
        <w:jc w:val="left"/>
        <w:rPr>
          <w:sz w:val="14"/>
        </w:rPr>
        <w:sectPr>
          <w:type w:val="continuous"/>
          <w:pgSz w:w="9720" w:h="14400"/>
          <w:pgMar w:top="40" w:bottom="280" w:left="1280" w:right="1300"/>
        </w:sectPr>
      </w:pPr>
    </w:p>
    <w:p>
      <w:pPr>
        <w:spacing w:line="235" w:lineRule="auto" w:before="194"/>
        <w:ind w:left="401" w:right="758" w:firstLine="0"/>
        <w:jc w:val="both"/>
        <w:rPr>
          <w:sz w:val="18"/>
        </w:rPr>
      </w:pPr>
      <w:r>
        <w:rPr>
          <w:sz w:val="18"/>
        </w:rPr>
        <w:t>measures of conservatism and near insolvency status, and controlling for potential confounding factors and other stakeholders’ demand for conser- vatism.</w:t>
      </w:r>
      <w:r>
        <w:rPr>
          <w:spacing w:val="-13"/>
          <w:sz w:val="18"/>
        </w:rPr>
        <w:t> </w:t>
      </w:r>
      <w:r>
        <w:rPr>
          <w:sz w:val="18"/>
        </w:rPr>
        <w:t>Overall,</w:t>
      </w:r>
      <w:r>
        <w:rPr>
          <w:spacing w:val="-13"/>
          <w:sz w:val="18"/>
        </w:rPr>
        <w:t> </w:t>
      </w:r>
      <w:r>
        <w:rPr>
          <w:sz w:val="18"/>
        </w:rPr>
        <w:t>our</w:t>
      </w:r>
      <w:r>
        <w:rPr>
          <w:spacing w:val="-13"/>
          <w:sz w:val="18"/>
        </w:rPr>
        <w:t> </w:t>
      </w:r>
      <w:r>
        <w:rPr>
          <w:sz w:val="18"/>
        </w:rPr>
        <w:t>study</w:t>
      </w:r>
      <w:r>
        <w:rPr>
          <w:spacing w:val="-13"/>
          <w:sz w:val="18"/>
        </w:rPr>
        <w:t> </w:t>
      </w:r>
      <w:r>
        <w:rPr>
          <w:sz w:val="18"/>
        </w:rPr>
        <w:t>provides</w:t>
      </w:r>
      <w:r>
        <w:rPr>
          <w:spacing w:val="-13"/>
          <w:sz w:val="18"/>
        </w:rPr>
        <w:t> </w:t>
      </w:r>
      <w:r>
        <w:rPr>
          <w:sz w:val="18"/>
        </w:rPr>
        <w:t>empirical</w:t>
      </w:r>
      <w:r>
        <w:rPr>
          <w:spacing w:val="-13"/>
          <w:sz w:val="18"/>
        </w:rPr>
        <w:t> </w:t>
      </w:r>
      <w:r>
        <w:rPr>
          <w:sz w:val="18"/>
        </w:rPr>
        <w:t>evidence</w:t>
      </w:r>
      <w:r>
        <w:rPr>
          <w:spacing w:val="-13"/>
          <w:sz w:val="18"/>
        </w:rPr>
        <w:t> </w:t>
      </w:r>
      <w:r>
        <w:rPr>
          <w:sz w:val="18"/>
        </w:rPr>
        <w:t>to</w:t>
      </w:r>
      <w:r>
        <w:rPr>
          <w:spacing w:val="-13"/>
          <w:sz w:val="18"/>
        </w:rPr>
        <w:t> </w:t>
      </w:r>
      <w:r>
        <w:rPr>
          <w:sz w:val="18"/>
        </w:rPr>
        <w:t>support</w:t>
      </w:r>
      <w:r>
        <w:rPr>
          <w:spacing w:val="-13"/>
          <w:sz w:val="18"/>
        </w:rPr>
        <w:t> </w:t>
      </w:r>
      <w:r>
        <w:rPr>
          <w:sz w:val="18"/>
        </w:rPr>
        <w:t>the</w:t>
      </w:r>
      <w:r>
        <w:rPr>
          <w:spacing w:val="-13"/>
          <w:sz w:val="18"/>
        </w:rPr>
        <w:t> </w:t>
      </w:r>
      <w:r>
        <w:rPr>
          <w:sz w:val="18"/>
        </w:rPr>
        <w:t>causal relation between debtholders’ demand and accounting conservatism</w:t>
      </w:r>
      <w:r>
        <w:rPr>
          <w:spacing w:val="-4"/>
          <w:sz w:val="18"/>
        </w:rPr>
        <w:t> </w:t>
      </w:r>
      <w:r>
        <w:rPr>
          <w:sz w:val="18"/>
        </w:rPr>
        <w:t>previ- ously</w:t>
      </w:r>
      <w:r>
        <w:rPr>
          <w:spacing w:val="-10"/>
          <w:sz w:val="18"/>
        </w:rPr>
        <w:t> </w:t>
      </w:r>
      <w:r>
        <w:rPr>
          <w:sz w:val="18"/>
        </w:rPr>
        <w:t>suggested</w:t>
      </w:r>
      <w:r>
        <w:rPr>
          <w:spacing w:val="-10"/>
          <w:sz w:val="18"/>
        </w:rPr>
        <w:t> </w:t>
      </w:r>
      <w:r>
        <w:rPr>
          <w:sz w:val="18"/>
        </w:rPr>
        <w:t>in</w:t>
      </w:r>
      <w:r>
        <w:rPr>
          <w:spacing w:val="-10"/>
          <w:sz w:val="18"/>
        </w:rPr>
        <w:t> </w:t>
      </w:r>
      <w:r>
        <w:rPr>
          <w:sz w:val="18"/>
        </w:rPr>
        <w:t>the</w:t>
      </w:r>
      <w:r>
        <w:rPr>
          <w:spacing w:val="-10"/>
          <w:sz w:val="18"/>
        </w:rPr>
        <w:t> </w:t>
      </w:r>
      <w:r>
        <w:rPr>
          <w:sz w:val="18"/>
        </w:rPr>
        <w:t>literature,</w:t>
      </w:r>
      <w:r>
        <w:rPr>
          <w:spacing w:val="-10"/>
          <w:sz w:val="18"/>
        </w:rPr>
        <w:t> </w:t>
      </w:r>
      <w:r>
        <w:rPr>
          <w:sz w:val="18"/>
        </w:rPr>
        <w:t>and</w:t>
      </w:r>
      <w:r>
        <w:rPr>
          <w:spacing w:val="-9"/>
          <w:sz w:val="18"/>
        </w:rPr>
        <w:t> </w:t>
      </w:r>
      <w:r>
        <w:rPr>
          <w:sz w:val="18"/>
        </w:rPr>
        <w:t>offers</w:t>
      </w:r>
      <w:r>
        <w:rPr>
          <w:spacing w:val="-10"/>
          <w:sz w:val="18"/>
        </w:rPr>
        <w:t> </w:t>
      </w:r>
      <w:r>
        <w:rPr>
          <w:sz w:val="18"/>
        </w:rPr>
        <w:t>some</w:t>
      </w:r>
      <w:r>
        <w:rPr>
          <w:spacing w:val="-10"/>
          <w:sz w:val="18"/>
        </w:rPr>
        <w:t> </w:t>
      </w:r>
      <w:r>
        <w:rPr>
          <w:sz w:val="18"/>
        </w:rPr>
        <w:t>insights</w:t>
      </w:r>
      <w:r>
        <w:rPr>
          <w:spacing w:val="-10"/>
          <w:sz w:val="18"/>
        </w:rPr>
        <w:t> </w:t>
      </w:r>
      <w:r>
        <w:rPr>
          <w:sz w:val="18"/>
        </w:rPr>
        <w:t>into</w:t>
      </w:r>
      <w:r>
        <w:rPr>
          <w:spacing w:val="-10"/>
          <w:sz w:val="18"/>
        </w:rPr>
        <w:t> </w:t>
      </w:r>
      <w:r>
        <w:rPr>
          <w:sz w:val="18"/>
        </w:rPr>
        <w:t>the</w:t>
      </w:r>
      <w:r>
        <w:rPr>
          <w:spacing w:val="-10"/>
          <w:sz w:val="18"/>
        </w:rPr>
        <w:t> </w:t>
      </w:r>
      <w:r>
        <w:rPr>
          <w:sz w:val="18"/>
        </w:rPr>
        <w:t>role</w:t>
      </w:r>
      <w:r>
        <w:rPr>
          <w:spacing w:val="-10"/>
          <w:sz w:val="18"/>
        </w:rPr>
        <w:t> </w:t>
      </w:r>
      <w:r>
        <w:rPr>
          <w:sz w:val="18"/>
        </w:rPr>
        <w:t>of</w:t>
      </w:r>
      <w:r>
        <w:rPr>
          <w:spacing w:val="-10"/>
          <w:sz w:val="18"/>
        </w:rPr>
        <w:t> </w:t>
      </w:r>
      <w:r>
        <w:rPr>
          <w:sz w:val="18"/>
        </w:rPr>
        <w:t>the board of directors in financial</w:t>
      </w:r>
      <w:r>
        <w:rPr>
          <w:spacing w:val="1"/>
          <w:sz w:val="18"/>
        </w:rPr>
        <w:t> </w:t>
      </w:r>
      <w:r>
        <w:rPr>
          <w:sz w:val="18"/>
        </w:rPr>
        <w:t>reporting.</w:t>
      </w:r>
    </w:p>
    <w:p>
      <w:pPr>
        <w:spacing w:before="177"/>
        <w:ind w:left="162" w:right="0" w:firstLine="0"/>
        <w:jc w:val="left"/>
        <w:rPr>
          <w:sz w:val="20"/>
        </w:rPr>
      </w:pPr>
      <w:r>
        <w:rPr>
          <w:rFonts w:ascii="Times New Roman"/>
          <w:b/>
          <w:sz w:val="20"/>
        </w:rPr>
        <w:t>JEL codes: </w:t>
      </w:r>
      <w:r>
        <w:rPr>
          <w:sz w:val="20"/>
        </w:rPr>
        <w:t>M41; G34; K20</w:t>
      </w:r>
    </w:p>
    <w:p>
      <w:pPr>
        <w:pStyle w:val="BodyText"/>
        <w:spacing w:line="230" w:lineRule="auto" w:before="98"/>
        <w:ind w:left="162" w:right="428"/>
      </w:pPr>
      <w:r>
        <w:rPr>
          <w:rFonts w:ascii="Times New Roman"/>
          <w:b/>
        </w:rPr>
        <w:t>Keywords: </w:t>
      </w:r>
      <w:r>
        <w:rPr/>
        <w:t>Conservatism; fiduciary duties; near insolvency; board governance</w:t>
      </w:r>
    </w:p>
    <w:p>
      <w:pPr>
        <w:pStyle w:val="BodyText"/>
      </w:pPr>
    </w:p>
    <w:p>
      <w:pPr>
        <w:pStyle w:val="Heading1"/>
        <w:numPr>
          <w:ilvl w:val="0"/>
          <w:numId w:val="1"/>
        </w:numPr>
        <w:tabs>
          <w:tab w:pos="474" w:val="left" w:leader="none"/>
        </w:tabs>
        <w:spacing w:line="240" w:lineRule="auto" w:before="1" w:after="0"/>
        <w:ind w:left="473" w:right="0" w:hanging="311"/>
        <w:jc w:val="left"/>
        <w:rPr>
          <w:i/>
        </w:rPr>
      </w:pPr>
      <w:r>
        <w:rPr>
          <w:i/>
        </w:rPr>
        <w:t>Introduction</w:t>
      </w:r>
    </w:p>
    <w:p>
      <w:pPr>
        <w:pStyle w:val="BodyText"/>
        <w:spacing w:line="230" w:lineRule="auto" w:before="146"/>
        <w:ind w:left="162" w:right="519"/>
        <w:jc w:val="both"/>
      </w:pPr>
      <w:r>
        <w:rPr/>
        <w:t>Research on accounting conservatism posits that demand from lenders is the</w:t>
      </w:r>
      <w:r>
        <w:rPr>
          <w:spacing w:val="-6"/>
        </w:rPr>
        <w:t> </w:t>
      </w:r>
      <w:r>
        <w:rPr/>
        <w:t>main</w:t>
      </w:r>
      <w:r>
        <w:rPr>
          <w:spacing w:val="-6"/>
        </w:rPr>
        <w:t> </w:t>
      </w:r>
      <w:r>
        <w:rPr/>
        <w:t>reason</w:t>
      </w:r>
      <w:r>
        <w:rPr>
          <w:spacing w:val="-6"/>
        </w:rPr>
        <w:t> </w:t>
      </w:r>
      <w:r>
        <w:rPr/>
        <w:t>why</w:t>
      </w:r>
      <w:r>
        <w:rPr>
          <w:spacing w:val="-6"/>
        </w:rPr>
        <w:t> </w:t>
      </w:r>
      <w:r>
        <w:rPr/>
        <w:t>firms</w:t>
      </w:r>
      <w:r>
        <w:rPr>
          <w:spacing w:val="-6"/>
        </w:rPr>
        <w:t> </w:t>
      </w:r>
      <w:r>
        <w:rPr/>
        <w:t>adopt</w:t>
      </w:r>
      <w:r>
        <w:rPr>
          <w:spacing w:val="-6"/>
        </w:rPr>
        <w:t> </w:t>
      </w:r>
      <w:r>
        <w:rPr/>
        <w:t>conservative</w:t>
      </w:r>
      <w:r>
        <w:rPr>
          <w:spacing w:val="-6"/>
        </w:rPr>
        <w:t> </w:t>
      </w:r>
      <w:r>
        <w:rPr/>
        <w:t>accounting</w:t>
      </w:r>
      <w:r>
        <w:rPr>
          <w:spacing w:val="-6"/>
        </w:rPr>
        <w:t> </w:t>
      </w:r>
      <w:r>
        <w:rPr/>
        <w:t>policies</w:t>
      </w:r>
      <w:r>
        <w:rPr>
          <w:spacing w:val="-6"/>
        </w:rPr>
        <w:t> </w:t>
      </w:r>
      <w:r>
        <w:rPr>
          <w:spacing w:val="-3"/>
        </w:rPr>
        <w:t>(Watts </w:t>
      </w:r>
      <w:r>
        <w:rPr/>
        <w:t>[2003]).</w:t>
      </w:r>
      <w:r>
        <w:rPr>
          <w:spacing w:val="-9"/>
        </w:rPr>
        <w:t> </w:t>
      </w:r>
      <w:r>
        <w:rPr/>
        <w:t>Supporting</w:t>
      </w:r>
      <w:r>
        <w:rPr>
          <w:spacing w:val="-9"/>
        </w:rPr>
        <w:t> </w:t>
      </w:r>
      <w:r>
        <w:rPr/>
        <w:t>evidence</w:t>
      </w:r>
      <w:r>
        <w:rPr>
          <w:spacing w:val="-9"/>
        </w:rPr>
        <w:t> </w:t>
      </w:r>
      <w:r>
        <w:rPr/>
        <w:t>for</w:t>
      </w:r>
      <w:r>
        <w:rPr>
          <w:spacing w:val="-9"/>
        </w:rPr>
        <w:t> </w:t>
      </w:r>
      <w:r>
        <w:rPr/>
        <w:t>this</w:t>
      </w:r>
      <w:r>
        <w:rPr>
          <w:spacing w:val="-9"/>
        </w:rPr>
        <w:t> </w:t>
      </w:r>
      <w:r>
        <w:rPr/>
        <w:t>conjecture</w:t>
      </w:r>
      <w:r>
        <w:rPr>
          <w:spacing w:val="-9"/>
        </w:rPr>
        <w:t> </w:t>
      </w:r>
      <w:r>
        <w:rPr/>
        <w:t>is</w:t>
      </w:r>
      <w:r>
        <w:rPr>
          <w:spacing w:val="-9"/>
        </w:rPr>
        <w:t> </w:t>
      </w:r>
      <w:r>
        <w:rPr/>
        <w:t>primarily</w:t>
      </w:r>
      <w:r>
        <w:rPr>
          <w:spacing w:val="-9"/>
        </w:rPr>
        <w:t> </w:t>
      </w:r>
      <w:r>
        <w:rPr/>
        <w:t>based</w:t>
      </w:r>
      <w:r>
        <w:rPr>
          <w:spacing w:val="-9"/>
        </w:rPr>
        <w:t> </w:t>
      </w:r>
      <w:r>
        <w:rPr/>
        <w:t>on</w:t>
      </w:r>
      <w:r>
        <w:rPr>
          <w:spacing w:val="-9"/>
        </w:rPr>
        <w:t> </w:t>
      </w:r>
      <w:r>
        <w:rPr/>
        <w:t>doc- umented</w:t>
      </w:r>
      <w:r>
        <w:rPr>
          <w:spacing w:val="-18"/>
        </w:rPr>
        <w:t> </w:t>
      </w:r>
      <w:r>
        <w:rPr/>
        <w:t>associations</w:t>
      </w:r>
      <w:r>
        <w:rPr>
          <w:spacing w:val="-18"/>
        </w:rPr>
        <w:t> </w:t>
      </w:r>
      <w:r>
        <w:rPr/>
        <w:t>between</w:t>
      </w:r>
      <w:r>
        <w:rPr>
          <w:spacing w:val="-18"/>
        </w:rPr>
        <w:t> </w:t>
      </w:r>
      <w:r>
        <w:rPr/>
        <w:t>conservatism</w:t>
      </w:r>
      <w:r>
        <w:rPr>
          <w:spacing w:val="-18"/>
        </w:rPr>
        <w:t> </w:t>
      </w:r>
      <w:r>
        <w:rPr/>
        <w:t>and</w:t>
      </w:r>
      <w:r>
        <w:rPr>
          <w:spacing w:val="-18"/>
        </w:rPr>
        <w:t> </w:t>
      </w:r>
      <w:r>
        <w:rPr/>
        <w:t>various</w:t>
      </w:r>
      <w:r>
        <w:rPr>
          <w:spacing w:val="-18"/>
        </w:rPr>
        <w:t> </w:t>
      </w:r>
      <w:r>
        <w:rPr/>
        <w:t>characteristics</w:t>
      </w:r>
      <w:r>
        <w:rPr>
          <w:spacing w:val="-18"/>
        </w:rPr>
        <w:t> </w:t>
      </w:r>
      <w:r>
        <w:rPr/>
        <w:t>of debt contracting (e.g., Ahmed et al. [2002], Ball and Shivakumar [2005], </w:t>
      </w:r>
      <w:r>
        <w:rPr>
          <w:spacing w:val="-3"/>
        </w:rPr>
        <w:t>Beatty, </w:t>
      </w:r>
      <w:r>
        <w:rPr>
          <w:spacing w:val="-5"/>
        </w:rPr>
        <w:t>Weber,  </w:t>
      </w:r>
      <w:r>
        <w:rPr/>
        <w:t>and </w:t>
      </w:r>
      <w:r>
        <w:rPr>
          <w:spacing w:val="-4"/>
        </w:rPr>
        <w:t>Yu  </w:t>
      </w:r>
      <w:r>
        <w:rPr/>
        <w:t>[2008], Zhang [2008]), but most of them are not  of</w:t>
      </w:r>
      <w:r>
        <w:rPr>
          <w:spacing w:val="-7"/>
        </w:rPr>
        <w:t> </w:t>
      </w:r>
      <w:r>
        <w:rPr/>
        <w:t>a</w:t>
      </w:r>
      <w:r>
        <w:rPr>
          <w:spacing w:val="-7"/>
        </w:rPr>
        <w:t> </w:t>
      </w:r>
      <w:r>
        <w:rPr/>
        <w:t>causal</w:t>
      </w:r>
      <w:r>
        <w:rPr>
          <w:spacing w:val="-7"/>
        </w:rPr>
        <w:t> </w:t>
      </w:r>
      <w:r>
        <w:rPr/>
        <w:t>nature,</w:t>
      </w:r>
      <w:r>
        <w:rPr>
          <w:spacing w:val="-6"/>
        </w:rPr>
        <w:t> </w:t>
      </w:r>
      <w:r>
        <w:rPr/>
        <w:t>raising</w:t>
      </w:r>
      <w:r>
        <w:rPr>
          <w:spacing w:val="-7"/>
        </w:rPr>
        <w:t> </w:t>
      </w:r>
      <w:r>
        <w:rPr/>
        <w:t>the</w:t>
      </w:r>
      <w:r>
        <w:rPr>
          <w:spacing w:val="-7"/>
        </w:rPr>
        <w:t> </w:t>
      </w:r>
      <w:r>
        <w:rPr/>
        <w:t>question</w:t>
      </w:r>
      <w:r>
        <w:rPr>
          <w:spacing w:val="-7"/>
        </w:rPr>
        <w:t> </w:t>
      </w:r>
      <w:r>
        <w:rPr/>
        <w:t>of</w:t>
      </w:r>
      <w:r>
        <w:rPr>
          <w:spacing w:val="-7"/>
        </w:rPr>
        <w:t> </w:t>
      </w:r>
      <w:r>
        <w:rPr/>
        <w:t>whether</w:t>
      </w:r>
      <w:r>
        <w:rPr>
          <w:spacing w:val="-6"/>
        </w:rPr>
        <w:t> </w:t>
      </w:r>
      <w:r>
        <w:rPr/>
        <w:t>conservatism</w:t>
      </w:r>
      <w:r>
        <w:rPr>
          <w:spacing w:val="-7"/>
        </w:rPr>
        <w:t> </w:t>
      </w:r>
      <w:r>
        <w:rPr/>
        <w:t>is</w:t>
      </w:r>
      <w:r>
        <w:rPr>
          <w:spacing w:val="-7"/>
        </w:rPr>
        <w:t> </w:t>
      </w:r>
      <w:r>
        <w:rPr/>
        <w:t>indeed demanded</w:t>
      </w:r>
      <w:r>
        <w:rPr>
          <w:spacing w:val="-25"/>
        </w:rPr>
        <w:t> </w:t>
      </w:r>
      <w:r>
        <w:rPr/>
        <w:t>by</w:t>
      </w:r>
      <w:r>
        <w:rPr>
          <w:spacing w:val="-25"/>
        </w:rPr>
        <w:t> </w:t>
      </w:r>
      <w:r>
        <w:rPr/>
        <w:t>debtholders.</w:t>
      </w:r>
      <w:r>
        <w:rPr>
          <w:spacing w:val="-25"/>
        </w:rPr>
        <w:t> </w:t>
      </w:r>
      <w:r>
        <w:rPr/>
        <w:t>Moreover,</w:t>
      </w:r>
      <w:r>
        <w:rPr>
          <w:spacing w:val="-25"/>
        </w:rPr>
        <w:t> </w:t>
      </w:r>
      <w:r>
        <w:rPr/>
        <w:t>conservatism</w:t>
      </w:r>
      <w:r>
        <w:rPr>
          <w:spacing w:val="-25"/>
        </w:rPr>
        <w:t> </w:t>
      </w:r>
      <w:r>
        <w:rPr/>
        <w:t>could</w:t>
      </w:r>
      <w:r>
        <w:rPr>
          <w:spacing w:val="-25"/>
        </w:rPr>
        <w:t> </w:t>
      </w:r>
      <w:r>
        <w:rPr/>
        <w:t>also</w:t>
      </w:r>
      <w:r>
        <w:rPr>
          <w:spacing w:val="-25"/>
        </w:rPr>
        <w:t> </w:t>
      </w:r>
      <w:r>
        <w:rPr/>
        <w:t>be</w:t>
      </w:r>
      <w:r>
        <w:rPr>
          <w:spacing w:val="-25"/>
        </w:rPr>
        <w:t> </w:t>
      </w:r>
      <w:r>
        <w:rPr/>
        <w:t>excessive and thus inefficient for firms and even detrimental to debtholders, which appears to conflict with the presumption that debtholders would always demand</w:t>
      </w:r>
      <w:r>
        <w:rPr>
          <w:spacing w:val="-6"/>
        </w:rPr>
        <w:t> </w:t>
      </w:r>
      <w:r>
        <w:rPr/>
        <w:t>conservatism.</w:t>
      </w:r>
      <w:r>
        <w:rPr>
          <w:spacing w:val="-6"/>
        </w:rPr>
        <w:t> </w:t>
      </w:r>
      <w:r>
        <w:rPr/>
        <w:t>For</w:t>
      </w:r>
      <w:r>
        <w:rPr>
          <w:spacing w:val="-6"/>
        </w:rPr>
        <w:t> </w:t>
      </w:r>
      <w:r>
        <w:rPr/>
        <w:t>instance,</w:t>
      </w:r>
      <w:r>
        <w:rPr>
          <w:spacing w:val="-6"/>
        </w:rPr>
        <w:t> </w:t>
      </w:r>
      <w:r>
        <w:rPr/>
        <w:t>too</w:t>
      </w:r>
      <w:r>
        <w:rPr>
          <w:spacing w:val="-6"/>
        </w:rPr>
        <w:t> </w:t>
      </w:r>
      <w:r>
        <w:rPr/>
        <w:t>much</w:t>
      </w:r>
      <w:r>
        <w:rPr>
          <w:spacing w:val="-6"/>
        </w:rPr>
        <w:t> </w:t>
      </w:r>
      <w:r>
        <w:rPr/>
        <w:t>conservatism</w:t>
      </w:r>
      <w:r>
        <w:rPr>
          <w:spacing w:val="-6"/>
        </w:rPr>
        <w:t> </w:t>
      </w:r>
      <w:r>
        <w:rPr/>
        <w:t>may</w:t>
      </w:r>
      <w:r>
        <w:rPr>
          <w:spacing w:val="-6"/>
        </w:rPr>
        <w:t> </w:t>
      </w:r>
      <w:r>
        <w:rPr/>
        <w:t>result</w:t>
      </w:r>
      <w:r>
        <w:rPr>
          <w:spacing w:val="-6"/>
        </w:rPr>
        <w:t> </w:t>
      </w:r>
      <w:r>
        <w:rPr/>
        <w:t>in tighter debt covenants leading to premature transfer of decision rights to debtholders,</w:t>
      </w:r>
      <w:r>
        <w:rPr>
          <w:spacing w:val="-23"/>
        </w:rPr>
        <w:t> </w:t>
      </w:r>
      <w:r>
        <w:rPr/>
        <w:t>which</w:t>
      </w:r>
      <w:r>
        <w:rPr>
          <w:spacing w:val="-23"/>
        </w:rPr>
        <w:t> </w:t>
      </w:r>
      <w:r>
        <w:rPr/>
        <w:t>might</w:t>
      </w:r>
      <w:r>
        <w:rPr>
          <w:spacing w:val="-23"/>
        </w:rPr>
        <w:t> </w:t>
      </w:r>
      <w:r>
        <w:rPr/>
        <w:t>unduly</w:t>
      </w:r>
      <w:r>
        <w:rPr>
          <w:spacing w:val="-23"/>
        </w:rPr>
        <w:t> </w:t>
      </w:r>
      <w:r>
        <w:rPr/>
        <w:t>constrain</w:t>
      </w:r>
      <w:r>
        <w:rPr>
          <w:spacing w:val="-23"/>
        </w:rPr>
        <w:t> </w:t>
      </w:r>
      <w:r>
        <w:rPr/>
        <w:t>a</w:t>
      </w:r>
      <w:r>
        <w:rPr>
          <w:spacing w:val="-23"/>
        </w:rPr>
        <w:t> </w:t>
      </w:r>
      <w:r>
        <w:rPr/>
        <w:t>firm’s</w:t>
      </w:r>
      <w:r>
        <w:rPr>
          <w:spacing w:val="-23"/>
        </w:rPr>
        <w:t> </w:t>
      </w:r>
      <w:r>
        <w:rPr/>
        <w:t>investment</w:t>
      </w:r>
      <w:r>
        <w:rPr>
          <w:spacing w:val="-23"/>
        </w:rPr>
        <w:t> </w:t>
      </w:r>
      <w:r>
        <w:rPr/>
        <w:t>and</w:t>
      </w:r>
      <w:r>
        <w:rPr>
          <w:spacing w:val="-23"/>
        </w:rPr>
        <w:t> </w:t>
      </w:r>
      <w:r>
        <w:rPr/>
        <w:t>financ- ing policies (Leuz [2001]). Also, excessive conservatism may allow man- agers</w:t>
      </w:r>
      <w:r>
        <w:rPr>
          <w:spacing w:val="-13"/>
        </w:rPr>
        <w:t> </w:t>
      </w:r>
      <w:r>
        <w:rPr/>
        <w:t>to</w:t>
      </w:r>
      <w:r>
        <w:rPr>
          <w:spacing w:val="-12"/>
        </w:rPr>
        <w:t> </w:t>
      </w:r>
      <w:r>
        <w:rPr/>
        <w:t>create</w:t>
      </w:r>
      <w:r>
        <w:rPr>
          <w:spacing w:val="-12"/>
        </w:rPr>
        <w:t> </w:t>
      </w:r>
      <w:r>
        <w:rPr/>
        <w:t>hidden</w:t>
      </w:r>
      <w:r>
        <w:rPr>
          <w:spacing w:val="-12"/>
        </w:rPr>
        <w:t> </w:t>
      </w:r>
      <w:r>
        <w:rPr/>
        <w:t>reserves,</w:t>
      </w:r>
      <w:r>
        <w:rPr>
          <w:spacing w:val="-13"/>
        </w:rPr>
        <w:t> </w:t>
      </w:r>
      <w:r>
        <w:rPr/>
        <w:t>which</w:t>
      </w:r>
      <w:r>
        <w:rPr>
          <w:spacing w:val="-12"/>
        </w:rPr>
        <w:t> </w:t>
      </w:r>
      <w:r>
        <w:rPr/>
        <w:t>may</w:t>
      </w:r>
      <w:r>
        <w:rPr>
          <w:spacing w:val="-12"/>
        </w:rPr>
        <w:t> </w:t>
      </w:r>
      <w:r>
        <w:rPr/>
        <w:t>be</w:t>
      </w:r>
      <w:r>
        <w:rPr>
          <w:spacing w:val="-13"/>
        </w:rPr>
        <w:t> </w:t>
      </w:r>
      <w:r>
        <w:rPr/>
        <w:t>reversed</w:t>
      </w:r>
      <w:r>
        <w:rPr>
          <w:spacing w:val="-12"/>
        </w:rPr>
        <w:t> </w:t>
      </w:r>
      <w:r>
        <w:rPr/>
        <w:t>in</w:t>
      </w:r>
      <w:r>
        <w:rPr>
          <w:spacing w:val="-13"/>
        </w:rPr>
        <w:t> </w:t>
      </w:r>
      <w:r>
        <w:rPr/>
        <w:t>the</w:t>
      </w:r>
      <w:r>
        <w:rPr>
          <w:spacing w:val="-12"/>
        </w:rPr>
        <w:t> </w:t>
      </w:r>
      <w:r>
        <w:rPr/>
        <w:t>future</w:t>
      </w:r>
      <w:r>
        <w:rPr>
          <w:spacing w:val="-12"/>
        </w:rPr>
        <w:t> </w:t>
      </w:r>
      <w:r>
        <w:rPr/>
        <w:t>at</w:t>
      </w:r>
      <w:r>
        <w:rPr>
          <w:spacing w:val="-12"/>
        </w:rPr>
        <w:t> </w:t>
      </w:r>
      <w:r>
        <w:rPr/>
        <w:t>the discretion of shareholders (Leuz [1998]). </w:t>
      </w:r>
      <w:r>
        <w:rPr>
          <w:spacing w:val="-9"/>
        </w:rPr>
        <w:t>To </w:t>
      </w:r>
      <w:r>
        <w:rPr/>
        <w:t>help resolve this ambiguity on</w:t>
      </w:r>
      <w:r>
        <w:rPr>
          <w:spacing w:val="-11"/>
        </w:rPr>
        <w:t> </w:t>
      </w:r>
      <w:r>
        <w:rPr/>
        <w:t>debtholder</w:t>
      </w:r>
      <w:r>
        <w:rPr>
          <w:spacing w:val="-11"/>
        </w:rPr>
        <w:t> </w:t>
      </w:r>
      <w:r>
        <w:rPr/>
        <w:t>preferences,</w:t>
      </w:r>
      <w:r>
        <w:rPr>
          <w:spacing w:val="-11"/>
        </w:rPr>
        <w:t> </w:t>
      </w:r>
      <w:r>
        <w:rPr/>
        <w:t>we</w:t>
      </w:r>
      <w:r>
        <w:rPr>
          <w:spacing w:val="-11"/>
        </w:rPr>
        <w:t> </w:t>
      </w:r>
      <w:r>
        <w:rPr/>
        <w:t>exploit</w:t>
      </w:r>
      <w:r>
        <w:rPr>
          <w:spacing w:val="-11"/>
        </w:rPr>
        <w:t> </w:t>
      </w:r>
      <w:r>
        <w:rPr/>
        <w:t>an</w:t>
      </w:r>
      <w:r>
        <w:rPr>
          <w:spacing w:val="-11"/>
        </w:rPr>
        <w:t> </w:t>
      </w:r>
      <w:r>
        <w:rPr/>
        <w:t>important</w:t>
      </w:r>
      <w:r>
        <w:rPr>
          <w:spacing w:val="-11"/>
        </w:rPr>
        <w:t> </w:t>
      </w:r>
      <w:r>
        <w:rPr/>
        <w:t>legal</w:t>
      </w:r>
      <w:r>
        <w:rPr>
          <w:spacing w:val="-11"/>
        </w:rPr>
        <w:t> </w:t>
      </w:r>
      <w:r>
        <w:rPr/>
        <w:t>event</w:t>
      </w:r>
      <w:r>
        <w:rPr>
          <w:spacing w:val="-11"/>
        </w:rPr>
        <w:t> </w:t>
      </w:r>
      <w:r>
        <w:rPr/>
        <w:t>to</w:t>
      </w:r>
      <w:r>
        <w:rPr>
          <w:spacing w:val="-11"/>
        </w:rPr>
        <w:t> </w:t>
      </w:r>
      <w:r>
        <w:rPr/>
        <w:t>identify a</w:t>
      </w:r>
      <w:r>
        <w:rPr>
          <w:spacing w:val="-19"/>
        </w:rPr>
        <w:t> </w:t>
      </w:r>
      <w:r>
        <w:rPr/>
        <w:t>causal</w:t>
      </w:r>
      <w:r>
        <w:rPr>
          <w:spacing w:val="-19"/>
        </w:rPr>
        <w:t> </w:t>
      </w:r>
      <w:r>
        <w:rPr/>
        <w:t>link</w:t>
      </w:r>
      <w:r>
        <w:rPr>
          <w:spacing w:val="-19"/>
        </w:rPr>
        <w:t> </w:t>
      </w:r>
      <w:r>
        <w:rPr/>
        <w:t>between</w:t>
      </w:r>
      <w:r>
        <w:rPr>
          <w:spacing w:val="-18"/>
        </w:rPr>
        <w:t> </w:t>
      </w:r>
      <w:r>
        <w:rPr/>
        <w:t>debtholders’</w:t>
      </w:r>
      <w:r>
        <w:rPr>
          <w:spacing w:val="-18"/>
        </w:rPr>
        <w:t> </w:t>
      </w:r>
      <w:r>
        <w:rPr/>
        <w:t>demand</w:t>
      </w:r>
      <w:r>
        <w:rPr>
          <w:spacing w:val="-19"/>
        </w:rPr>
        <w:t> </w:t>
      </w:r>
      <w:r>
        <w:rPr/>
        <w:t>and</w:t>
      </w:r>
      <w:r>
        <w:rPr>
          <w:spacing w:val="-18"/>
        </w:rPr>
        <w:t> </w:t>
      </w:r>
      <w:r>
        <w:rPr/>
        <w:t>accounting</w:t>
      </w:r>
      <w:r>
        <w:rPr>
          <w:spacing w:val="-19"/>
        </w:rPr>
        <w:t> </w:t>
      </w:r>
      <w:r>
        <w:rPr/>
        <w:t>conservatism.</w:t>
      </w:r>
    </w:p>
    <w:p>
      <w:pPr>
        <w:pStyle w:val="BodyText"/>
        <w:spacing w:line="230" w:lineRule="auto" w:before="10"/>
        <w:ind w:left="162" w:right="519" w:firstLine="199"/>
        <w:jc w:val="both"/>
        <w:rPr>
          <w:sz w:val="14"/>
        </w:rPr>
      </w:pPr>
      <w:r>
        <w:rPr/>
        <w:t>A 1991 Delaware court in the ruling of </w:t>
      </w:r>
      <w:r>
        <w:rPr>
          <w:i/>
        </w:rPr>
        <w:t>Credit Lyonnais Bank </w:t>
      </w:r>
      <w:r>
        <w:rPr>
          <w:i/>
          <w:spacing w:val="-4"/>
        </w:rPr>
        <w:t>v. </w:t>
      </w:r>
      <w:r>
        <w:rPr>
          <w:i/>
        </w:rPr>
        <w:t>Pathe </w:t>
      </w:r>
      <w:r>
        <w:rPr>
          <w:i/>
        </w:rPr>
        <w:t>Communications</w:t>
      </w:r>
      <w:r>
        <w:rPr>
          <w:i/>
          <w:spacing w:val="-18"/>
        </w:rPr>
        <w:t> </w:t>
      </w:r>
      <w:r>
        <w:rPr/>
        <w:t>(hereafter</w:t>
      </w:r>
      <w:r>
        <w:rPr>
          <w:spacing w:val="-17"/>
        </w:rPr>
        <w:t> </w:t>
      </w:r>
      <w:r>
        <w:rPr/>
        <w:t>“the</w:t>
      </w:r>
      <w:r>
        <w:rPr>
          <w:spacing w:val="-17"/>
        </w:rPr>
        <w:t> </w:t>
      </w:r>
      <w:r>
        <w:rPr/>
        <w:t>court</w:t>
      </w:r>
      <w:r>
        <w:rPr>
          <w:spacing w:val="-18"/>
        </w:rPr>
        <w:t> </w:t>
      </w:r>
      <w:r>
        <w:rPr/>
        <w:t>ruling”)</w:t>
      </w:r>
      <w:r>
        <w:rPr>
          <w:spacing w:val="-18"/>
        </w:rPr>
        <w:t> </w:t>
      </w:r>
      <w:r>
        <w:rPr/>
        <w:t>expanded</w:t>
      </w:r>
      <w:r>
        <w:rPr>
          <w:spacing w:val="-17"/>
        </w:rPr>
        <w:t> </w:t>
      </w:r>
      <w:r>
        <w:rPr/>
        <w:t>the</w:t>
      </w:r>
      <w:r>
        <w:rPr>
          <w:spacing w:val="-18"/>
        </w:rPr>
        <w:t> </w:t>
      </w:r>
      <w:r>
        <w:rPr/>
        <w:t>scope</w:t>
      </w:r>
      <w:r>
        <w:rPr>
          <w:spacing w:val="-18"/>
        </w:rPr>
        <w:t> </w:t>
      </w:r>
      <w:r>
        <w:rPr/>
        <w:t>of</w:t>
      </w:r>
      <w:r>
        <w:rPr>
          <w:spacing w:val="-18"/>
        </w:rPr>
        <w:t> </w:t>
      </w:r>
      <w:r>
        <w:rPr/>
        <w:t>direc- tors’ fiduciary duties to include creditors when a Delaware incorporated firm is in the “vicinity of insolvency.” The fact that the court ruling had no judgment on financial reporting per se, combined with the natural event</w:t>
      </w:r>
      <w:r>
        <w:rPr>
          <w:spacing w:val="-21"/>
        </w:rPr>
        <w:t> </w:t>
      </w:r>
      <w:r>
        <w:rPr/>
        <w:t>setting,</w:t>
      </w:r>
      <w:r>
        <w:rPr>
          <w:spacing w:val="-21"/>
        </w:rPr>
        <w:t> </w:t>
      </w:r>
      <w:r>
        <w:rPr/>
        <w:t>which</w:t>
      </w:r>
      <w:r>
        <w:rPr>
          <w:spacing w:val="-21"/>
        </w:rPr>
        <w:t> </w:t>
      </w:r>
      <w:r>
        <w:rPr/>
        <w:t>helps</w:t>
      </w:r>
      <w:r>
        <w:rPr>
          <w:spacing w:val="-21"/>
        </w:rPr>
        <w:t> </w:t>
      </w:r>
      <w:r>
        <w:rPr/>
        <w:t>mitigate</w:t>
      </w:r>
      <w:r>
        <w:rPr>
          <w:spacing w:val="-21"/>
        </w:rPr>
        <w:t> </w:t>
      </w:r>
      <w:r>
        <w:rPr/>
        <w:t>the</w:t>
      </w:r>
      <w:r>
        <w:rPr>
          <w:spacing w:val="-21"/>
        </w:rPr>
        <w:t> </w:t>
      </w:r>
      <w:r>
        <w:rPr/>
        <w:t>issue</w:t>
      </w:r>
      <w:r>
        <w:rPr>
          <w:spacing w:val="-21"/>
        </w:rPr>
        <w:t> </w:t>
      </w:r>
      <w:r>
        <w:rPr/>
        <w:t>of</w:t>
      </w:r>
      <w:r>
        <w:rPr>
          <w:spacing w:val="-21"/>
        </w:rPr>
        <w:t> </w:t>
      </w:r>
      <w:r>
        <w:rPr/>
        <w:t>confounding</w:t>
      </w:r>
      <w:r>
        <w:rPr>
          <w:spacing w:val="-21"/>
        </w:rPr>
        <w:t> </w:t>
      </w:r>
      <w:r>
        <w:rPr/>
        <w:t>factors,</w:t>
      </w:r>
      <w:r>
        <w:rPr>
          <w:spacing w:val="-21"/>
        </w:rPr>
        <w:t> </w:t>
      </w:r>
      <w:r>
        <w:rPr/>
        <w:t>makes it possible to attribute any post-ruling change in conservatism by near insolvent</w:t>
      </w:r>
      <w:r>
        <w:rPr>
          <w:spacing w:val="-23"/>
        </w:rPr>
        <w:t> </w:t>
      </w:r>
      <w:r>
        <w:rPr/>
        <w:t>Delaware</w:t>
      </w:r>
      <w:r>
        <w:rPr>
          <w:spacing w:val="-23"/>
        </w:rPr>
        <w:t> </w:t>
      </w:r>
      <w:r>
        <w:rPr/>
        <w:t>companies</w:t>
      </w:r>
      <w:r>
        <w:rPr>
          <w:spacing w:val="-22"/>
        </w:rPr>
        <w:t> </w:t>
      </w:r>
      <w:r>
        <w:rPr/>
        <w:t>to</w:t>
      </w:r>
      <w:r>
        <w:rPr>
          <w:spacing w:val="-23"/>
        </w:rPr>
        <w:t> </w:t>
      </w:r>
      <w:r>
        <w:rPr/>
        <w:t>debtholders’</w:t>
      </w:r>
      <w:r>
        <w:rPr>
          <w:spacing w:val="-23"/>
        </w:rPr>
        <w:t> </w:t>
      </w:r>
      <w:r>
        <w:rPr/>
        <w:t>demand</w:t>
      </w:r>
      <w:r>
        <w:rPr>
          <w:spacing w:val="-22"/>
        </w:rPr>
        <w:t> </w:t>
      </w:r>
      <w:r>
        <w:rPr/>
        <w:t>for</w:t>
      </w:r>
      <w:r>
        <w:rPr>
          <w:spacing w:val="-23"/>
        </w:rPr>
        <w:t> </w:t>
      </w:r>
      <w:r>
        <w:rPr/>
        <w:t>conservatism.</w:t>
      </w:r>
      <w:r>
        <w:rPr>
          <w:color w:val="231F20"/>
          <w:position w:val="7"/>
          <w:sz w:val="14"/>
        </w:rPr>
        <w:t>1</w:t>
      </w:r>
    </w:p>
    <w:p>
      <w:pPr>
        <w:pStyle w:val="BodyText"/>
      </w:pPr>
    </w:p>
    <w:p>
      <w:pPr>
        <w:pStyle w:val="BodyText"/>
        <w:spacing w:before="5"/>
        <w:rPr>
          <w:sz w:val="26"/>
        </w:rPr>
      </w:pPr>
      <w:r>
        <w:rPr/>
        <w:pict>
          <v:line style="position:absolute;mso-position-horizontal-relative:page;mso-position-vertical-relative:paragraph;z-index:1096;mso-wrap-distance-left:0;mso-wrap-distance-right:0" from="72.125999pt,18.685688pt" to="107.999999pt,18.685688pt" stroked="true" strokeweight=".504pt" strokecolor="#000000">
            <v:stroke dashstyle="solid"/>
            <w10:wrap type="topAndBottom"/>
          </v:line>
        </w:pict>
      </w:r>
    </w:p>
    <w:p>
      <w:pPr>
        <w:spacing w:before="73"/>
        <w:ind w:left="162" w:right="519" w:firstLine="179"/>
        <w:jc w:val="both"/>
        <w:rPr>
          <w:sz w:val="16"/>
        </w:rPr>
      </w:pPr>
      <w:r>
        <w:rPr>
          <w:color w:val="231F20"/>
          <w:position w:val="6"/>
          <w:sz w:val="12"/>
        </w:rPr>
        <w:t>1</w:t>
      </w:r>
      <w:r>
        <w:rPr>
          <w:color w:val="231F20"/>
          <w:spacing w:val="-14"/>
          <w:position w:val="6"/>
          <w:sz w:val="12"/>
        </w:rPr>
        <w:t> </w:t>
      </w:r>
      <w:r>
        <w:rPr>
          <w:color w:val="231F20"/>
          <w:sz w:val="16"/>
        </w:rPr>
        <w:t>The</w:t>
      </w:r>
      <w:r>
        <w:rPr>
          <w:color w:val="231F20"/>
          <w:spacing w:val="-9"/>
          <w:sz w:val="16"/>
        </w:rPr>
        <w:t> </w:t>
      </w:r>
      <w:r>
        <w:rPr>
          <w:color w:val="231F20"/>
          <w:sz w:val="16"/>
        </w:rPr>
        <w:t>idea</w:t>
      </w:r>
      <w:r>
        <w:rPr>
          <w:color w:val="231F20"/>
          <w:spacing w:val="-9"/>
          <w:sz w:val="16"/>
        </w:rPr>
        <w:t> </w:t>
      </w:r>
      <w:r>
        <w:rPr>
          <w:color w:val="231F20"/>
          <w:sz w:val="16"/>
        </w:rPr>
        <w:t>is</w:t>
      </w:r>
      <w:r>
        <w:rPr>
          <w:color w:val="231F20"/>
          <w:spacing w:val="-9"/>
          <w:sz w:val="16"/>
        </w:rPr>
        <w:t> </w:t>
      </w:r>
      <w:r>
        <w:rPr>
          <w:color w:val="231F20"/>
          <w:sz w:val="16"/>
        </w:rPr>
        <w:t>that</w:t>
      </w:r>
      <w:r>
        <w:rPr>
          <w:color w:val="231F20"/>
          <w:spacing w:val="-9"/>
          <w:sz w:val="16"/>
        </w:rPr>
        <w:t> </w:t>
      </w:r>
      <w:r>
        <w:rPr>
          <w:color w:val="231F20"/>
          <w:sz w:val="16"/>
        </w:rPr>
        <w:t>the</w:t>
      </w:r>
      <w:r>
        <w:rPr>
          <w:color w:val="231F20"/>
          <w:spacing w:val="-9"/>
          <w:sz w:val="16"/>
        </w:rPr>
        <w:t> </w:t>
      </w:r>
      <w:r>
        <w:rPr>
          <w:color w:val="231F20"/>
          <w:sz w:val="16"/>
        </w:rPr>
        <w:t>court</w:t>
      </w:r>
      <w:r>
        <w:rPr>
          <w:color w:val="231F20"/>
          <w:spacing w:val="-9"/>
          <w:sz w:val="16"/>
        </w:rPr>
        <w:t> </w:t>
      </w:r>
      <w:r>
        <w:rPr>
          <w:color w:val="231F20"/>
          <w:sz w:val="16"/>
        </w:rPr>
        <w:t>ruling</w:t>
      </w:r>
      <w:r>
        <w:rPr>
          <w:color w:val="231F20"/>
          <w:spacing w:val="-9"/>
          <w:sz w:val="16"/>
        </w:rPr>
        <w:t> </w:t>
      </w:r>
      <w:r>
        <w:rPr>
          <w:color w:val="231F20"/>
          <w:sz w:val="16"/>
        </w:rPr>
        <w:t>provides</w:t>
      </w:r>
      <w:r>
        <w:rPr>
          <w:color w:val="231F20"/>
          <w:spacing w:val="-9"/>
          <w:sz w:val="16"/>
        </w:rPr>
        <w:t> </w:t>
      </w:r>
      <w:r>
        <w:rPr>
          <w:color w:val="231F20"/>
          <w:sz w:val="16"/>
        </w:rPr>
        <w:t>an</w:t>
      </w:r>
      <w:r>
        <w:rPr>
          <w:color w:val="231F20"/>
          <w:spacing w:val="-9"/>
          <w:sz w:val="16"/>
        </w:rPr>
        <w:t> </w:t>
      </w:r>
      <w:r>
        <w:rPr>
          <w:color w:val="231F20"/>
          <w:sz w:val="16"/>
        </w:rPr>
        <w:t>exogenous</w:t>
      </w:r>
      <w:r>
        <w:rPr>
          <w:color w:val="231F20"/>
          <w:spacing w:val="-9"/>
          <w:sz w:val="16"/>
        </w:rPr>
        <w:t> </w:t>
      </w:r>
      <w:r>
        <w:rPr>
          <w:color w:val="231F20"/>
          <w:sz w:val="16"/>
        </w:rPr>
        <w:t>change</w:t>
      </w:r>
      <w:r>
        <w:rPr>
          <w:color w:val="231F20"/>
          <w:spacing w:val="-9"/>
          <w:sz w:val="16"/>
        </w:rPr>
        <w:t> </w:t>
      </w:r>
      <w:r>
        <w:rPr>
          <w:color w:val="231F20"/>
          <w:sz w:val="16"/>
        </w:rPr>
        <w:t>in</w:t>
      </w:r>
      <w:r>
        <w:rPr>
          <w:color w:val="231F20"/>
          <w:spacing w:val="-9"/>
          <w:sz w:val="16"/>
        </w:rPr>
        <w:t> </w:t>
      </w:r>
      <w:r>
        <w:rPr>
          <w:color w:val="231F20"/>
          <w:sz w:val="16"/>
        </w:rPr>
        <w:t>fiduciary</w:t>
      </w:r>
      <w:r>
        <w:rPr>
          <w:color w:val="231F20"/>
          <w:spacing w:val="-9"/>
          <w:sz w:val="16"/>
        </w:rPr>
        <w:t> </w:t>
      </w:r>
      <w:r>
        <w:rPr>
          <w:color w:val="231F20"/>
          <w:sz w:val="16"/>
        </w:rPr>
        <w:t>duties,</w:t>
      </w:r>
      <w:r>
        <w:rPr>
          <w:color w:val="231F20"/>
          <w:spacing w:val="-9"/>
          <w:sz w:val="16"/>
        </w:rPr>
        <w:t> </w:t>
      </w:r>
      <w:r>
        <w:rPr>
          <w:color w:val="231F20"/>
          <w:sz w:val="16"/>
        </w:rPr>
        <w:t>which in</w:t>
      </w:r>
      <w:r>
        <w:rPr>
          <w:color w:val="231F20"/>
          <w:spacing w:val="-24"/>
          <w:sz w:val="16"/>
        </w:rPr>
        <w:t> </w:t>
      </w:r>
      <w:r>
        <w:rPr>
          <w:color w:val="231F20"/>
          <w:sz w:val="16"/>
        </w:rPr>
        <w:t>turn</w:t>
      </w:r>
      <w:r>
        <w:rPr>
          <w:color w:val="231F20"/>
          <w:spacing w:val="-24"/>
          <w:sz w:val="16"/>
        </w:rPr>
        <w:t> </w:t>
      </w:r>
      <w:r>
        <w:rPr>
          <w:color w:val="231F20"/>
          <w:sz w:val="16"/>
        </w:rPr>
        <w:t>should</w:t>
      </w:r>
      <w:r>
        <w:rPr>
          <w:color w:val="231F20"/>
          <w:spacing w:val="-24"/>
          <w:sz w:val="16"/>
        </w:rPr>
        <w:t> </w:t>
      </w:r>
      <w:r>
        <w:rPr>
          <w:color w:val="231F20"/>
          <w:sz w:val="16"/>
        </w:rPr>
        <w:t>affect</w:t>
      </w:r>
      <w:r>
        <w:rPr>
          <w:color w:val="231F20"/>
          <w:spacing w:val="-23"/>
          <w:sz w:val="16"/>
        </w:rPr>
        <w:t> </w:t>
      </w:r>
      <w:r>
        <w:rPr>
          <w:color w:val="231F20"/>
          <w:sz w:val="16"/>
        </w:rPr>
        <w:t>firms’</w:t>
      </w:r>
      <w:r>
        <w:rPr>
          <w:color w:val="231F20"/>
          <w:spacing w:val="-24"/>
          <w:sz w:val="16"/>
        </w:rPr>
        <w:t> </w:t>
      </w:r>
      <w:r>
        <w:rPr>
          <w:color w:val="231F20"/>
          <w:sz w:val="16"/>
        </w:rPr>
        <w:t>supply</w:t>
      </w:r>
      <w:r>
        <w:rPr>
          <w:color w:val="231F20"/>
          <w:spacing w:val="-24"/>
          <w:sz w:val="16"/>
        </w:rPr>
        <w:t> </w:t>
      </w:r>
      <w:r>
        <w:rPr>
          <w:color w:val="231F20"/>
          <w:sz w:val="16"/>
        </w:rPr>
        <w:t>of</w:t>
      </w:r>
      <w:r>
        <w:rPr>
          <w:color w:val="231F20"/>
          <w:spacing w:val="-24"/>
          <w:sz w:val="16"/>
        </w:rPr>
        <w:t> </w:t>
      </w:r>
      <w:r>
        <w:rPr>
          <w:color w:val="231F20"/>
          <w:sz w:val="16"/>
        </w:rPr>
        <w:t>conservative</w:t>
      </w:r>
      <w:r>
        <w:rPr>
          <w:color w:val="231F20"/>
          <w:spacing w:val="-24"/>
          <w:sz w:val="16"/>
        </w:rPr>
        <w:t> </w:t>
      </w:r>
      <w:r>
        <w:rPr>
          <w:color w:val="231F20"/>
          <w:sz w:val="16"/>
        </w:rPr>
        <w:t>accounting.</w:t>
      </w:r>
      <w:r>
        <w:rPr>
          <w:color w:val="231F20"/>
          <w:spacing w:val="-23"/>
          <w:sz w:val="16"/>
        </w:rPr>
        <w:t> </w:t>
      </w:r>
      <w:r>
        <w:rPr>
          <w:color w:val="231F20"/>
          <w:sz w:val="16"/>
        </w:rPr>
        <w:t>This</w:t>
      </w:r>
      <w:r>
        <w:rPr>
          <w:color w:val="231F20"/>
          <w:spacing w:val="-23"/>
          <w:sz w:val="16"/>
        </w:rPr>
        <w:t> </w:t>
      </w:r>
      <w:r>
        <w:rPr>
          <w:color w:val="231F20"/>
          <w:sz w:val="16"/>
        </w:rPr>
        <w:t>exogenous</w:t>
      </w:r>
      <w:r>
        <w:rPr>
          <w:color w:val="231F20"/>
          <w:spacing w:val="-24"/>
          <w:sz w:val="16"/>
        </w:rPr>
        <w:t> </w:t>
      </w:r>
      <w:r>
        <w:rPr>
          <w:color w:val="231F20"/>
          <w:sz w:val="16"/>
        </w:rPr>
        <w:t>variation</w:t>
      </w:r>
      <w:r>
        <w:rPr>
          <w:color w:val="231F20"/>
          <w:spacing w:val="-24"/>
          <w:sz w:val="16"/>
        </w:rPr>
        <w:t> </w:t>
      </w:r>
      <w:r>
        <w:rPr>
          <w:color w:val="231F20"/>
          <w:sz w:val="16"/>
        </w:rPr>
        <w:t>allows us</w:t>
      </w:r>
      <w:r>
        <w:rPr>
          <w:color w:val="231F20"/>
          <w:spacing w:val="-10"/>
          <w:sz w:val="16"/>
        </w:rPr>
        <w:t> </w:t>
      </w:r>
      <w:r>
        <w:rPr>
          <w:color w:val="231F20"/>
          <w:sz w:val="16"/>
        </w:rPr>
        <w:t>to</w:t>
      </w:r>
      <w:r>
        <w:rPr>
          <w:color w:val="231F20"/>
          <w:spacing w:val="-10"/>
          <w:sz w:val="16"/>
        </w:rPr>
        <w:t> </w:t>
      </w:r>
      <w:r>
        <w:rPr>
          <w:color w:val="231F20"/>
          <w:sz w:val="16"/>
        </w:rPr>
        <w:t>identify</w:t>
      </w:r>
      <w:r>
        <w:rPr>
          <w:color w:val="231F20"/>
          <w:spacing w:val="-10"/>
          <w:sz w:val="16"/>
        </w:rPr>
        <w:t> </w:t>
      </w:r>
      <w:r>
        <w:rPr>
          <w:color w:val="231F20"/>
          <w:sz w:val="16"/>
        </w:rPr>
        <w:t>debtholders’</w:t>
      </w:r>
      <w:r>
        <w:rPr>
          <w:color w:val="231F20"/>
          <w:spacing w:val="-10"/>
          <w:sz w:val="16"/>
        </w:rPr>
        <w:t> </w:t>
      </w:r>
      <w:r>
        <w:rPr>
          <w:color w:val="231F20"/>
          <w:sz w:val="16"/>
        </w:rPr>
        <w:t>demand</w:t>
      </w:r>
      <w:r>
        <w:rPr>
          <w:color w:val="231F20"/>
          <w:spacing w:val="-10"/>
          <w:sz w:val="16"/>
        </w:rPr>
        <w:t> </w:t>
      </w:r>
      <w:r>
        <w:rPr>
          <w:color w:val="231F20"/>
          <w:sz w:val="16"/>
        </w:rPr>
        <w:t>for</w:t>
      </w:r>
      <w:r>
        <w:rPr>
          <w:color w:val="231F20"/>
          <w:spacing w:val="-10"/>
          <w:sz w:val="16"/>
        </w:rPr>
        <w:t> </w:t>
      </w:r>
      <w:r>
        <w:rPr>
          <w:color w:val="231F20"/>
          <w:sz w:val="16"/>
        </w:rPr>
        <w:t>conservatism.</w:t>
      </w:r>
      <w:r>
        <w:rPr>
          <w:color w:val="231F20"/>
          <w:spacing w:val="-10"/>
          <w:sz w:val="16"/>
        </w:rPr>
        <w:t> </w:t>
      </w:r>
      <w:r>
        <w:rPr>
          <w:color w:val="231F20"/>
          <w:sz w:val="16"/>
        </w:rPr>
        <w:t>If</w:t>
      </w:r>
      <w:r>
        <w:rPr>
          <w:color w:val="231F20"/>
          <w:spacing w:val="-10"/>
          <w:sz w:val="16"/>
        </w:rPr>
        <w:t> </w:t>
      </w:r>
      <w:r>
        <w:rPr>
          <w:color w:val="231F20"/>
          <w:sz w:val="16"/>
        </w:rPr>
        <w:t>the</w:t>
      </w:r>
      <w:r>
        <w:rPr>
          <w:color w:val="231F20"/>
          <w:spacing w:val="-10"/>
          <w:sz w:val="16"/>
        </w:rPr>
        <w:t> </w:t>
      </w:r>
      <w:r>
        <w:rPr>
          <w:color w:val="231F20"/>
          <w:sz w:val="16"/>
        </w:rPr>
        <w:t>shift</w:t>
      </w:r>
      <w:r>
        <w:rPr>
          <w:color w:val="231F20"/>
          <w:spacing w:val="-10"/>
          <w:sz w:val="16"/>
        </w:rPr>
        <w:t> </w:t>
      </w:r>
      <w:r>
        <w:rPr>
          <w:color w:val="231F20"/>
          <w:sz w:val="16"/>
        </w:rPr>
        <w:t>in</w:t>
      </w:r>
      <w:r>
        <w:rPr>
          <w:color w:val="231F20"/>
          <w:spacing w:val="-10"/>
          <w:sz w:val="16"/>
        </w:rPr>
        <w:t> </w:t>
      </w:r>
      <w:r>
        <w:rPr>
          <w:color w:val="231F20"/>
          <w:sz w:val="16"/>
        </w:rPr>
        <w:t>supply</w:t>
      </w:r>
      <w:r>
        <w:rPr>
          <w:color w:val="231F20"/>
          <w:spacing w:val="-10"/>
          <w:sz w:val="16"/>
        </w:rPr>
        <w:t> </w:t>
      </w:r>
      <w:r>
        <w:rPr>
          <w:color w:val="231F20"/>
          <w:sz w:val="16"/>
        </w:rPr>
        <w:t>leads</w:t>
      </w:r>
      <w:r>
        <w:rPr>
          <w:color w:val="231F20"/>
          <w:spacing w:val="-10"/>
          <w:sz w:val="16"/>
        </w:rPr>
        <w:t> </w:t>
      </w:r>
      <w:r>
        <w:rPr>
          <w:color w:val="231F20"/>
          <w:sz w:val="16"/>
        </w:rPr>
        <w:t>to</w:t>
      </w:r>
      <w:r>
        <w:rPr>
          <w:color w:val="231F20"/>
          <w:spacing w:val="-10"/>
          <w:sz w:val="16"/>
        </w:rPr>
        <w:t> </w:t>
      </w:r>
      <w:r>
        <w:rPr>
          <w:color w:val="231F20"/>
          <w:sz w:val="16"/>
        </w:rPr>
        <w:t>no</w:t>
      </w:r>
      <w:r>
        <w:rPr>
          <w:color w:val="231F20"/>
          <w:spacing w:val="-10"/>
          <w:sz w:val="16"/>
        </w:rPr>
        <w:t> </w:t>
      </w:r>
      <w:r>
        <w:rPr>
          <w:color w:val="231F20"/>
          <w:sz w:val="16"/>
        </w:rPr>
        <w:t>change in</w:t>
      </w:r>
      <w:r>
        <w:rPr>
          <w:color w:val="231F20"/>
          <w:spacing w:val="-16"/>
          <w:sz w:val="16"/>
        </w:rPr>
        <w:t> </w:t>
      </w:r>
      <w:r>
        <w:rPr>
          <w:color w:val="231F20"/>
          <w:sz w:val="16"/>
        </w:rPr>
        <w:t>conservatism,</w:t>
      </w:r>
      <w:r>
        <w:rPr>
          <w:color w:val="231F20"/>
          <w:spacing w:val="-16"/>
          <w:sz w:val="16"/>
        </w:rPr>
        <w:t> </w:t>
      </w:r>
      <w:r>
        <w:rPr>
          <w:color w:val="231F20"/>
          <w:sz w:val="16"/>
        </w:rPr>
        <w:t>this</w:t>
      </w:r>
      <w:r>
        <w:rPr>
          <w:color w:val="231F20"/>
          <w:spacing w:val="-16"/>
          <w:sz w:val="16"/>
        </w:rPr>
        <w:t> </w:t>
      </w:r>
      <w:r>
        <w:rPr>
          <w:color w:val="231F20"/>
          <w:sz w:val="16"/>
        </w:rPr>
        <w:t>suggests</w:t>
      </w:r>
      <w:r>
        <w:rPr>
          <w:color w:val="231F20"/>
          <w:spacing w:val="-16"/>
          <w:sz w:val="16"/>
        </w:rPr>
        <w:t> </w:t>
      </w:r>
      <w:r>
        <w:rPr>
          <w:color w:val="231F20"/>
          <w:sz w:val="16"/>
        </w:rPr>
        <w:t>that</w:t>
      </w:r>
      <w:r>
        <w:rPr>
          <w:color w:val="231F20"/>
          <w:spacing w:val="-16"/>
          <w:sz w:val="16"/>
        </w:rPr>
        <w:t> </w:t>
      </w:r>
      <w:r>
        <w:rPr>
          <w:color w:val="231F20"/>
          <w:sz w:val="16"/>
        </w:rPr>
        <w:t>the</w:t>
      </w:r>
      <w:r>
        <w:rPr>
          <w:color w:val="231F20"/>
          <w:spacing w:val="-16"/>
          <w:sz w:val="16"/>
        </w:rPr>
        <w:t> </w:t>
      </w:r>
      <w:r>
        <w:rPr>
          <w:color w:val="231F20"/>
          <w:sz w:val="16"/>
        </w:rPr>
        <w:t>demand</w:t>
      </w:r>
      <w:r>
        <w:rPr>
          <w:color w:val="231F20"/>
          <w:spacing w:val="-16"/>
          <w:sz w:val="16"/>
        </w:rPr>
        <w:t> </w:t>
      </w:r>
      <w:r>
        <w:rPr>
          <w:color w:val="231F20"/>
          <w:sz w:val="16"/>
        </w:rPr>
        <w:t>for</w:t>
      </w:r>
      <w:r>
        <w:rPr>
          <w:color w:val="231F20"/>
          <w:spacing w:val="-16"/>
          <w:sz w:val="16"/>
        </w:rPr>
        <w:t> </w:t>
      </w:r>
      <w:r>
        <w:rPr>
          <w:color w:val="231F20"/>
          <w:sz w:val="16"/>
        </w:rPr>
        <w:t>conservatism</w:t>
      </w:r>
      <w:r>
        <w:rPr>
          <w:color w:val="231F20"/>
          <w:spacing w:val="-16"/>
          <w:sz w:val="16"/>
        </w:rPr>
        <w:t> </w:t>
      </w:r>
      <w:r>
        <w:rPr>
          <w:color w:val="231F20"/>
          <w:sz w:val="16"/>
        </w:rPr>
        <w:t>is</w:t>
      </w:r>
      <w:r>
        <w:rPr>
          <w:color w:val="231F20"/>
          <w:spacing w:val="-16"/>
          <w:sz w:val="16"/>
        </w:rPr>
        <w:t> </w:t>
      </w:r>
      <w:r>
        <w:rPr>
          <w:color w:val="231F20"/>
          <w:sz w:val="16"/>
        </w:rPr>
        <w:t>either</w:t>
      </w:r>
      <w:r>
        <w:rPr>
          <w:color w:val="231F20"/>
          <w:spacing w:val="-16"/>
          <w:sz w:val="16"/>
        </w:rPr>
        <w:t> </w:t>
      </w:r>
      <w:r>
        <w:rPr>
          <w:color w:val="231F20"/>
          <w:sz w:val="16"/>
        </w:rPr>
        <w:t>fully</w:t>
      </w:r>
      <w:r>
        <w:rPr>
          <w:color w:val="231F20"/>
          <w:spacing w:val="-16"/>
          <w:sz w:val="16"/>
        </w:rPr>
        <w:t> </w:t>
      </w:r>
      <w:r>
        <w:rPr>
          <w:color w:val="231F20"/>
          <w:sz w:val="16"/>
        </w:rPr>
        <w:t>inelastic</w:t>
      </w:r>
      <w:r>
        <w:rPr>
          <w:color w:val="231F20"/>
          <w:spacing w:val="-16"/>
          <w:sz w:val="16"/>
        </w:rPr>
        <w:t> </w:t>
      </w:r>
      <w:r>
        <w:rPr>
          <w:color w:val="231F20"/>
          <w:sz w:val="16"/>
        </w:rPr>
        <w:t>(which is implausible) or absent, which is the null for our</w:t>
      </w:r>
      <w:r>
        <w:rPr>
          <w:color w:val="231F20"/>
          <w:spacing w:val="-3"/>
          <w:sz w:val="16"/>
        </w:rPr>
        <w:t> </w:t>
      </w:r>
      <w:r>
        <w:rPr>
          <w:color w:val="231F20"/>
          <w:sz w:val="16"/>
        </w:rPr>
        <w:t>tests.</w:t>
      </w:r>
    </w:p>
    <w:p>
      <w:pPr>
        <w:spacing w:after="0"/>
        <w:jc w:val="both"/>
        <w:rPr>
          <w:sz w:val="16"/>
        </w:rPr>
        <w:sectPr>
          <w:headerReference w:type="even" r:id="rId10"/>
          <w:headerReference w:type="default" r:id="rId11"/>
          <w:pgSz w:w="9720" w:h="14400"/>
          <w:pgMar w:header="1054" w:footer="0" w:top="1280" w:bottom="280" w:left="1280" w:right="1300"/>
          <w:pgNumType w:start="994"/>
        </w:sectPr>
      </w:pPr>
    </w:p>
    <w:p>
      <w:pPr>
        <w:pStyle w:val="BodyText"/>
        <w:spacing w:line="230" w:lineRule="auto" w:before="178"/>
        <w:ind w:left="532" w:right="149" w:firstLine="199"/>
        <w:jc w:val="both"/>
      </w:pPr>
      <w:r>
        <w:rPr>
          <w:spacing w:val="-6"/>
        </w:rPr>
        <w:t>We </w:t>
      </w:r>
      <w:r>
        <w:rPr/>
        <w:t>use a difference-in-differences research design to capture the dif- ferential</w:t>
      </w:r>
      <w:r>
        <w:rPr>
          <w:spacing w:val="-8"/>
        </w:rPr>
        <w:t> </w:t>
      </w:r>
      <w:r>
        <w:rPr/>
        <w:t>post-ruling</w:t>
      </w:r>
      <w:r>
        <w:rPr>
          <w:spacing w:val="-9"/>
        </w:rPr>
        <w:t> </w:t>
      </w:r>
      <w:r>
        <w:rPr/>
        <w:t>changes</w:t>
      </w:r>
      <w:r>
        <w:rPr>
          <w:spacing w:val="-8"/>
        </w:rPr>
        <w:t> </w:t>
      </w:r>
      <w:r>
        <w:rPr/>
        <w:t>in</w:t>
      </w:r>
      <w:r>
        <w:rPr>
          <w:spacing w:val="-9"/>
        </w:rPr>
        <w:t> </w:t>
      </w:r>
      <w:r>
        <w:rPr/>
        <w:t>financial</w:t>
      </w:r>
      <w:r>
        <w:rPr>
          <w:spacing w:val="-9"/>
        </w:rPr>
        <w:t> </w:t>
      </w:r>
      <w:r>
        <w:rPr/>
        <w:t>reporting</w:t>
      </w:r>
      <w:r>
        <w:rPr>
          <w:spacing w:val="-9"/>
        </w:rPr>
        <w:t> </w:t>
      </w:r>
      <w:r>
        <w:rPr/>
        <w:t>conservatism</w:t>
      </w:r>
      <w:r>
        <w:rPr>
          <w:spacing w:val="-9"/>
        </w:rPr>
        <w:t> </w:t>
      </w:r>
      <w:r>
        <w:rPr/>
        <w:t>between </w:t>
      </w:r>
      <w:r>
        <w:rPr>
          <w:w w:val="95"/>
        </w:rPr>
        <w:t>firms</w:t>
      </w:r>
      <w:r>
        <w:rPr>
          <w:spacing w:val="-7"/>
          <w:w w:val="95"/>
        </w:rPr>
        <w:t> </w:t>
      </w:r>
      <w:r>
        <w:rPr>
          <w:w w:val="95"/>
        </w:rPr>
        <w:t>near</w:t>
      </w:r>
      <w:r>
        <w:rPr>
          <w:spacing w:val="-7"/>
          <w:w w:val="95"/>
        </w:rPr>
        <w:t> </w:t>
      </w:r>
      <w:r>
        <w:rPr>
          <w:w w:val="95"/>
        </w:rPr>
        <w:t>insolvency</w:t>
      </w:r>
      <w:r>
        <w:rPr>
          <w:spacing w:val="-7"/>
          <w:w w:val="95"/>
        </w:rPr>
        <w:t> </w:t>
      </w:r>
      <w:r>
        <w:rPr>
          <w:w w:val="95"/>
        </w:rPr>
        <w:t>and</w:t>
      </w:r>
      <w:r>
        <w:rPr>
          <w:spacing w:val="-7"/>
          <w:w w:val="95"/>
        </w:rPr>
        <w:t> </w:t>
      </w:r>
      <w:r>
        <w:rPr>
          <w:w w:val="95"/>
        </w:rPr>
        <w:t>away</w:t>
      </w:r>
      <w:r>
        <w:rPr>
          <w:spacing w:val="-7"/>
          <w:w w:val="95"/>
        </w:rPr>
        <w:t> </w:t>
      </w:r>
      <w:r>
        <w:rPr>
          <w:w w:val="95"/>
        </w:rPr>
        <w:t>from</w:t>
      </w:r>
      <w:r>
        <w:rPr>
          <w:spacing w:val="-7"/>
          <w:w w:val="95"/>
        </w:rPr>
        <w:t> </w:t>
      </w:r>
      <w:r>
        <w:rPr>
          <w:w w:val="95"/>
        </w:rPr>
        <w:t>insolvency</w:t>
      </w:r>
      <w:r>
        <w:rPr>
          <w:spacing w:val="-7"/>
          <w:w w:val="95"/>
        </w:rPr>
        <w:t> </w:t>
      </w:r>
      <w:r>
        <w:rPr>
          <w:w w:val="95"/>
        </w:rPr>
        <w:t>and</w:t>
      </w:r>
      <w:r>
        <w:rPr>
          <w:spacing w:val="-7"/>
          <w:w w:val="95"/>
        </w:rPr>
        <w:t> </w:t>
      </w:r>
      <w:r>
        <w:rPr>
          <w:w w:val="95"/>
        </w:rPr>
        <w:t>between</w:t>
      </w:r>
      <w:r>
        <w:rPr>
          <w:spacing w:val="-6"/>
          <w:w w:val="95"/>
        </w:rPr>
        <w:t> </w:t>
      </w:r>
      <w:r>
        <w:rPr>
          <w:w w:val="95"/>
        </w:rPr>
        <w:t>firms</w:t>
      </w:r>
      <w:r>
        <w:rPr>
          <w:spacing w:val="-7"/>
          <w:w w:val="95"/>
        </w:rPr>
        <w:t> </w:t>
      </w:r>
      <w:r>
        <w:rPr>
          <w:w w:val="95"/>
        </w:rPr>
        <w:t>incorpo- </w:t>
      </w:r>
      <w:r>
        <w:rPr/>
        <w:t>rated</w:t>
      </w:r>
      <w:r>
        <w:rPr>
          <w:spacing w:val="-12"/>
        </w:rPr>
        <w:t> </w:t>
      </w:r>
      <w:r>
        <w:rPr/>
        <w:t>in</w:t>
      </w:r>
      <w:r>
        <w:rPr>
          <w:spacing w:val="-12"/>
        </w:rPr>
        <w:t> </w:t>
      </w:r>
      <w:r>
        <w:rPr/>
        <w:t>and</w:t>
      </w:r>
      <w:r>
        <w:rPr>
          <w:spacing w:val="-12"/>
        </w:rPr>
        <w:t> </w:t>
      </w:r>
      <w:r>
        <w:rPr/>
        <w:t>outside</w:t>
      </w:r>
      <w:r>
        <w:rPr>
          <w:spacing w:val="-12"/>
        </w:rPr>
        <w:t> </w:t>
      </w:r>
      <w:r>
        <w:rPr/>
        <w:t>the</w:t>
      </w:r>
      <w:r>
        <w:rPr>
          <w:spacing w:val="-12"/>
        </w:rPr>
        <w:t> </w:t>
      </w:r>
      <w:r>
        <w:rPr/>
        <w:t>State</w:t>
      </w:r>
      <w:r>
        <w:rPr>
          <w:spacing w:val="-12"/>
        </w:rPr>
        <w:t> </w:t>
      </w:r>
      <w:r>
        <w:rPr/>
        <w:t>of</w:t>
      </w:r>
      <w:r>
        <w:rPr>
          <w:spacing w:val="-12"/>
        </w:rPr>
        <w:t> </w:t>
      </w:r>
      <w:r>
        <w:rPr/>
        <w:t>Delaware.</w:t>
      </w:r>
      <w:r>
        <w:rPr>
          <w:spacing w:val="-12"/>
        </w:rPr>
        <w:t> </w:t>
      </w:r>
      <w:r>
        <w:rPr>
          <w:spacing w:val="-6"/>
        </w:rPr>
        <w:t>We</w:t>
      </w:r>
      <w:r>
        <w:rPr>
          <w:spacing w:val="-12"/>
        </w:rPr>
        <w:t> </w:t>
      </w:r>
      <w:r>
        <w:rPr/>
        <w:t>employ</w:t>
      </w:r>
      <w:r>
        <w:rPr>
          <w:spacing w:val="-12"/>
        </w:rPr>
        <w:t> </w:t>
      </w:r>
      <w:r>
        <w:rPr/>
        <w:t>a</w:t>
      </w:r>
      <w:r>
        <w:rPr>
          <w:spacing w:val="-12"/>
        </w:rPr>
        <w:t> </w:t>
      </w:r>
      <w:r>
        <w:rPr/>
        <w:t>firm-year</w:t>
      </w:r>
      <w:r>
        <w:rPr>
          <w:spacing w:val="-12"/>
        </w:rPr>
        <w:t> </w:t>
      </w:r>
      <w:r>
        <w:rPr/>
        <w:t>specific composite score as our main measure of conservatism and supplement it with the asymmetric timeliness models of Basu [1997] and Ball and Shiv- akumar [2006]. Overall, we find that, in the immediate period following the court ruling in 1991, financial reporting conservatism significantly</w:t>
      </w:r>
      <w:r>
        <w:rPr>
          <w:spacing w:val="-8"/>
        </w:rPr>
        <w:t> </w:t>
      </w:r>
      <w:r>
        <w:rPr/>
        <w:t>in- creased</w:t>
      </w:r>
      <w:r>
        <w:rPr>
          <w:spacing w:val="-7"/>
        </w:rPr>
        <w:t> </w:t>
      </w:r>
      <w:r>
        <w:rPr/>
        <w:t>for</w:t>
      </w:r>
      <w:r>
        <w:rPr>
          <w:spacing w:val="-7"/>
        </w:rPr>
        <w:t> </w:t>
      </w:r>
      <w:r>
        <w:rPr/>
        <w:t>near</w:t>
      </w:r>
      <w:r>
        <w:rPr>
          <w:spacing w:val="-7"/>
        </w:rPr>
        <w:t> </w:t>
      </w:r>
      <w:r>
        <w:rPr/>
        <w:t>insolvent</w:t>
      </w:r>
      <w:r>
        <w:rPr>
          <w:spacing w:val="-7"/>
        </w:rPr>
        <w:t> </w:t>
      </w:r>
      <w:r>
        <w:rPr/>
        <w:t>Delaware</w:t>
      </w:r>
      <w:r>
        <w:rPr>
          <w:spacing w:val="-7"/>
        </w:rPr>
        <w:t> </w:t>
      </w:r>
      <w:r>
        <w:rPr/>
        <w:t>firms.</w:t>
      </w:r>
      <w:r>
        <w:rPr>
          <w:spacing w:val="-7"/>
        </w:rPr>
        <w:t> </w:t>
      </w:r>
      <w:r>
        <w:rPr/>
        <w:t>The</w:t>
      </w:r>
      <w:r>
        <w:rPr>
          <w:spacing w:val="-7"/>
        </w:rPr>
        <w:t> </w:t>
      </w:r>
      <w:r>
        <w:rPr/>
        <w:t>results</w:t>
      </w:r>
      <w:r>
        <w:rPr>
          <w:spacing w:val="-7"/>
        </w:rPr>
        <w:t> </w:t>
      </w:r>
      <w:r>
        <w:rPr/>
        <w:t>indicate</w:t>
      </w:r>
      <w:r>
        <w:rPr>
          <w:spacing w:val="-7"/>
        </w:rPr>
        <w:t> </w:t>
      </w:r>
      <w:r>
        <w:rPr/>
        <w:t>that,</w:t>
      </w:r>
      <w:r>
        <w:rPr>
          <w:spacing w:val="-7"/>
        </w:rPr>
        <w:t> </w:t>
      </w:r>
      <w:r>
        <w:rPr/>
        <w:t>in</w:t>
      </w:r>
      <w:r>
        <w:rPr>
          <w:spacing w:val="-7"/>
        </w:rPr>
        <w:t> </w:t>
      </w:r>
      <w:r>
        <w:rPr/>
        <w:t>re- sponse to their increased fiduciary obligations to creditors, directors of firms subject to the court ruling influence managers to adopt more con- servative financial reporting.</w:t>
      </w:r>
    </w:p>
    <w:p>
      <w:pPr>
        <w:pStyle w:val="BodyText"/>
        <w:spacing w:line="230" w:lineRule="auto" w:before="6"/>
        <w:ind w:left="532" w:right="149" w:firstLine="199"/>
        <w:jc w:val="both"/>
      </w:pPr>
      <w:r>
        <w:rPr>
          <w:spacing w:val="-6"/>
        </w:rPr>
        <w:t>We </w:t>
      </w:r>
      <w:r>
        <w:rPr/>
        <w:t>further examine the role of board characteristics on the effect of the court</w:t>
      </w:r>
      <w:r>
        <w:rPr>
          <w:spacing w:val="-16"/>
        </w:rPr>
        <w:t> </w:t>
      </w:r>
      <w:r>
        <w:rPr/>
        <w:t>ruling</w:t>
      </w:r>
      <w:r>
        <w:rPr>
          <w:spacing w:val="-16"/>
        </w:rPr>
        <w:t> </w:t>
      </w:r>
      <w:r>
        <w:rPr/>
        <w:t>since</w:t>
      </w:r>
      <w:r>
        <w:rPr>
          <w:spacing w:val="-16"/>
        </w:rPr>
        <w:t> </w:t>
      </w:r>
      <w:r>
        <w:rPr/>
        <w:t>this</w:t>
      </w:r>
      <w:r>
        <w:rPr>
          <w:spacing w:val="-16"/>
        </w:rPr>
        <w:t> </w:t>
      </w:r>
      <w:r>
        <w:rPr/>
        <w:t>legal</w:t>
      </w:r>
      <w:r>
        <w:rPr>
          <w:spacing w:val="-16"/>
        </w:rPr>
        <w:t> </w:t>
      </w:r>
      <w:r>
        <w:rPr/>
        <w:t>event</w:t>
      </w:r>
      <w:r>
        <w:rPr>
          <w:spacing w:val="-16"/>
        </w:rPr>
        <w:t> </w:t>
      </w:r>
      <w:r>
        <w:rPr/>
        <w:t>increased</w:t>
      </w:r>
      <w:r>
        <w:rPr>
          <w:spacing w:val="-16"/>
        </w:rPr>
        <w:t> </w:t>
      </w:r>
      <w:r>
        <w:rPr/>
        <w:t>the</w:t>
      </w:r>
      <w:r>
        <w:rPr>
          <w:spacing w:val="-16"/>
        </w:rPr>
        <w:t> </w:t>
      </w:r>
      <w:r>
        <w:rPr/>
        <w:t>fiduciary</w:t>
      </w:r>
      <w:r>
        <w:rPr>
          <w:spacing w:val="-16"/>
        </w:rPr>
        <w:t> </w:t>
      </w:r>
      <w:r>
        <w:rPr/>
        <w:t>duties</w:t>
      </w:r>
      <w:r>
        <w:rPr>
          <w:spacing w:val="-16"/>
        </w:rPr>
        <w:t> </w:t>
      </w:r>
      <w:r>
        <w:rPr/>
        <w:t>of</w:t>
      </w:r>
      <w:r>
        <w:rPr>
          <w:spacing w:val="-16"/>
        </w:rPr>
        <w:t> </w:t>
      </w:r>
      <w:r>
        <w:rPr/>
        <w:t>individ- ual directors, thereby establishing a firm’s board as the primary channel through which any response to the ruling should </w:t>
      </w:r>
      <w:r>
        <w:rPr>
          <w:spacing w:val="-3"/>
        </w:rPr>
        <w:t>occur.  </w:t>
      </w:r>
      <w:r>
        <w:rPr/>
        <w:t>Our finding of  a more pronounced increase in conservatism for near insolvent</w:t>
      </w:r>
      <w:r>
        <w:rPr>
          <w:spacing w:val="-13"/>
        </w:rPr>
        <w:t> </w:t>
      </w:r>
      <w:r>
        <w:rPr/>
        <w:t>Delaware firms with stronger boards provides additional support to our argument that</w:t>
      </w:r>
      <w:r>
        <w:rPr>
          <w:spacing w:val="-11"/>
        </w:rPr>
        <w:t> </w:t>
      </w:r>
      <w:r>
        <w:rPr/>
        <w:t>the</w:t>
      </w:r>
      <w:r>
        <w:rPr>
          <w:spacing w:val="-11"/>
        </w:rPr>
        <w:t> </w:t>
      </w:r>
      <w:r>
        <w:rPr/>
        <w:t>observed</w:t>
      </w:r>
      <w:r>
        <w:rPr>
          <w:spacing w:val="-11"/>
        </w:rPr>
        <w:t> </w:t>
      </w:r>
      <w:r>
        <w:rPr/>
        <w:t>changes</w:t>
      </w:r>
      <w:r>
        <w:rPr>
          <w:spacing w:val="-11"/>
        </w:rPr>
        <w:t> </w:t>
      </w:r>
      <w:r>
        <w:rPr/>
        <w:t>in</w:t>
      </w:r>
      <w:r>
        <w:rPr>
          <w:spacing w:val="-11"/>
        </w:rPr>
        <w:t> </w:t>
      </w:r>
      <w:r>
        <w:rPr/>
        <w:t>conservatism</w:t>
      </w:r>
      <w:r>
        <w:rPr>
          <w:spacing w:val="-11"/>
        </w:rPr>
        <w:t> </w:t>
      </w:r>
      <w:r>
        <w:rPr/>
        <w:t>are</w:t>
      </w:r>
      <w:r>
        <w:rPr>
          <w:spacing w:val="-11"/>
        </w:rPr>
        <w:t> </w:t>
      </w:r>
      <w:r>
        <w:rPr/>
        <w:t>driven</w:t>
      </w:r>
      <w:r>
        <w:rPr>
          <w:spacing w:val="-11"/>
        </w:rPr>
        <w:t> </w:t>
      </w:r>
      <w:r>
        <w:rPr/>
        <w:t>by</w:t>
      </w:r>
      <w:r>
        <w:rPr>
          <w:spacing w:val="-11"/>
        </w:rPr>
        <w:t> </w:t>
      </w:r>
      <w:r>
        <w:rPr/>
        <w:t>the</w:t>
      </w:r>
      <w:r>
        <w:rPr>
          <w:spacing w:val="-11"/>
        </w:rPr>
        <w:t> </w:t>
      </w:r>
      <w:r>
        <w:rPr/>
        <w:t>court</w:t>
      </w:r>
      <w:r>
        <w:rPr>
          <w:spacing w:val="-11"/>
        </w:rPr>
        <w:t> </w:t>
      </w:r>
      <w:r>
        <w:rPr/>
        <w:t>ruling.</w:t>
      </w:r>
    </w:p>
    <w:p>
      <w:pPr>
        <w:pStyle w:val="BodyText"/>
        <w:spacing w:line="230" w:lineRule="auto" w:before="4"/>
        <w:ind w:left="532" w:right="149" w:firstLine="199"/>
        <w:jc w:val="both"/>
      </w:pPr>
      <w:r>
        <w:rPr>
          <w:spacing w:val="-6"/>
        </w:rPr>
        <w:t>We</w:t>
      </w:r>
      <w:r>
        <w:rPr>
          <w:spacing w:val="-15"/>
        </w:rPr>
        <w:t> </w:t>
      </w:r>
      <w:r>
        <w:rPr/>
        <w:t>conduct</w:t>
      </w:r>
      <w:r>
        <w:rPr>
          <w:spacing w:val="-15"/>
        </w:rPr>
        <w:t> </w:t>
      </w:r>
      <w:r>
        <w:rPr/>
        <w:t>a</w:t>
      </w:r>
      <w:r>
        <w:rPr>
          <w:spacing w:val="-15"/>
        </w:rPr>
        <w:t> </w:t>
      </w:r>
      <w:r>
        <w:rPr/>
        <w:t>number</w:t>
      </w:r>
      <w:r>
        <w:rPr>
          <w:spacing w:val="-15"/>
        </w:rPr>
        <w:t> </w:t>
      </w:r>
      <w:r>
        <w:rPr/>
        <w:t>of</w:t>
      </w:r>
      <w:r>
        <w:rPr>
          <w:spacing w:val="-15"/>
        </w:rPr>
        <w:t> </w:t>
      </w:r>
      <w:r>
        <w:rPr/>
        <w:t>additional</w:t>
      </w:r>
      <w:r>
        <w:rPr>
          <w:spacing w:val="-15"/>
        </w:rPr>
        <w:t> </w:t>
      </w:r>
      <w:r>
        <w:rPr/>
        <w:t>analyses</w:t>
      </w:r>
      <w:r>
        <w:rPr>
          <w:spacing w:val="-15"/>
        </w:rPr>
        <w:t> </w:t>
      </w:r>
      <w:r>
        <w:rPr/>
        <w:t>to</w:t>
      </w:r>
      <w:r>
        <w:rPr>
          <w:spacing w:val="-15"/>
        </w:rPr>
        <w:t> </w:t>
      </w:r>
      <w:r>
        <w:rPr/>
        <w:t>test</w:t>
      </w:r>
      <w:r>
        <w:rPr>
          <w:spacing w:val="-15"/>
        </w:rPr>
        <w:t> </w:t>
      </w:r>
      <w:r>
        <w:rPr/>
        <w:t>the</w:t>
      </w:r>
      <w:r>
        <w:rPr>
          <w:spacing w:val="-15"/>
        </w:rPr>
        <w:t> </w:t>
      </w:r>
      <w:r>
        <w:rPr/>
        <w:t>robustness</w:t>
      </w:r>
      <w:r>
        <w:rPr>
          <w:spacing w:val="-16"/>
        </w:rPr>
        <w:t> </w:t>
      </w:r>
      <w:r>
        <w:rPr/>
        <w:t>of</w:t>
      </w:r>
      <w:r>
        <w:rPr>
          <w:spacing w:val="-15"/>
        </w:rPr>
        <w:t> </w:t>
      </w:r>
      <w:r>
        <w:rPr/>
        <w:t>our findings. Our results hold after controlling for confounding factors like real actions that firms can take as they become distressed, large negative write-offs, covenant violations and bankruptcies, and other</w:t>
      </w:r>
      <w:r>
        <w:rPr>
          <w:spacing w:val="-36"/>
        </w:rPr>
        <w:t> </w:t>
      </w:r>
      <w:r>
        <w:rPr/>
        <w:t>stakeholders’ demand</w:t>
      </w:r>
      <w:r>
        <w:rPr>
          <w:spacing w:val="-14"/>
        </w:rPr>
        <w:t> </w:t>
      </w:r>
      <w:r>
        <w:rPr/>
        <w:t>for</w:t>
      </w:r>
      <w:r>
        <w:rPr>
          <w:spacing w:val="-14"/>
        </w:rPr>
        <w:t> </w:t>
      </w:r>
      <w:r>
        <w:rPr/>
        <w:t>conservatism.</w:t>
      </w:r>
      <w:r>
        <w:rPr>
          <w:spacing w:val="-14"/>
        </w:rPr>
        <w:t> </w:t>
      </w:r>
      <w:r>
        <w:rPr>
          <w:spacing w:val="-9"/>
        </w:rPr>
        <w:t>To</w:t>
      </w:r>
      <w:r>
        <w:rPr>
          <w:spacing w:val="-14"/>
        </w:rPr>
        <w:t> </w:t>
      </w:r>
      <w:r>
        <w:rPr/>
        <w:t>account</w:t>
      </w:r>
      <w:r>
        <w:rPr>
          <w:spacing w:val="-14"/>
        </w:rPr>
        <w:t> </w:t>
      </w:r>
      <w:r>
        <w:rPr/>
        <w:t>for</w:t>
      </w:r>
      <w:r>
        <w:rPr>
          <w:spacing w:val="-14"/>
        </w:rPr>
        <w:t> </w:t>
      </w:r>
      <w:r>
        <w:rPr/>
        <w:t>the</w:t>
      </w:r>
      <w:r>
        <w:rPr>
          <w:spacing w:val="-14"/>
        </w:rPr>
        <w:t> </w:t>
      </w:r>
      <w:r>
        <w:rPr/>
        <w:t>effect</w:t>
      </w:r>
      <w:r>
        <w:rPr>
          <w:spacing w:val="-14"/>
        </w:rPr>
        <w:t> </w:t>
      </w:r>
      <w:r>
        <w:rPr/>
        <w:t>of</w:t>
      </w:r>
      <w:r>
        <w:rPr>
          <w:spacing w:val="-14"/>
        </w:rPr>
        <w:t> </w:t>
      </w:r>
      <w:r>
        <w:rPr/>
        <w:t>fluctuating</w:t>
      </w:r>
      <w:r>
        <w:rPr>
          <w:spacing w:val="-14"/>
        </w:rPr>
        <w:t> </w:t>
      </w:r>
      <w:r>
        <w:rPr/>
        <w:t>firm</w:t>
      </w:r>
      <w:r>
        <w:rPr>
          <w:spacing w:val="-14"/>
        </w:rPr>
        <w:t> </w:t>
      </w:r>
      <w:r>
        <w:rPr/>
        <w:t>per- formance, we rerun our main test on a performance-matched sample, a subsample</w:t>
      </w:r>
      <w:r>
        <w:rPr>
          <w:spacing w:val="-12"/>
        </w:rPr>
        <w:t> </w:t>
      </w:r>
      <w:r>
        <w:rPr/>
        <w:t>that</w:t>
      </w:r>
      <w:r>
        <w:rPr>
          <w:spacing w:val="-12"/>
        </w:rPr>
        <w:t> </w:t>
      </w:r>
      <w:r>
        <w:rPr/>
        <w:t>holds</w:t>
      </w:r>
      <w:r>
        <w:rPr>
          <w:spacing w:val="-12"/>
        </w:rPr>
        <w:t> </w:t>
      </w:r>
      <w:r>
        <w:rPr/>
        <w:t>a</w:t>
      </w:r>
      <w:r>
        <w:rPr>
          <w:spacing w:val="-12"/>
        </w:rPr>
        <w:t> </w:t>
      </w:r>
      <w:r>
        <w:rPr/>
        <w:t>firm’s</w:t>
      </w:r>
      <w:r>
        <w:rPr>
          <w:spacing w:val="-12"/>
        </w:rPr>
        <w:t> </w:t>
      </w:r>
      <w:r>
        <w:rPr/>
        <w:t>near</w:t>
      </w:r>
      <w:r>
        <w:rPr>
          <w:spacing w:val="-12"/>
        </w:rPr>
        <w:t> </w:t>
      </w:r>
      <w:r>
        <w:rPr/>
        <w:t>insolvency</w:t>
      </w:r>
      <w:r>
        <w:rPr>
          <w:spacing w:val="-12"/>
        </w:rPr>
        <w:t> </w:t>
      </w:r>
      <w:r>
        <w:rPr/>
        <w:t>status</w:t>
      </w:r>
      <w:r>
        <w:rPr>
          <w:spacing w:val="-12"/>
        </w:rPr>
        <w:t> </w:t>
      </w:r>
      <w:r>
        <w:rPr/>
        <w:t>constant,</w:t>
      </w:r>
      <w:r>
        <w:rPr>
          <w:spacing w:val="-12"/>
        </w:rPr>
        <w:t> </w:t>
      </w:r>
      <w:r>
        <w:rPr/>
        <w:t>and</w:t>
      </w:r>
      <w:r>
        <w:rPr>
          <w:spacing w:val="-12"/>
        </w:rPr>
        <w:t> </w:t>
      </w:r>
      <w:r>
        <w:rPr/>
        <w:t>a</w:t>
      </w:r>
      <w:r>
        <w:rPr>
          <w:spacing w:val="-12"/>
        </w:rPr>
        <w:t> </w:t>
      </w:r>
      <w:r>
        <w:rPr/>
        <w:t>short- ened</w:t>
      </w:r>
      <w:r>
        <w:rPr>
          <w:spacing w:val="-13"/>
        </w:rPr>
        <w:t> </w:t>
      </w:r>
      <w:r>
        <w:rPr/>
        <w:t>sample</w:t>
      </w:r>
      <w:r>
        <w:rPr>
          <w:spacing w:val="-13"/>
        </w:rPr>
        <w:t> </w:t>
      </w:r>
      <w:r>
        <w:rPr/>
        <w:t>period</w:t>
      </w:r>
      <w:r>
        <w:rPr>
          <w:spacing w:val="-13"/>
        </w:rPr>
        <w:t> </w:t>
      </w:r>
      <w:r>
        <w:rPr/>
        <w:t>during</w:t>
      </w:r>
      <w:r>
        <w:rPr>
          <w:spacing w:val="-13"/>
        </w:rPr>
        <w:t> </w:t>
      </w:r>
      <w:r>
        <w:rPr/>
        <w:t>which</w:t>
      </w:r>
      <w:r>
        <w:rPr>
          <w:spacing w:val="-13"/>
        </w:rPr>
        <w:t> </w:t>
      </w:r>
      <w:r>
        <w:rPr/>
        <w:t>firms</w:t>
      </w:r>
      <w:r>
        <w:rPr>
          <w:spacing w:val="-13"/>
        </w:rPr>
        <w:t> </w:t>
      </w:r>
      <w:r>
        <w:rPr/>
        <w:t>are</w:t>
      </w:r>
      <w:r>
        <w:rPr>
          <w:spacing w:val="-13"/>
        </w:rPr>
        <w:t> </w:t>
      </w:r>
      <w:r>
        <w:rPr/>
        <w:t>less</w:t>
      </w:r>
      <w:r>
        <w:rPr>
          <w:spacing w:val="-13"/>
        </w:rPr>
        <w:t> </w:t>
      </w:r>
      <w:r>
        <w:rPr/>
        <w:t>likely</w:t>
      </w:r>
      <w:r>
        <w:rPr>
          <w:spacing w:val="-13"/>
        </w:rPr>
        <w:t> </w:t>
      </w:r>
      <w:r>
        <w:rPr/>
        <w:t>to</w:t>
      </w:r>
      <w:r>
        <w:rPr>
          <w:spacing w:val="-13"/>
        </w:rPr>
        <w:t> </w:t>
      </w:r>
      <w:r>
        <w:rPr/>
        <w:t>change</w:t>
      </w:r>
      <w:r>
        <w:rPr>
          <w:spacing w:val="-13"/>
        </w:rPr>
        <w:t> </w:t>
      </w:r>
      <w:r>
        <w:rPr/>
        <w:t>their</w:t>
      </w:r>
      <w:r>
        <w:rPr>
          <w:spacing w:val="-13"/>
        </w:rPr>
        <w:t> </w:t>
      </w:r>
      <w:r>
        <w:rPr/>
        <w:t>near insolvency status. </w:t>
      </w:r>
      <w:r>
        <w:rPr>
          <w:spacing w:val="-6"/>
        </w:rPr>
        <w:t>We </w:t>
      </w:r>
      <w:r>
        <w:rPr/>
        <w:t>also address possible selection biases on account</w:t>
      </w:r>
      <w:r>
        <w:rPr>
          <w:spacing w:val="-8"/>
        </w:rPr>
        <w:t> </w:t>
      </w:r>
      <w:r>
        <w:rPr/>
        <w:t>of state</w:t>
      </w:r>
      <w:r>
        <w:rPr>
          <w:spacing w:val="-13"/>
        </w:rPr>
        <w:t> </w:t>
      </w:r>
      <w:r>
        <w:rPr/>
        <w:t>of</w:t>
      </w:r>
      <w:r>
        <w:rPr>
          <w:spacing w:val="-13"/>
        </w:rPr>
        <w:t> </w:t>
      </w:r>
      <w:r>
        <w:rPr/>
        <w:t>incorporation</w:t>
      </w:r>
      <w:r>
        <w:rPr>
          <w:spacing w:val="-13"/>
        </w:rPr>
        <w:t> </w:t>
      </w:r>
      <w:r>
        <w:rPr/>
        <w:t>choice</w:t>
      </w:r>
      <w:r>
        <w:rPr>
          <w:spacing w:val="-13"/>
        </w:rPr>
        <w:t> </w:t>
      </w:r>
      <w:r>
        <w:rPr/>
        <w:t>and</w:t>
      </w:r>
      <w:r>
        <w:rPr>
          <w:spacing w:val="-13"/>
        </w:rPr>
        <w:t> </w:t>
      </w:r>
      <w:r>
        <w:rPr/>
        <w:t>the</w:t>
      </w:r>
      <w:r>
        <w:rPr>
          <w:spacing w:val="-13"/>
        </w:rPr>
        <w:t> </w:t>
      </w:r>
      <w:r>
        <w:rPr/>
        <w:t>level</w:t>
      </w:r>
      <w:r>
        <w:rPr>
          <w:spacing w:val="-13"/>
        </w:rPr>
        <w:t> </w:t>
      </w:r>
      <w:r>
        <w:rPr/>
        <w:t>of</w:t>
      </w:r>
      <w:r>
        <w:rPr>
          <w:spacing w:val="-13"/>
        </w:rPr>
        <w:t> </w:t>
      </w:r>
      <w:r>
        <w:rPr/>
        <w:t>default</w:t>
      </w:r>
      <w:r>
        <w:rPr>
          <w:spacing w:val="-13"/>
        </w:rPr>
        <w:t> </w:t>
      </w:r>
      <w:r>
        <w:rPr/>
        <w:t>risk.</w:t>
      </w:r>
      <w:r>
        <w:rPr>
          <w:spacing w:val="-14"/>
        </w:rPr>
        <w:t> </w:t>
      </w:r>
      <w:r>
        <w:rPr/>
        <w:t>Our</w:t>
      </w:r>
      <w:r>
        <w:rPr>
          <w:spacing w:val="-13"/>
        </w:rPr>
        <w:t> </w:t>
      </w:r>
      <w:r>
        <w:rPr/>
        <w:t>main</w:t>
      </w:r>
      <w:r>
        <w:rPr>
          <w:spacing w:val="-13"/>
        </w:rPr>
        <w:t> </w:t>
      </w:r>
      <w:r>
        <w:rPr/>
        <w:t>results remain significant and consistent across all supplemental</w:t>
      </w:r>
      <w:r>
        <w:rPr>
          <w:spacing w:val="-30"/>
        </w:rPr>
        <w:t> </w:t>
      </w:r>
      <w:r>
        <w:rPr/>
        <w:t>tests.</w:t>
      </w:r>
    </w:p>
    <w:p>
      <w:pPr>
        <w:pStyle w:val="BodyText"/>
        <w:spacing w:line="230" w:lineRule="auto" w:before="5"/>
        <w:ind w:left="532" w:right="149" w:firstLine="199"/>
        <w:jc w:val="both"/>
      </w:pPr>
      <w:r>
        <w:rPr/>
        <w:t>Our study makes a number of contributions. First, it establishes a clear causal link between debtholders’ demand and accounting conservatism. Prior</w:t>
      </w:r>
      <w:r>
        <w:rPr>
          <w:spacing w:val="-24"/>
        </w:rPr>
        <w:t> </w:t>
      </w:r>
      <w:r>
        <w:rPr/>
        <w:t>studies</w:t>
      </w:r>
      <w:r>
        <w:rPr>
          <w:spacing w:val="-24"/>
        </w:rPr>
        <w:t> </w:t>
      </w:r>
      <w:r>
        <w:rPr/>
        <w:t>have</w:t>
      </w:r>
      <w:r>
        <w:rPr>
          <w:spacing w:val="-24"/>
        </w:rPr>
        <w:t> </w:t>
      </w:r>
      <w:r>
        <w:rPr/>
        <w:t>struggled</w:t>
      </w:r>
      <w:r>
        <w:rPr>
          <w:spacing w:val="-24"/>
        </w:rPr>
        <w:t> </w:t>
      </w:r>
      <w:r>
        <w:rPr/>
        <w:t>to</w:t>
      </w:r>
      <w:r>
        <w:rPr>
          <w:spacing w:val="-24"/>
        </w:rPr>
        <w:t> </w:t>
      </w:r>
      <w:r>
        <w:rPr/>
        <w:t>provide</w:t>
      </w:r>
      <w:r>
        <w:rPr>
          <w:spacing w:val="-24"/>
        </w:rPr>
        <w:t> </w:t>
      </w:r>
      <w:r>
        <w:rPr/>
        <w:t>causal</w:t>
      </w:r>
      <w:r>
        <w:rPr>
          <w:spacing w:val="-24"/>
        </w:rPr>
        <w:t> </w:t>
      </w:r>
      <w:r>
        <w:rPr/>
        <w:t>evidence</w:t>
      </w:r>
      <w:r>
        <w:rPr>
          <w:spacing w:val="-24"/>
        </w:rPr>
        <w:t> </w:t>
      </w:r>
      <w:r>
        <w:rPr/>
        <w:t>on</w:t>
      </w:r>
      <w:r>
        <w:rPr>
          <w:spacing w:val="-24"/>
        </w:rPr>
        <w:t> </w:t>
      </w:r>
      <w:r>
        <w:rPr/>
        <w:t>debtholders’</w:t>
      </w:r>
      <w:r>
        <w:rPr>
          <w:spacing w:val="-24"/>
        </w:rPr>
        <w:t> </w:t>
      </w:r>
      <w:r>
        <w:rPr/>
        <w:t>de- mand</w:t>
      </w:r>
      <w:r>
        <w:rPr>
          <w:spacing w:val="-14"/>
        </w:rPr>
        <w:t> </w:t>
      </w:r>
      <w:r>
        <w:rPr/>
        <w:t>for</w:t>
      </w:r>
      <w:r>
        <w:rPr>
          <w:spacing w:val="-14"/>
        </w:rPr>
        <w:t> </w:t>
      </w:r>
      <w:r>
        <w:rPr/>
        <w:t>conservatism</w:t>
      </w:r>
      <w:r>
        <w:rPr>
          <w:spacing w:val="-14"/>
        </w:rPr>
        <w:t> </w:t>
      </w:r>
      <w:r>
        <w:rPr/>
        <w:t>due</w:t>
      </w:r>
      <w:r>
        <w:rPr>
          <w:spacing w:val="-14"/>
        </w:rPr>
        <w:t> </w:t>
      </w:r>
      <w:r>
        <w:rPr/>
        <w:t>to</w:t>
      </w:r>
      <w:r>
        <w:rPr>
          <w:spacing w:val="-14"/>
        </w:rPr>
        <w:t> </w:t>
      </w:r>
      <w:r>
        <w:rPr/>
        <w:t>potential</w:t>
      </w:r>
      <w:r>
        <w:rPr>
          <w:spacing w:val="-14"/>
        </w:rPr>
        <w:t> </w:t>
      </w:r>
      <w:r>
        <w:rPr/>
        <w:t>confounding</w:t>
      </w:r>
      <w:r>
        <w:rPr>
          <w:spacing w:val="-14"/>
        </w:rPr>
        <w:t> </w:t>
      </w:r>
      <w:r>
        <w:rPr/>
        <w:t>factors</w:t>
      </w:r>
      <w:r>
        <w:rPr>
          <w:spacing w:val="-14"/>
        </w:rPr>
        <w:t> </w:t>
      </w:r>
      <w:r>
        <w:rPr/>
        <w:t>that</w:t>
      </w:r>
      <w:r>
        <w:rPr>
          <w:spacing w:val="-14"/>
        </w:rPr>
        <w:t> </w:t>
      </w:r>
      <w:r>
        <w:rPr/>
        <w:t>may</w:t>
      </w:r>
      <w:r>
        <w:rPr>
          <w:spacing w:val="-14"/>
        </w:rPr>
        <w:t> </w:t>
      </w:r>
      <w:r>
        <w:rPr/>
        <w:t>also contribute to a firm’s decision to adopt more accounting conservatism.</w:t>
      </w:r>
      <w:r>
        <w:rPr>
          <w:color w:val="231F20"/>
          <w:position w:val="7"/>
          <w:sz w:val="14"/>
        </w:rPr>
        <w:t>2 </w:t>
      </w:r>
      <w:r>
        <w:rPr>
          <w:spacing w:val="-6"/>
        </w:rPr>
        <w:t>We</w:t>
      </w:r>
      <w:r>
        <w:rPr>
          <w:spacing w:val="-18"/>
        </w:rPr>
        <w:t> </w:t>
      </w:r>
      <w:r>
        <w:rPr/>
        <w:t>use</w:t>
      </w:r>
      <w:r>
        <w:rPr>
          <w:spacing w:val="-18"/>
        </w:rPr>
        <w:t> </w:t>
      </w:r>
      <w:r>
        <w:rPr/>
        <w:t>an</w:t>
      </w:r>
      <w:r>
        <w:rPr>
          <w:spacing w:val="-18"/>
        </w:rPr>
        <w:t> </w:t>
      </w:r>
      <w:r>
        <w:rPr/>
        <w:t>exogenous</w:t>
      </w:r>
      <w:r>
        <w:rPr>
          <w:spacing w:val="-18"/>
        </w:rPr>
        <w:t> </w:t>
      </w:r>
      <w:r>
        <w:rPr/>
        <w:t>shock</w:t>
      </w:r>
      <w:r>
        <w:rPr>
          <w:spacing w:val="-18"/>
        </w:rPr>
        <w:t> </w:t>
      </w:r>
      <w:r>
        <w:rPr/>
        <w:t>of</w:t>
      </w:r>
      <w:r>
        <w:rPr>
          <w:spacing w:val="-18"/>
        </w:rPr>
        <w:t> </w:t>
      </w:r>
      <w:r>
        <w:rPr/>
        <w:t>a</w:t>
      </w:r>
      <w:r>
        <w:rPr>
          <w:spacing w:val="-18"/>
        </w:rPr>
        <w:t> </w:t>
      </w:r>
      <w:r>
        <w:rPr/>
        <w:t>legal</w:t>
      </w:r>
      <w:r>
        <w:rPr>
          <w:spacing w:val="-18"/>
        </w:rPr>
        <w:t> </w:t>
      </w:r>
      <w:r>
        <w:rPr/>
        <w:t>event,</w:t>
      </w:r>
      <w:r>
        <w:rPr>
          <w:spacing w:val="-18"/>
        </w:rPr>
        <w:t> </w:t>
      </w:r>
      <w:r>
        <w:rPr/>
        <w:t>which</w:t>
      </w:r>
      <w:r>
        <w:rPr>
          <w:spacing w:val="-17"/>
        </w:rPr>
        <w:t> </w:t>
      </w:r>
      <w:r>
        <w:rPr/>
        <w:t>expanded</w:t>
      </w:r>
      <w:r>
        <w:rPr>
          <w:spacing w:val="-18"/>
        </w:rPr>
        <w:t> </w:t>
      </w:r>
      <w:r>
        <w:rPr/>
        <w:t>fiduciary</w:t>
      </w:r>
      <w:r>
        <w:rPr>
          <w:spacing w:val="-18"/>
        </w:rPr>
        <w:t> </w:t>
      </w:r>
      <w:r>
        <w:rPr/>
        <w:t>du- ties of directors to include creditors, as a mechanism to examine whether debtholders</w:t>
      </w:r>
      <w:r>
        <w:rPr>
          <w:spacing w:val="-36"/>
        </w:rPr>
        <w:t> </w:t>
      </w:r>
      <w:r>
        <w:rPr/>
        <w:t>indeed</w:t>
      </w:r>
      <w:r>
        <w:rPr>
          <w:spacing w:val="-36"/>
        </w:rPr>
        <w:t> </w:t>
      </w:r>
      <w:r>
        <w:rPr/>
        <w:t>demand</w:t>
      </w:r>
      <w:r>
        <w:rPr>
          <w:spacing w:val="-36"/>
        </w:rPr>
        <w:t> </w:t>
      </w:r>
      <w:r>
        <w:rPr/>
        <w:t>conservatism.</w:t>
      </w:r>
      <w:r>
        <w:rPr>
          <w:spacing w:val="-36"/>
        </w:rPr>
        <w:t> </w:t>
      </w:r>
      <w:r>
        <w:rPr/>
        <w:t>This</w:t>
      </w:r>
      <w:r>
        <w:rPr>
          <w:spacing w:val="-36"/>
        </w:rPr>
        <w:t> </w:t>
      </w:r>
      <w:r>
        <w:rPr/>
        <w:t>natural</w:t>
      </w:r>
      <w:r>
        <w:rPr>
          <w:spacing w:val="-36"/>
        </w:rPr>
        <w:t> </w:t>
      </w:r>
      <w:r>
        <w:rPr/>
        <w:t>setting</w:t>
      </w:r>
      <w:r>
        <w:rPr>
          <w:spacing w:val="-36"/>
        </w:rPr>
        <w:t> </w:t>
      </w:r>
      <w:r>
        <w:rPr/>
        <w:t>significantly mitigates</w:t>
      </w:r>
      <w:r>
        <w:rPr>
          <w:spacing w:val="-14"/>
        </w:rPr>
        <w:t> </w:t>
      </w:r>
      <w:r>
        <w:rPr/>
        <w:t>endogeneity</w:t>
      </w:r>
      <w:r>
        <w:rPr>
          <w:spacing w:val="-14"/>
        </w:rPr>
        <w:t> </w:t>
      </w:r>
      <w:r>
        <w:rPr/>
        <w:t>concerns</w:t>
      </w:r>
      <w:r>
        <w:rPr>
          <w:spacing w:val="-14"/>
        </w:rPr>
        <w:t> </w:t>
      </w:r>
      <w:r>
        <w:rPr/>
        <w:t>and</w:t>
      </w:r>
      <w:r>
        <w:rPr>
          <w:spacing w:val="-14"/>
        </w:rPr>
        <w:t> </w:t>
      </w:r>
      <w:r>
        <w:rPr/>
        <w:t>makes</w:t>
      </w:r>
      <w:r>
        <w:rPr>
          <w:spacing w:val="-14"/>
        </w:rPr>
        <w:t> </w:t>
      </w:r>
      <w:r>
        <w:rPr/>
        <w:t>it</w:t>
      </w:r>
      <w:r>
        <w:rPr>
          <w:spacing w:val="-14"/>
        </w:rPr>
        <w:t> </w:t>
      </w:r>
      <w:r>
        <w:rPr/>
        <w:t>easier</w:t>
      </w:r>
      <w:r>
        <w:rPr>
          <w:spacing w:val="-14"/>
        </w:rPr>
        <w:t> </w:t>
      </w:r>
      <w:r>
        <w:rPr/>
        <w:t>to</w:t>
      </w:r>
      <w:r>
        <w:rPr>
          <w:spacing w:val="-14"/>
        </w:rPr>
        <w:t> </w:t>
      </w:r>
      <w:r>
        <w:rPr/>
        <w:t>attribute</w:t>
      </w:r>
      <w:r>
        <w:rPr>
          <w:spacing w:val="-14"/>
        </w:rPr>
        <w:t> </w:t>
      </w:r>
      <w:r>
        <w:rPr/>
        <w:t>changes</w:t>
      </w:r>
      <w:r>
        <w:rPr>
          <w:spacing w:val="-14"/>
        </w:rPr>
        <w:t> </w:t>
      </w:r>
      <w:r>
        <w:rPr/>
        <w:t>in conservatism</w:t>
      </w:r>
      <w:r>
        <w:rPr>
          <w:spacing w:val="-13"/>
        </w:rPr>
        <w:t> </w:t>
      </w:r>
      <w:r>
        <w:rPr/>
        <w:t>around</w:t>
      </w:r>
      <w:r>
        <w:rPr>
          <w:spacing w:val="-13"/>
        </w:rPr>
        <w:t> </w:t>
      </w:r>
      <w:r>
        <w:rPr/>
        <w:t>the</w:t>
      </w:r>
      <w:r>
        <w:rPr>
          <w:spacing w:val="-13"/>
        </w:rPr>
        <w:t> </w:t>
      </w:r>
      <w:r>
        <w:rPr/>
        <w:t>event</w:t>
      </w:r>
      <w:r>
        <w:rPr>
          <w:spacing w:val="-13"/>
        </w:rPr>
        <w:t> </w:t>
      </w:r>
      <w:r>
        <w:rPr/>
        <w:t>to</w:t>
      </w:r>
      <w:r>
        <w:rPr>
          <w:spacing w:val="-13"/>
        </w:rPr>
        <w:t> </w:t>
      </w:r>
      <w:r>
        <w:rPr/>
        <w:t>debtholders’</w:t>
      </w:r>
      <w:r>
        <w:rPr>
          <w:spacing w:val="-13"/>
        </w:rPr>
        <w:t> </w:t>
      </w:r>
      <w:r>
        <w:rPr/>
        <w:t>demand.</w:t>
      </w:r>
      <w:r>
        <w:rPr>
          <w:spacing w:val="-13"/>
        </w:rPr>
        <w:t> </w:t>
      </w:r>
      <w:r>
        <w:rPr/>
        <w:t>Second,</w:t>
      </w:r>
      <w:r>
        <w:rPr>
          <w:spacing w:val="-13"/>
        </w:rPr>
        <w:t> </w:t>
      </w:r>
      <w:r>
        <w:rPr/>
        <w:t>our</w:t>
      </w:r>
      <w:r>
        <w:rPr>
          <w:spacing w:val="-13"/>
        </w:rPr>
        <w:t> </w:t>
      </w:r>
      <w:r>
        <w:rPr/>
        <w:t>find- ings</w:t>
      </w:r>
      <w:r>
        <w:rPr>
          <w:spacing w:val="-20"/>
        </w:rPr>
        <w:t> </w:t>
      </w:r>
      <w:r>
        <w:rPr/>
        <w:t>of</w:t>
      </w:r>
      <w:r>
        <w:rPr>
          <w:spacing w:val="-20"/>
        </w:rPr>
        <w:t> </w:t>
      </w:r>
      <w:r>
        <w:rPr/>
        <w:t>a</w:t>
      </w:r>
      <w:r>
        <w:rPr>
          <w:spacing w:val="-20"/>
        </w:rPr>
        <w:t> </w:t>
      </w:r>
      <w:r>
        <w:rPr/>
        <w:t>more</w:t>
      </w:r>
      <w:r>
        <w:rPr>
          <w:spacing w:val="-20"/>
        </w:rPr>
        <w:t> </w:t>
      </w:r>
      <w:r>
        <w:rPr/>
        <w:t>pronounced</w:t>
      </w:r>
      <w:r>
        <w:rPr>
          <w:spacing w:val="-20"/>
        </w:rPr>
        <w:t> </w:t>
      </w:r>
      <w:r>
        <w:rPr/>
        <w:t>increase</w:t>
      </w:r>
      <w:r>
        <w:rPr>
          <w:spacing w:val="-20"/>
        </w:rPr>
        <w:t> </w:t>
      </w:r>
      <w:r>
        <w:rPr/>
        <w:t>in</w:t>
      </w:r>
      <w:r>
        <w:rPr>
          <w:spacing w:val="-20"/>
        </w:rPr>
        <w:t> </w:t>
      </w:r>
      <w:r>
        <w:rPr/>
        <w:t>conservatism</w:t>
      </w:r>
      <w:r>
        <w:rPr>
          <w:spacing w:val="-20"/>
        </w:rPr>
        <w:t> </w:t>
      </w:r>
      <w:r>
        <w:rPr/>
        <w:t>for</w:t>
      </w:r>
      <w:r>
        <w:rPr>
          <w:spacing w:val="-20"/>
        </w:rPr>
        <w:t> </w:t>
      </w:r>
      <w:r>
        <w:rPr/>
        <w:t>firms</w:t>
      </w:r>
      <w:r>
        <w:rPr>
          <w:spacing w:val="-20"/>
        </w:rPr>
        <w:t> </w:t>
      </w:r>
      <w:r>
        <w:rPr/>
        <w:t>with</w:t>
      </w:r>
      <w:r>
        <w:rPr>
          <w:spacing w:val="-20"/>
        </w:rPr>
        <w:t> </w:t>
      </w:r>
      <w:r>
        <w:rPr/>
        <w:t>stronger</w:t>
      </w:r>
    </w:p>
    <w:p>
      <w:pPr>
        <w:pStyle w:val="BodyText"/>
        <w:spacing w:before="10"/>
        <w:rPr>
          <w:sz w:val="16"/>
        </w:rPr>
      </w:pPr>
      <w:r>
        <w:rPr/>
        <w:pict>
          <v:line style="position:absolute;mso-position-horizontal-relative:page;mso-position-vertical-relative:paragraph;z-index:1120;mso-wrap-distance-left:0;mso-wrap-distance-right:0" from="90.629997pt,12.695224pt" to="126.503997pt,12.695224pt" stroked="true" strokeweight=".504pt" strokecolor="#000000">
            <v:stroke dashstyle="solid"/>
            <w10:wrap type="topAndBottom"/>
          </v:line>
        </w:pict>
      </w:r>
    </w:p>
    <w:p>
      <w:pPr>
        <w:spacing w:before="72"/>
        <w:ind w:left="532" w:right="148" w:firstLine="179"/>
        <w:jc w:val="both"/>
        <w:rPr>
          <w:sz w:val="16"/>
        </w:rPr>
      </w:pPr>
      <w:r>
        <w:rPr>
          <w:color w:val="231F20"/>
          <w:position w:val="6"/>
          <w:sz w:val="12"/>
        </w:rPr>
        <w:t>2 </w:t>
      </w:r>
      <w:r>
        <w:rPr>
          <w:color w:val="231F20"/>
          <w:spacing w:val="-3"/>
          <w:sz w:val="16"/>
        </w:rPr>
        <w:t>Gormley, </w:t>
      </w:r>
      <w:r>
        <w:rPr>
          <w:color w:val="231F20"/>
          <w:sz w:val="16"/>
        </w:rPr>
        <w:t>Kim, and Martin [2012] exploit an exogenous regulatory change in the Indian banking</w:t>
      </w:r>
      <w:r>
        <w:rPr>
          <w:color w:val="231F20"/>
          <w:spacing w:val="-10"/>
          <w:sz w:val="16"/>
        </w:rPr>
        <w:t> </w:t>
      </w:r>
      <w:r>
        <w:rPr>
          <w:color w:val="231F20"/>
          <w:sz w:val="16"/>
        </w:rPr>
        <w:t>industry.</w:t>
      </w:r>
      <w:r>
        <w:rPr>
          <w:color w:val="231F20"/>
          <w:spacing w:val="-11"/>
          <w:sz w:val="16"/>
        </w:rPr>
        <w:t> </w:t>
      </w:r>
      <w:r>
        <w:rPr>
          <w:color w:val="231F20"/>
          <w:sz w:val="16"/>
        </w:rPr>
        <w:t>They</w:t>
      </w:r>
      <w:r>
        <w:rPr>
          <w:color w:val="231F20"/>
          <w:spacing w:val="-11"/>
          <w:sz w:val="16"/>
        </w:rPr>
        <w:t> </w:t>
      </w:r>
      <w:r>
        <w:rPr>
          <w:color w:val="231F20"/>
          <w:sz w:val="16"/>
        </w:rPr>
        <w:t>document</w:t>
      </w:r>
      <w:r>
        <w:rPr>
          <w:color w:val="231F20"/>
          <w:spacing w:val="-11"/>
          <w:sz w:val="16"/>
        </w:rPr>
        <w:t> </w:t>
      </w:r>
      <w:r>
        <w:rPr>
          <w:color w:val="231F20"/>
          <w:sz w:val="16"/>
        </w:rPr>
        <w:t>that</w:t>
      </w:r>
      <w:r>
        <w:rPr>
          <w:color w:val="231F20"/>
          <w:spacing w:val="-10"/>
          <w:sz w:val="16"/>
        </w:rPr>
        <w:t> </w:t>
      </w:r>
      <w:r>
        <w:rPr>
          <w:color w:val="231F20"/>
          <w:sz w:val="16"/>
        </w:rPr>
        <w:t>foreign</w:t>
      </w:r>
      <w:r>
        <w:rPr>
          <w:color w:val="231F20"/>
          <w:spacing w:val="-10"/>
          <w:sz w:val="16"/>
        </w:rPr>
        <w:t> </w:t>
      </w:r>
      <w:r>
        <w:rPr>
          <w:color w:val="231F20"/>
          <w:sz w:val="16"/>
        </w:rPr>
        <w:t>bank</w:t>
      </w:r>
      <w:r>
        <w:rPr>
          <w:color w:val="231F20"/>
          <w:spacing w:val="-10"/>
          <w:sz w:val="16"/>
        </w:rPr>
        <w:t> </w:t>
      </w:r>
      <w:r>
        <w:rPr>
          <w:color w:val="231F20"/>
          <w:sz w:val="16"/>
        </w:rPr>
        <w:t>entry</w:t>
      </w:r>
      <w:r>
        <w:rPr>
          <w:color w:val="231F20"/>
          <w:spacing w:val="-11"/>
          <w:sz w:val="16"/>
        </w:rPr>
        <w:t> </w:t>
      </w:r>
      <w:r>
        <w:rPr>
          <w:color w:val="231F20"/>
          <w:sz w:val="16"/>
        </w:rPr>
        <w:t>is</w:t>
      </w:r>
      <w:r>
        <w:rPr>
          <w:color w:val="231F20"/>
          <w:spacing w:val="-11"/>
          <w:sz w:val="16"/>
        </w:rPr>
        <w:t> </w:t>
      </w:r>
      <w:r>
        <w:rPr>
          <w:color w:val="231F20"/>
          <w:sz w:val="16"/>
        </w:rPr>
        <w:t>associated</w:t>
      </w:r>
      <w:r>
        <w:rPr>
          <w:color w:val="231F20"/>
          <w:spacing w:val="-10"/>
          <w:sz w:val="16"/>
        </w:rPr>
        <w:t> </w:t>
      </w:r>
      <w:r>
        <w:rPr>
          <w:color w:val="231F20"/>
          <w:sz w:val="16"/>
        </w:rPr>
        <w:t>with</w:t>
      </w:r>
      <w:r>
        <w:rPr>
          <w:color w:val="231F20"/>
          <w:spacing w:val="-11"/>
          <w:sz w:val="16"/>
        </w:rPr>
        <w:t> </w:t>
      </w:r>
      <w:r>
        <w:rPr>
          <w:color w:val="231F20"/>
          <w:sz w:val="16"/>
        </w:rPr>
        <w:t>more</w:t>
      </w:r>
      <w:r>
        <w:rPr>
          <w:color w:val="231F20"/>
          <w:spacing w:val="-10"/>
          <w:sz w:val="16"/>
        </w:rPr>
        <w:t> </w:t>
      </w:r>
      <w:r>
        <w:rPr>
          <w:color w:val="231F20"/>
          <w:sz w:val="16"/>
        </w:rPr>
        <w:t>timely</w:t>
      </w:r>
      <w:r>
        <w:rPr>
          <w:color w:val="231F20"/>
          <w:spacing w:val="-11"/>
          <w:sz w:val="16"/>
        </w:rPr>
        <w:t> </w:t>
      </w:r>
      <w:r>
        <w:rPr>
          <w:color w:val="231F20"/>
          <w:sz w:val="16"/>
        </w:rPr>
        <w:t>loss recognition, and this change appears to be driven by a shift in firms’ incentives to supply additional information to</w:t>
      </w:r>
      <w:r>
        <w:rPr>
          <w:color w:val="231F20"/>
          <w:spacing w:val="1"/>
          <w:sz w:val="16"/>
        </w:rPr>
        <w:t> </w:t>
      </w:r>
      <w:r>
        <w:rPr>
          <w:color w:val="231F20"/>
          <w:sz w:val="16"/>
        </w:rPr>
        <w:t>lenders.</w:t>
      </w:r>
    </w:p>
    <w:p>
      <w:pPr>
        <w:spacing w:after="0"/>
        <w:jc w:val="both"/>
        <w:rPr>
          <w:sz w:val="16"/>
        </w:rPr>
        <w:sectPr>
          <w:pgSz w:w="9720" w:h="14400"/>
          <w:pgMar w:header="1057" w:footer="0" w:top="1300" w:bottom="280" w:left="1280" w:right="1300"/>
        </w:sectPr>
      </w:pPr>
    </w:p>
    <w:p>
      <w:pPr>
        <w:pStyle w:val="BodyText"/>
        <w:spacing w:line="230" w:lineRule="auto" w:before="179"/>
        <w:ind w:left="162" w:right="519"/>
        <w:jc w:val="both"/>
      </w:pPr>
      <w:r>
        <w:rPr/>
        <w:t>boards suggest that the effect of the court ruling on accounting conser- vatism comes through the channel of the board of directors. These</w:t>
      </w:r>
      <w:r>
        <w:rPr>
          <w:spacing w:val="-25"/>
        </w:rPr>
        <w:t> </w:t>
      </w:r>
      <w:r>
        <w:rPr/>
        <w:t>results also</w:t>
      </w:r>
      <w:r>
        <w:rPr>
          <w:spacing w:val="-15"/>
        </w:rPr>
        <w:t> </w:t>
      </w:r>
      <w:r>
        <w:rPr/>
        <w:t>add</w:t>
      </w:r>
      <w:r>
        <w:rPr>
          <w:spacing w:val="-15"/>
        </w:rPr>
        <w:t> </w:t>
      </w:r>
      <w:r>
        <w:rPr/>
        <w:t>to</w:t>
      </w:r>
      <w:r>
        <w:rPr>
          <w:spacing w:val="-15"/>
        </w:rPr>
        <w:t> </w:t>
      </w:r>
      <w:r>
        <w:rPr/>
        <w:t>our</w:t>
      </w:r>
      <w:r>
        <w:rPr>
          <w:spacing w:val="-15"/>
        </w:rPr>
        <w:t> </w:t>
      </w:r>
      <w:r>
        <w:rPr/>
        <w:t>understanding</w:t>
      </w:r>
      <w:r>
        <w:rPr>
          <w:spacing w:val="-15"/>
        </w:rPr>
        <w:t> </w:t>
      </w:r>
      <w:r>
        <w:rPr/>
        <w:t>of</w:t>
      </w:r>
      <w:r>
        <w:rPr>
          <w:spacing w:val="-15"/>
        </w:rPr>
        <w:t> </w:t>
      </w:r>
      <w:r>
        <w:rPr/>
        <w:t>the</w:t>
      </w:r>
      <w:r>
        <w:rPr>
          <w:spacing w:val="-15"/>
        </w:rPr>
        <w:t> </w:t>
      </w:r>
      <w:r>
        <w:rPr/>
        <w:t>role</w:t>
      </w:r>
      <w:r>
        <w:rPr>
          <w:spacing w:val="-15"/>
        </w:rPr>
        <w:t> </w:t>
      </w:r>
      <w:r>
        <w:rPr/>
        <w:t>of</w:t>
      </w:r>
      <w:r>
        <w:rPr>
          <w:spacing w:val="-15"/>
        </w:rPr>
        <w:t> </w:t>
      </w:r>
      <w:r>
        <w:rPr/>
        <w:t>directors</w:t>
      </w:r>
      <w:r>
        <w:rPr>
          <w:spacing w:val="-15"/>
        </w:rPr>
        <w:t> </w:t>
      </w:r>
      <w:r>
        <w:rPr/>
        <w:t>in</w:t>
      </w:r>
      <w:r>
        <w:rPr>
          <w:spacing w:val="-15"/>
        </w:rPr>
        <w:t> </w:t>
      </w:r>
      <w:r>
        <w:rPr/>
        <w:t>corporate</w:t>
      </w:r>
      <w:r>
        <w:rPr>
          <w:spacing w:val="-15"/>
        </w:rPr>
        <w:t> </w:t>
      </w:r>
      <w:r>
        <w:rPr/>
        <w:t>financial reporting. Last, consistent with Bushman and Piotroski [2006], our study provides</w:t>
      </w:r>
      <w:r>
        <w:rPr>
          <w:spacing w:val="-4"/>
        </w:rPr>
        <w:t> </w:t>
      </w:r>
      <w:r>
        <w:rPr/>
        <w:t>additional</w:t>
      </w:r>
      <w:r>
        <w:rPr>
          <w:spacing w:val="-4"/>
        </w:rPr>
        <w:t> </w:t>
      </w:r>
      <w:r>
        <w:rPr/>
        <w:t>support</w:t>
      </w:r>
      <w:r>
        <w:rPr>
          <w:spacing w:val="-4"/>
        </w:rPr>
        <w:t> </w:t>
      </w:r>
      <w:r>
        <w:rPr/>
        <w:t>to</w:t>
      </w:r>
      <w:r>
        <w:rPr>
          <w:spacing w:val="-4"/>
        </w:rPr>
        <w:t> </w:t>
      </w:r>
      <w:r>
        <w:rPr/>
        <w:t>the</w:t>
      </w:r>
      <w:r>
        <w:rPr>
          <w:spacing w:val="-4"/>
        </w:rPr>
        <w:t> </w:t>
      </w:r>
      <w:r>
        <w:rPr/>
        <w:t>premise</w:t>
      </w:r>
      <w:r>
        <w:rPr>
          <w:spacing w:val="-4"/>
        </w:rPr>
        <w:t> </w:t>
      </w:r>
      <w:r>
        <w:rPr/>
        <w:t>that</w:t>
      </w:r>
      <w:r>
        <w:rPr>
          <w:spacing w:val="-4"/>
        </w:rPr>
        <w:t> </w:t>
      </w:r>
      <w:r>
        <w:rPr/>
        <w:t>judicial</w:t>
      </w:r>
      <w:r>
        <w:rPr>
          <w:spacing w:val="-4"/>
        </w:rPr>
        <w:t> </w:t>
      </w:r>
      <w:r>
        <w:rPr/>
        <w:t>decisions</w:t>
      </w:r>
      <w:r>
        <w:rPr>
          <w:spacing w:val="-4"/>
        </w:rPr>
        <w:t> </w:t>
      </w:r>
      <w:r>
        <w:rPr/>
        <w:t>and</w:t>
      </w:r>
      <w:r>
        <w:rPr>
          <w:spacing w:val="-4"/>
        </w:rPr>
        <w:t> </w:t>
      </w:r>
      <w:r>
        <w:rPr/>
        <w:t>the associated litigation risk can have a significant impact on a company’s fi- nancial reporting decisions.</w:t>
      </w:r>
    </w:p>
    <w:p>
      <w:pPr>
        <w:pStyle w:val="BodyText"/>
        <w:spacing w:line="230" w:lineRule="auto" w:before="4"/>
        <w:ind w:left="162" w:right="519" w:firstLine="199"/>
        <w:jc w:val="both"/>
      </w:pPr>
      <w:r>
        <w:rPr/>
        <w:t>This</w:t>
      </w:r>
      <w:r>
        <w:rPr>
          <w:spacing w:val="-11"/>
        </w:rPr>
        <w:t> </w:t>
      </w:r>
      <w:r>
        <w:rPr/>
        <w:t>paper</w:t>
      </w:r>
      <w:r>
        <w:rPr>
          <w:spacing w:val="-11"/>
        </w:rPr>
        <w:t> </w:t>
      </w:r>
      <w:r>
        <w:rPr/>
        <w:t>is</w:t>
      </w:r>
      <w:r>
        <w:rPr>
          <w:spacing w:val="-11"/>
        </w:rPr>
        <w:t> </w:t>
      </w:r>
      <w:r>
        <w:rPr/>
        <w:t>subject</w:t>
      </w:r>
      <w:r>
        <w:rPr>
          <w:spacing w:val="-11"/>
        </w:rPr>
        <w:t> </w:t>
      </w:r>
      <w:r>
        <w:rPr/>
        <w:t>to</w:t>
      </w:r>
      <w:r>
        <w:rPr>
          <w:spacing w:val="-11"/>
        </w:rPr>
        <w:t> </w:t>
      </w:r>
      <w:r>
        <w:rPr/>
        <w:t>two</w:t>
      </w:r>
      <w:r>
        <w:rPr>
          <w:spacing w:val="-11"/>
        </w:rPr>
        <w:t> </w:t>
      </w:r>
      <w:r>
        <w:rPr/>
        <w:t>limitations.</w:t>
      </w:r>
      <w:r>
        <w:rPr>
          <w:spacing w:val="-11"/>
        </w:rPr>
        <w:t> </w:t>
      </w:r>
      <w:r>
        <w:rPr/>
        <w:t>First,</w:t>
      </w:r>
      <w:r>
        <w:rPr>
          <w:spacing w:val="-11"/>
        </w:rPr>
        <w:t> </w:t>
      </w:r>
      <w:r>
        <w:rPr/>
        <w:t>any</w:t>
      </w:r>
      <w:r>
        <w:rPr>
          <w:spacing w:val="-11"/>
        </w:rPr>
        <w:t> </w:t>
      </w:r>
      <w:r>
        <w:rPr/>
        <w:t>variable</w:t>
      </w:r>
      <w:r>
        <w:rPr>
          <w:spacing w:val="-11"/>
        </w:rPr>
        <w:t> </w:t>
      </w:r>
      <w:r>
        <w:rPr/>
        <w:t>that</w:t>
      </w:r>
      <w:r>
        <w:rPr>
          <w:spacing w:val="-11"/>
        </w:rPr>
        <w:t> </w:t>
      </w:r>
      <w:r>
        <w:rPr/>
        <w:t>purports to</w:t>
      </w:r>
      <w:r>
        <w:rPr>
          <w:spacing w:val="-8"/>
        </w:rPr>
        <w:t> </w:t>
      </w:r>
      <w:r>
        <w:rPr/>
        <w:t>capture</w:t>
      </w:r>
      <w:r>
        <w:rPr>
          <w:spacing w:val="-8"/>
        </w:rPr>
        <w:t> </w:t>
      </w:r>
      <w:r>
        <w:rPr/>
        <w:t>“vicinity</w:t>
      </w:r>
      <w:r>
        <w:rPr>
          <w:spacing w:val="-8"/>
        </w:rPr>
        <w:t> </w:t>
      </w:r>
      <w:r>
        <w:rPr/>
        <w:t>of</w:t>
      </w:r>
      <w:r>
        <w:rPr>
          <w:spacing w:val="-8"/>
        </w:rPr>
        <w:t> </w:t>
      </w:r>
      <w:r>
        <w:rPr/>
        <w:t>insolvency”</w:t>
      </w:r>
      <w:r>
        <w:rPr>
          <w:spacing w:val="-8"/>
        </w:rPr>
        <w:t> </w:t>
      </w:r>
      <w:r>
        <w:rPr/>
        <w:t>will</w:t>
      </w:r>
      <w:r>
        <w:rPr>
          <w:spacing w:val="-8"/>
        </w:rPr>
        <w:t> </w:t>
      </w:r>
      <w:r>
        <w:rPr/>
        <w:t>be</w:t>
      </w:r>
      <w:r>
        <w:rPr>
          <w:spacing w:val="-8"/>
        </w:rPr>
        <w:t> </w:t>
      </w:r>
      <w:r>
        <w:rPr/>
        <w:t>noisy</w:t>
      </w:r>
      <w:r>
        <w:rPr>
          <w:spacing w:val="-8"/>
        </w:rPr>
        <w:t> </w:t>
      </w:r>
      <w:r>
        <w:rPr/>
        <w:t>due</w:t>
      </w:r>
      <w:r>
        <w:rPr>
          <w:spacing w:val="-8"/>
        </w:rPr>
        <w:t> </w:t>
      </w:r>
      <w:r>
        <w:rPr/>
        <w:t>to</w:t>
      </w:r>
      <w:r>
        <w:rPr>
          <w:spacing w:val="-8"/>
        </w:rPr>
        <w:t> </w:t>
      </w:r>
      <w:r>
        <w:rPr/>
        <w:t>lack</w:t>
      </w:r>
      <w:r>
        <w:rPr>
          <w:spacing w:val="-8"/>
        </w:rPr>
        <w:t> </w:t>
      </w:r>
      <w:r>
        <w:rPr/>
        <w:t>of</w:t>
      </w:r>
      <w:r>
        <w:rPr>
          <w:spacing w:val="-8"/>
        </w:rPr>
        <w:t> </w:t>
      </w:r>
      <w:r>
        <w:rPr/>
        <w:t>a</w:t>
      </w:r>
      <w:r>
        <w:rPr>
          <w:spacing w:val="-8"/>
        </w:rPr>
        <w:t> </w:t>
      </w:r>
      <w:r>
        <w:rPr/>
        <w:t>precise</w:t>
      </w:r>
      <w:r>
        <w:rPr>
          <w:spacing w:val="-8"/>
        </w:rPr>
        <w:t> </w:t>
      </w:r>
      <w:r>
        <w:rPr/>
        <w:t>le- gal</w:t>
      </w:r>
      <w:r>
        <w:rPr>
          <w:spacing w:val="-19"/>
        </w:rPr>
        <w:t> </w:t>
      </w:r>
      <w:r>
        <w:rPr/>
        <w:t>definition</w:t>
      </w:r>
      <w:r>
        <w:rPr>
          <w:spacing w:val="-18"/>
        </w:rPr>
        <w:t> </w:t>
      </w:r>
      <w:r>
        <w:rPr/>
        <w:t>of</w:t>
      </w:r>
      <w:r>
        <w:rPr>
          <w:spacing w:val="-19"/>
        </w:rPr>
        <w:t> </w:t>
      </w:r>
      <w:r>
        <w:rPr/>
        <w:t>the</w:t>
      </w:r>
      <w:r>
        <w:rPr>
          <w:spacing w:val="-19"/>
        </w:rPr>
        <w:t> </w:t>
      </w:r>
      <w:r>
        <w:rPr/>
        <w:t>concept.</w:t>
      </w:r>
      <w:r>
        <w:rPr>
          <w:spacing w:val="-19"/>
        </w:rPr>
        <w:t> </w:t>
      </w:r>
      <w:r>
        <w:rPr>
          <w:spacing w:val="-6"/>
        </w:rPr>
        <w:t>We</w:t>
      </w:r>
      <w:r>
        <w:rPr>
          <w:spacing w:val="-19"/>
        </w:rPr>
        <w:t> </w:t>
      </w:r>
      <w:r>
        <w:rPr/>
        <w:t>attempt</w:t>
      </w:r>
      <w:r>
        <w:rPr>
          <w:spacing w:val="-18"/>
        </w:rPr>
        <w:t> </w:t>
      </w:r>
      <w:r>
        <w:rPr/>
        <w:t>to</w:t>
      </w:r>
      <w:r>
        <w:rPr>
          <w:spacing w:val="-19"/>
        </w:rPr>
        <w:t> </w:t>
      </w:r>
      <w:r>
        <w:rPr/>
        <w:t>mitigate</w:t>
      </w:r>
      <w:r>
        <w:rPr>
          <w:spacing w:val="-19"/>
        </w:rPr>
        <w:t> </w:t>
      </w:r>
      <w:r>
        <w:rPr/>
        <w:t>this</w:t>
      </w:r>
      <w:r>
        <w:rPr>
          <w:spacing w:val="-19"/>
        </w:rPr>
        <w:t> </w:t>
      </w:r>
      <w:r>
        <w:rPr/>
        <w:t>possible</w:t>
      </w:r>
      <w:r>
        <w:rPr>
          <w:spacing w:val="-19"/>
        </w:rPr>
        <w:t> </w:t>
      </w:r>
      <w:r>
        <w:rPr/>
        <w:t>measure- ment</w:t>
      </w:r>
      <w:r>
        <w:rPr>
          <w:spacing w:val="-25"/>
        </w:rPr>
        <w:t> </w:t>
      </w:r>
      <w:r>
        <w:rPr/>
        <w:t>error</w:t>
      </w:r>
      <w:r>
        <w:rPr>
          <w:spacing w:val="-25"/>
        </w:rPr>
        <w:t> </w:t>
      </w:r>
      <w:r>
        <w:rPr/>
        <w:t>by</w:t>
      </w:r>
      <w:r>
        <w:rPr>
          <w:spacing w:val="-25"/>
        </w:rPr>
        <w:t> </w:t>
      </w:r>
      <w:r>
        <w:rPr/>
        <w:t>using</w:t>
      </w:r>
      <w:r>
        <w:rPr>
          <w:spacing w:val="-25"/>
        </w:rPr>
        <w:t> </w:t>
      </w:r>
      <w:r>
        <w:rPr/>
        <w:t>multiple</w:t>
      </w:r>
      <w:r>
        <w:rPr>
          <w:spacing w:val="-25"/>
        </w:rPr>
        <w:t> </w:t>
      </w:r>
      <w:r>
        <w:rPr/>
        <w:t>proxies</w:t>
      </w:r>
      <w:r>
        <w:rPr>
          <w:spacing w:val="-25"/>
        </w:rPr>
        <w:t> </w:t>
      </w:r>
      <w:r>
        <w:rPr/>
        <w:t>for</w:t>
      </w:r>
      <w:r>
        <w:rPr>
          <w:spacing w:val="-25"/>
        </w:rPr>
        <w:t> </w:t>
      </w:r>
      <w:r>
        <w:rPr/>
        <w:t>near</w:t>
      </w:r>
      <w:r>
        <w:rPr>
          <w:spacing w:val="-25"/>
        </w:rPr>
        <w:t> </w:t>
      </w:r>
      <w:r>
        <w:rPr/>
        <w:t>insolvency</w:t>
      </w:r>
      <w:r>
        <w:rPr>
          <w:spacing w:val="-25"/>
        </w:rPr>
        <w:t> </w:t>
      </w:r>
      <w:r>
        <w:rPr/>
        <w:t>status.</w:t>
      </w:r>
      <w:r>
        <w:rPr>
          <w:spacing w:val="-25"/>
        </w:rPr>
        <w:t> </w:t>
      </w:r>
      <w:r>
        <w:rPr/>
        <w:t>Second,</w:t>
      </w:r>
      <w:r>
        <w:rPr>
          <w:spacing w:val="-25"/>
        </w:rPr>
        <w:t> </w:t>
      </w:r>
      <w:r>
        <w:rPr/>
        <w:t>our sample</w:t>
      </w:r>
      <w:r>
        <w:rPr>
          <w:spacing w:val="-12"/>
        </w:rPr>
        <w:t> </w:t>
      </w:r>
      <w:r>
        <w:rPr/>
        <w:t>may</w:t>
      </w:r>
      <w:r>
        <w:rPr>
          <w:spacing w:val="-12"/>
        </w:rPr>
        <w:t> </w:t>
      </w:r>
      <w:r>
        <w:rPr/>
        <w:t>include</w:t>
      </w:r>
      <w:r>
        <w:rPr>
          <w:spacing w:val="-12"/>
        </w:rPr>
        <w:t> </w:t>
      </w:r>
      <w:r>
        <w:rPr/>
        <w:t>firms</w:t>
      </w:r>
      <w:r>
        <w:rPr>
          <w:spacing w:val="-12"/>
        </w:rPr>
        <w:t> </w:t>
      </w:r>
      <w:r>
        <w:rPr/>
        <w:t>that</w:t>
      </w:r>
      <w:r>
        <w:rPr>
          <w:spacing w:val="-12"/>
        </w:rPr>
        <w:t> </w:t>
      </w:r>
      <w:r>
        <w:rPr/>
        <w:t>either</w:t>
      </w:r>
      <w:r>
        <w:rPr>
          <w:spacing w:val="-12"/>
        </w:rPr>
        <w:t> </w:t>
      </w:r>
      <w:r>
        <w:rPr/>
        <w:t>have</w:t>
      </w:r>
      <w:r>
        <w:rPr>
          <w:spacing w:val="-12"/>
        </w:rPr>
        <w:t> </w:t>
      </w:r>
      <w:r>
        <w:rPr/>
        <w:t>violated</w:t>
      </w:r>
      <w:r>
        <w:rPr>
          <w:spacing w:val="-12"/>
        </w:rPr>
        <w:t> </w:t>
      </w:r>
      <w:r>
        <w:rPr/>
        <w:t>certain</w:t>
      </w:r>
      <w:r>
        <w:rPr>
          <w:spacing w:val="-12"/>
        </w:rPr>
        <w:t> </w:t>
      </w:r>
      <w:r>
        <w:rPr/>
        <w:t>debt</w:t>
      </w:r>
      <w:r>
        <w:rPr>
          <w:spacing w:val="-12"/>
        </w:rPr>
        <w:t> </w:t>
      </w:r>
      <w:r>
        <w:rPr/>
        <w:t>covenants or</w:t>
      </w:r>
      <w:r>
        <w:rPr>
          <w:spacing w:val="-24"/>
        </w:rPr>
        <w:t> </w:t>
      </w:r>
      <w:r>
        <w:rPr/>
        <w:t>are</w:t>
      </w:r>
      <w:r>
        <w:rPr>
          <w:spacing w:val="-24"/>
        </w:rPr>
        <w:t> </w:t>
      </w:r>
      <w:r>
        <w:rPr/>
        <w:t>severely</w:t>
      </w:r>
      <w:r>
        <w:rPr>
          <w:spacing w:val="-24"/>
        </w:rPr>
        <w:t> </w:t>
      </w:r>
      <w:r>
        <w:rPr/>
        <w:t>distressed.</w:t>
      </w:r>
      <w:r>
        <w:rPr>
          <w:spacing w:val="-24"/>
        </w:rPr>
        <w:t> </w:t>
      </w:r>
      <w:r>
        <w:rPr/>
        <w:t>In</w:t>
      </w:r>
      <w:r>
        <w:rPr>
          <w:spacing w:val="-24"/>
        </w:rPr>
        <w:t> </w:t>
      </w:r>
      <w:r>
        <w:rPr/>
        <w:t>such</w:t>
      </w:r>
      <w:r>
        <w:rPr>
          <w:spacing w:val="-24"/>
        </w:rPr>
        <w:t> </w:t>
      </w:r>
      <w:r>
        <w:rPr/>
        <w:t>situations,</w:t>
      </w:r>
      <w:r>
        <w:rPr>
          <w:spacing w:val="-24"/>
        </w:rPr>
        <w:t> </w:t>
      </w:r>
      <w:r>
        <w:rPr/>
        <w:t>debtholders</w:t>
      </w:r>
      <w:r>
        <w:rPr>
          <w:spacing w:val="-24"/>
        </w:rPr>
        <w:t> </w:t>
      </w:r>
      <w:r>
        <w:rPr/>
        <w:t>may</w:t>
      </w:r>
      <w:r>
        <w:rPr>
          <w:spacing w:val="-24"/>
        </w:rPr>
        <w:t> </w:t>
      </w:r>
      <w:r>
        <w:rPr/>
        <w:t>have</w:t>
      </w:r>
      <w:r>
        <w:rPr>
          <w:spacing w:val="-24"/>
        </w:rPr>
        <w:t> </w:t>
      </w:r>
      <w:r>
        <w:rPr/>
        <w:t>already been actively engaged in business decisions and pushing for more con- servatism. </w:t>
      </w:r>
      <w:r>
        <w:rPr>
          <w:spacing w:val="-9"/>
        </w:rPr>
        <w:t>To </w:t>
      </w:r>
      <w:r>
        <w:rPr/>
        <w:t>rule out the confounding effects of covenant violations, we control</w:t>
      </w:r>
      <w:r>
        <w:rPr>
          <w:spacing w:val="-14"/>
        </w:rPr>
        <w:t> </w:t>
      </w:r>
      <w:r>
        <w:rPr/>
        <w:t>for</w:t>
      </w:r>
      <w:r>
        <w:rPr>
          <w:spacing w:val="-14"/>
        </w:rPr>
        <w:t> </w:t>
      </w:r>
      <w:r>
        <w:rPr/>
        <w:t>debt</w:t>
      </w:r>
      <w:r>
        <w:rPr>
          <w:spacing w:val="-14"/>
        </w:rPr>
        <w:t> </w:t>
      </w:r>
      <w:r>
        <w:rPr/>
        <w:t>covenant</w:t>
      </w:r>
      <w:r>
        <w:rPr>
          <w:spacing w:val="-14"/>
        </w:rPr>
        <w:t> </w:t>
      </w:r>
      <w:r>
        <w:rPr/>
        <w:t>violations</w:t>
      </w:r>
      <w:r>
        <w:rPr>
          <w:spacing w:val="-14"/>
        </w:rPr>
        <w:t> </w:t>
      </w:r>
      <w:r>
        <w:rPr/>
        <w:t>in</w:t>
      </w:r>
      <w:r>
        <w:rPr>
          <w:spacing w:val="-14"/>
        </w:rPr>
        <w:t> </w:t>
      </w:r>
      <w:r>
        <w:rPr/>
        <w:t>a</w:t>
      </w:r>
      <w:r>
        <w:rPr>
          <w:spacing w:val="-14"/>
        </w:rPr>
        <w:t> </w:t>
      </w:r>
      <w:r>
        <w:rPr/>
        <w:t>subsample</w:t>
      </w:r>
      <w:r>
        <w:rPr>
          <w:spacing w:val="-14"/>
        </w:rPr>
        <w:t> </w:t>
      </w:r>
      <w:r>
        <w:rPr/>
        <w:t>of</w:t>
      </w:r>
      <w:r>
        <w:rPr>
          <w:spacing w:val="-14"/>
        </w:rPr>
        <w:t> </w:t>
      </w:r>
      <w:r>
        <w:rPr/>
        <w:t>firms</w:t>
      </w:r>
      <w:r>
        <w:rPr>
          <w:spacing w:val="-14"/>
        </w:rPr>
        <w:t> </w:t>
      </w:r>
      <w:r>
        <w:rPr/>
        <w:t>with</w:t>
      </w:r>
      <w:r>
        <w:rPr>
          <w:spacing w:val="-14"/>
        </w:rPr>
        <w:t> </w:t>
      </w:r>
      <w:r>
        <w:rPr/>
        <w:t>available hand-collected</w:t>
      </w:r>
      <w:r>
        <w:rPr>
          <w:spacing w:val="-21"/>
        </w:rPr>
        <w:t> </w:t>
      </w:r>
      <w:r>
        <w:rPr/>
        <w:t>data</w:t>
      </w:r>
      <w:r>
        <w:rPr>
          <w:spacing w:val="-21"/>
        </w:rPr>
        <w:t> </w:t>
      </w:r>
      <w:r>
        <w:rPr/>
        <w:t>on</w:t>
      </w:r>
      <w:r>
        <w:rPr>
          <w:spacing w:val="-21"/>
        </w:rPr>
        <w:t> </w:t>
      </w:r>
      <w:r>
        <w:rPr/>
        <w:t>covenant</w:t>
      </w:r>
      <w:r>
        <w:rPr>
          <w:spacing w:val="-21"/>
        </w:rPr>
        <w:t> </w:t>
      </w:r>
      <w:r>
        <w:rPr/>
        <w:t>violations</w:t>
      </w:r>
      <w:r>
        <w:rPr>
          <w:spacing w:val="-21"/>
        </w:rPr>
        <w:t> </w:t>
      </w:r>
      <w:r>
        <w:rPr/>
        <w:t>and</w:t>
      </w:r>
      <w:r>
        <w:rPr>
          <w:spacing w:val="-21"/>
        </w:rPr>
        <w:t> </w:t>
      </w:r>
      <w:r>
        <w:rPr/>
        <w:t>find</w:t>
      </w:r>
      <w:r>
        <w:rPr>
          <w:spacing w:val="-21"/>
        </w:rPr>
        <w:t> </w:t>
      </w:r>
      <w:r>
        <w:rPr/>
        <w:t>robust</w:t>
      </w:r>
      <w:r>
        <w:rPr>
          <w:spacing w:val="-21"/>
        </w:rPr>
        <w:t> </w:t>
      </w:r>
      <w:r>
        <w:rPr/>
        <w:t>results.</w:t>
      </w:r>
      <w:r>
        <w:rPr>
          <w:spacing w:val="-21"/>
        </w:rPr>
        <w:t> </w:t>
      </w:r>
      <w:r>
        <w:rPr/>
        <w:t>In</w:t>
      </w:r>
      <w:r>
        <w:rPr>
          <w:spacing w:val="-21"/>
        </w:rPr>
        <w:t> </w:t>
      </w:r>
      <w:r>
        <w:rPr/>
        <w:t>addi- tion, in our main analyses, we also constrain the sample to near</w:t>
      </w:r>
      <w:r>
        <w:rPr>
          <w:spacing w:val="-11"/>
        </w:rPr>
        <w:t> </w:t>
      </w:r>
      <w:r>
        <w:rPr/>
        <w:t>insolvent firms</w:t>
      </w:r>
      <w:r>
        <w:rPr>
          <w:spacing w:val="-17"/>
        </w:rPr>
        <w:t> </w:t>
      </w:r>
      <w:r>
        <w:rPr/>
        <w:t>and</w:t>
      </w:r>
      <w:r>
        <w:rPr>
          <w:spacing w:val="-17"/>
        </w:rPr>
        <w:t> </w:t>
      </w:r>
      <w:r>
        <w:rPr/>
        <w:t>find</w:t>
      </w:r>
      <w:r>
        <w:rPr>
          <w:spacing w:val="-17"/>
        </w:rPr>
        <w:t> </w:t>
      </w:r>
      <w:r>
        <w:rPr/>
        <w:t>a</w:t>
      </w:r>
      <w:r>
        <w:rPr>
          <w:spacing w:val="-17"/>
        </w:rPr>
        <w:t> </w:t>
      </w:r>
      <w:r>
        <w:rPr/>
        <w:t>significantly</w:t>
      </w:r>
      <w:r>
        <w:rPr>
          <w:spacing w:val="-17"/>
        </w:rPr>
        <w:t> </w:t>
      </w:r>
      <w:r>
        <w:rPr/>
        <w:t>larger</w:t>
      </w:r>
      <w:r>
        <w:rPr>
          <w:spacing w:val="-17"/>
        </w:rPr>
        <w:t> </w:t>
      </w:r>
      <w:r>
        <w:rPr/>
        <w:t>increase</w:t>
      </w:r>
      <w:r>
        <w:rPr>
          <w:spacing w:val="-17"/>
        </w:rPr>
        <w:t> </w:t>
      </w:r>
      <w:r>
        <w:rPr/>
        <w:t>in</w:t>
      </w:r>
      <w:r>
        <w:rPr>
          <w:spacing w:val="-17"/>
        </w:rPr>
        <w:t> </w:t>
      </w:r>
      <w:r>
        <w:rPr/>
        <w:t>conservatism</w:t>
      </w:r>
      <w:r>
        <w:rPr>
          <w:spacing w:val="-17"/>
        </w:rPr>
        <w:t> </w:t>
      </w:r>
      <w:r>
        <w:rPr/>
        <w:t>for</w:t>
      </w:r>
      <w:r>
        <w:rPr>
          <w:spacing w:val="-17"/>
        </w:rPr>
        <w:t> </w:t>
      </w:r>
      <w:r>
        <w:rPr/>
        <w:t>such</w:t>
      </w:r>
      <w:r>
        <w:rPr>
          <w:spacing w:val="-17"/>
        </w:rPr>
        <w:t> </w:t>
      </w:r>
      <w:r>
        <w:rPr/>
        <w:t>firms that are incorporated in Delaware, thus ruling out financial distress as an alternative explanation for the observed</w:t>
      </w:r>
      <w:r>
        <w:rPr>
          <w:spacing w:val="-5"/>
        </w:rPr>
        <w:t> </w:t>
      </w:r>
      <w:r>
        <w:rPr/>
        <w:t>results.</w:t>
      </w:r>
    </w:p>
    <w:p>
      <w:pPr>
        <w:pStyle w:val="BodyText"/>
        <w:spacing w:line="230" w:lineRule="auto" w:before="7"/>
        <w:ind w:left="162" w:right="519" w:firstLine="199"/>
        <w:jc w:val="both"/>
      </w:pPr>
      <w:r>
        <w:rPr/>
        <w:t>The</w:t>
      </w:r>
      <w:r>
        <w:rPr>
          <w:spacing w:val="-9"/>
        </w:rPr>
        <w:t> </w:t>
      </w:r>
      <w:r>
        <w:rPr/>
        <w:t>rest</w:t>
      </w:r>
      <w:r>
        <w:rPr>
          <w:spacing w:val="-9"/>
        </w:rPr>
        <w:t> </w:t>
      </w:r>
      <w:r>
        <w:rPr/>
        <w:t>of</w:t>
      </w:r>
      <w:r>
        <w:rPr>
          <w:spacing w:val="-9"/>
        </w:rPr>
        <w:t> </w:t>
      </w:r>
      <w:r>
        <w:rPr/>
        <w:t>the</w:t>
      </w:r>
      <w:r>
        <w:rPr>
          <w:spacing w:val="-9"/>
        </w:rPr>
        <w:t> </w:t>
      </w:r>
      <w:r>
        <w:rPr/>
        <w:t>paper</w:t>
      </w:r>
      <w:r>
        <w:rPr>
          <w:spacing w:val="-9"/>
        </w:rPr>
        <w:t> </w:t>
      </w:r>
      <w:r>
        <w:rPr/>
        <w:t>is</w:t>
      </w:r>
      <w:r>
        <w:rPr>
          <w:spacing w:val="-9"/>
        </w:rPr>
        <w:t> </w:t>
      </w:r>
      <w:r>
        <w:rPr/>
        <w:t>organized</w:t>
      </w:r>
      <w:r>
        <w:rPr>
          <w:spacing w:val="-9"/>
        </w:rPr>
        <w:t> </w:t>
      </w:r>
      <w:r>
        <w:rPr/>
        <w:t>as</w:t>
      </w:r>
      <w:r>
        <w:rPr>
          <w:spacing w:val="-9"/>
        </w:rPr>
        <w:t> </w:t>
      </w:r>
      <w:r>
        <w:rPr/>
        <w:t>follows.</w:t>
      </w:r>
      <w:r>
        <w:rPr>
          <w:spacing w:val="-9"/>
        </w:rPr>
        <w:t> </w:t>
      </w:r>
      <w:r>
        <w:rPr>
          <w:spacing w:val="-6"/>
        </w:rPr>
        <w:t>We</w:t>
      </w:r>
      <w:r>
        <w:rPr>
          <w:spacing w:val="-9"/>
        </w:rPr>
        <w:t> </w:t>
      </w:r>
      <w:r>
        <w:rPr/>
        <w:t>develop</w:t>
      </w:r>
      <w:r>
        <w:rPr>
          <w:spacing w:val="-9"/>
        </w:rPr>
        <w:t> </w:t>
      </w:r>
      <w:r>
        <w:rPr/>
        <w:t>hypotheses</w:t>
      </w:r>
      <w:r>
        <w:rPr>
          <w:spacing w:val="-9"/>
        </w:rPr>
        <w:t> </w:t>
      </w:r>
      <w:r>
        <w:rPr/>
        <w:t>in section 2 and present regression models in section 3. In sections 4 and 5, we</w:t>
      </w:r>
      <w:r>
        <w:rPr>
          <w:spacing w:val="-20"/>
        </w:rPr>
        <w:t> </w:t>
      </w:r>
      <w:r>
        <w:rPr/>
        <w:t>discuss</w:t>
      </w:r>
      <w:r>
        <w:rPr>
          <w:spacing w:val="-20"/>
        </w:rPr>
        <w:t> </w:t>
      </w:r>
      <w:r>
        <w:rPr/>
        <w:t>sample</w:t>
      </w:r>
      <w:r>
        <w:rPr>
          <w:spacing w:val="-20"/>
        </w:rPr>
        <w:t> </w:t>
      </w:r>
      <w:r>
        <w:rPr/>
        <w:t>data</w:t>
      </w:r>
      <w:r>
        <w:rPr>
          <w:spacing w:val="-20"/>
        </w:rPr>
        <w:t> </w:t>
      </w:r>
      <w:r>
        <w:rPr/>
        <w:t>and</w:t>
      </w:r>
      <w:r>
        <w:rPr>
          <w:spacing w:val="-20"/>
        </w:rPr>
        <w:t> </w:t>
      </w:r>
      <w:r>
        <w:rPr/>
        <w:t>elaborate</w:t>
      </w:r>
      <w:r>
        <w:rPr>
          <w:spacing w:val="-20"/>
        </w:rPr>
        <w:t> </w:t>
      </w:r>
      <w:r>
        <w:rPr/>
        <w:t>on</w:t>
      </w:r>
      <w:r>
        <w:rPr>
          <w:spacing w:val="-20"/>
        </w:rPr>
        <w:t> </w:t>
      </w:r>
      <w:r>
        <w:rPr/>
        <w:t>the</w:t>
      </w:r>
      <w:r>
        <w:rPr>
          <w:spacing w:val="-20"/>
        </w:rPr>
        <w:t> </w:t>
      </w:r>
      <w:r>
        <w:rPr/>
        <w:t>empirical</w:t>
      </w:r>
      <w:r>
        <w:rPr>
          <w:spacing w:val="-20"/>
        </w:rPr>
        <w:t> </w:t>
      </w:r>
      <w:r>
        <w:rPr/>
        <w:t>results</w:t>
      </w:r>
      <w:r>
        <w:rPr>
          <w:spacing w:val="-20"/>
        </w:rPr>
        <w:t> </w:t>
      </w:r>
      <w:r>
        <w:rPr/>
        <w:t>respectively. Section</w:t>
      </w:r>
      <w:r>
        <w:rPr>
          <w:spacing w:val="-7"/>
        </w:rPr>
        <w:t> </w:t>
      </w:r>
      <w:r>
        <w:rPr/>
        <w:t>6</w:t>
      </w:r>
      <w:r>
        <w:rPr>
          <w:spacing w:val="-7"/>
        </w:rPr>
        <w:t> </w:t>
      </w:r>
      <w:r>
        <w:rPr/>
        <w:t>presents</w:t>
      </w:r>
      <w:r>
        <w:rPr>
          <w:spacing w:val="-7"/>
        </w:rPr>
        <w:t> </w:t>
      </w:r>
      <w:r>
        <w:rPr/>
        <w:t>sensitivity</w:t>
      </w:r>
      <w:r>
        <w:rPr>
          <w:spacing w:val="-7"/>
        </w:rPr>
        <w:t> </w:t>
      </w:r>
      <w:r>
        <w:rPr/>
        <w:t>analyses</w:t>
      </w:r>
      <w:r>
        <w:rPr>
          <w:spacing w:val="-7"/>
        </w:rPr>
        <w:t> </w:t>
      </w:r>
      <w:r>
        <w:rPr/>
        <w:t>and</w:t>
      </w:r>
      <w:r>
        <w:rPr>
          <w:spacing w:val="-7"/>
        </w:rPr>
        <w:t> </w:t>
      </w:r>
      <w:r>
        <w:rPr/>
        <w:t>section</w:t>
      </w:r>
      <w:r>
        <w:rPr>
          <w:spacing w:val="-7"/>
        </w:rPr>
        <w:t> </w:t>
      </w:r>
      <w:r>
        <w:rPr/>
        <w:t>7</w:t>
      </w:r>
      <w:r>
        <w:rPr>
          <w:spacing w:val="-7"/>
        </w:rPr>
        <w:t> </w:t>
      </w:r>
      <w:r>
        <w:rPr/>
        <w:t>concludes.</w:t>
      </w:r>
    </w:p>
    <w:p>
      <w:pPr>
        <w:pStyle w:val="BodyText"/>
        <w:spacing w:before="3"/>
        <w:rPr>
          <w:sz w:val="26"/>
        </w:rPr>
      </w:pPr>
    </w:p>
    <w:p>
      <w:pPr>
        <w:pStyle w:val="Heading1"/>
        <w:numPr>
          <w:ilvl w:val="0"/>
          <w:numId w:val="1"/>
        </w:numPr>
        <w:tabs>
          <w:tab w:pos="474" w:val="left" w:leader="none"/>
        </w:tabs>
        <w:spacing w:line="240" w:lineRule="auto" w:before="0" w:after="0"/>
        <w:ind w:left="473" w:right="0" w:hanging="311"/>
        <w:jc w:val="left"/>
        <w:rPr>
          <w:i/>
        </w:rPr>
      </w:pPr>
      <w:r>
        <w:rPr>
          <w:i/>
        </w:rPr>
        <w:t>Motivation and Hypotheses</w:t>
      </w:r>
    </w:p>
    <w:p>
      <w:pPr>
        <w:pStyle w:val="ListParagraph"/>
        <w:numPr>
          <w:ilvl w:val="1"/>
          <w:numId w:val="1"/>
        </w:numPr>
        <w:tabs>
          <w:tab w:pos="540" w:val="left" w:leader="none"/>
        </w:tabs>
        <w:spacing w:line="240" w:lineRule="auto" w:before="129" w:after="0"/>
        <w:ind w:left="532" w:right="0" w:hanging="370"/>
        <w:jc w:val="left"/>
        <w:rPr>
          <w:sz w:val="16"/>
        </w:rPr>
      </w:pPr>
      <w:r>
        <w:rPr>
          <w:w w:val="105"/>
          <w:sz w:val="16"/>
        </w:rPr>
        <w:t>EXOGENOUS SHOCK TO FIDUCIARY DUTIES OF</w:t>
      </w:r>
      <w:r>
        <w:rPr>
          <w:spacing w:val="16"/>
          <w:w w:val="105"/>
          <w:sz w:val="16"/>
        </w:rPr>
        <w:t> </w:t>
      </w:r>
      <w:r>
        <w:rPr>
          <w:w w:val="105"/>
          <w:sz w:val="16"/>
        </w:rPr>
        <w:t>DIRECTORS</w:t>
      </w:r>
    </w:p>
    <w:p>
      <w:pPr>
        <w:pStyle w:val="BodyText"/>
        <w:spacing w:line="228" w:lineRule="auto" w:before="78"/>
        <w:ind w:left="162" w:right="519" w:firstLine="199"/>
        <w:jc w:val="both"/>
        <w:rPr>
          <w:sz w:val="14"/>
        </w:rPr>
      </w:pPr>
      <w:r>
        <w:rPr/>
        <w:t>Delaware is a popular state of incorporation, as evidenced by the fact that more than 50% of publicly traded companies in the United States have opted to register in that state under the Delaware General Incorpo- ration Law (corp.delaware.gov). As a result of choosing to incorporate in Delaware,</w:t>
      </w:r>
      <w:r>
        <w:rPr>
          <w:spacing w:val="-15"/>
        </w:rPr>
        <w:t> </w:t>
      </w:r>
      <w:r>
        <w:rPr/>
        <w:t>businesses</w:t>
      </w:r>
      <w:r>
        <w:rPr>
          <w:spacing w:val="-15"/>
        </w:rPr>
        <w:t> </w:t>
      </w:r>
      <w:r>
        <w:rPr/>
        <w:t>are</w:t>
      </w:r>
      <w:r>
        <w:rPr>
          <w:spacing w:val="-15"/>
        </w:rPr>
        <w:t> </w:t>
      </w:r>
      <w:r>
        <w:rPr/>
        <w:t>subject</w:t>
      </w:r>
      <w:r>
        <w:rPr>
          <w:spacing w:val="-15"/>
        </w:rPr>
        <w:t> </w:t>
      </w:r>
      <w:r>
        <w:rPr/>
        <w:t>to</w:t>
      </w:r>
      <w:r>
        <w:rPr>
          <w:spacing w:val="-15"/>
        </w:rPr>
        <w:t> </w:t>
      </w:r>
      <w:r>
        <w:rPr/>
        <w:t>the</w:t>
      </w:r>
      <w:r>
        <w:rPr>
          <w:spacing w:val="-15"/>
        </w:rPr>
        <w:t> </w:t>
      </w:r>
      <w:r>
        <w:rPr/>
        <w:t>jurisdiction</w:t>
      </w:r>
      <w:r>
        <w:rPr>
          <w:spacing w:val="-15"/>
        </w:rPr>
        <w:t> </w:t>
      </w:r>
      <w:r>
        <w:rPr/>
        <w:t>of</w:t>
      </w:r>
      <w:r>
        <w:rPr>
          <w:spacing w:val="-15"/>
        </w:rPr>
        <w:t> </w:t>
      </w:r>
      <w:r>
        <w:rPr/>
        <w:t>Delaware</w:t>
      </w:r>
      <w:r>
        <w:rPr>
          <w:spacing w:val="-15"/>
        </w:rPr>
        <w:t> </w:t>
      </w:r>
      <w:r>
        <w:rPr/>
        <w:t>courts</w:t>
      </w:r>
      <w:r>
        <w:rPr>
          <w:spacing w:val="-15"/>
        </w:rPr>
        <w:t> </w:t>
      </w:r>
      <w:r>
        <w:rPr/>
        <w:t>and are</w:t>
      </w:r>
      <w:r>
        <w:rPr>
          <w:spacing w:val="-8"/>
        </w:rPr>
        <w:t> </w:t>
      </w:r>
      <w:r>
        <w:rPr/>
        <w:t>bound</w:t>
      </w:r>
      <w:r>
        <w:rPr>
          <w:spacing w:val="-8"/>
        </w:rPr>
        <w:t> </w:t>
      </w:r>
      <w:r>
        <w:rPr/>
        <w:t>by</w:t>
      </w:r>
      <w:r>
        <w:rPr>
          <w:spacing w:val="-8"/>
        </w:rPr>
        <w:t> </w:t>
      </w:r>
      <w:r>
        <w:rPr/>
        <w:t>their</w:t>
      </w:r>
      <w:r>
        <w:rPr>
          <w:spacing w:val="-8"/>
        </w:rPr>
        <w:t> </w:t>
      </w:r>
      <w:r>
        <w:rPr/>
        <w:t>rulings</w:t>
      </w:r>
      <w:r>
        <w:rPr>
          <w:spacing w:val="-8"/>
        </w:rPr>
        <w:t> </w:t>
      </w:r>
      <w:r>
        <w:rPr/>
        <w:t>and</w:t>
      </w:r>
      <w:r>
        <w:rPr>
          <w:spacing w:val="-8"/>
        </w:rPr>
        <w:t> </w:t>
      </w:r>
      <w:r>
        <w:rPr/>
        <w:t>legal</w:t>
      </w:r>
      <w:r>
        <w:rPr>
          <w:spacing w:val="-8"/>
        </w:rPr>
        <w:t> </w:t>
      </w:r>
      <w:r>
        <w:rPr/>
        <w:t>interpretations.</w:t>
      </w:r>
      <w:r>
        <w:rPr>
          <w:color w:val="231F20"/>
          <w:position w:val="7"/>
          <w:sz w:val="14"/>
        </w:rPr>
        <w:t>3</w:t>
      </w:r>
      <w:r>
        <w:rPr>
          <w:color w:val="231F20"/>
          <w:spacing w:val="-1"/>
          <w:position w:val="7"/>
          <w:sz w:val="14"/>
        </w:rPr>
        <w:t> </w:t>
      </w:r>
      <w:r>
        <w:rPr/>
        <w:t>Under</w:t>
      </w:r>
      <w:r>
        <w:rPr>
          <w:spacing w:val="-8"/>
        </w:rPr>
        <w:t> </w:t>
      </w:r>
      <w:r>
        <w:rPr/>
        <w:t>common</w:t>
      </w:r>
      <w:r>
        <w:rPr>
          <w:spacing w:val="-8"/>
        </w:rPr>
        <w:t> </w:t>
      </w:r>
      <w:r>
        <w:rPr>
          <w:spacing w:val="-4"/>
        </w:rPr>
        <w:t>law, </w:t>
      </w:r>
      <w:r>
        <w:rPr/>
        <w:t>directors have fiduciary responsibilities to exercise due care, to demon- strate </w:t>
      </w:r>
      <w:r>
        <w:rPr>
          <w:spacing w:val="-3"/>
        </w:rPr>
        <w:t>loyalty, </w:t>
      </w:r>
      <w:r>
        <w:rPr/>
        <w:t>and to act in good faith. It is commonly accepted that the fiduciary duties of directors are owed primarily to shareholders in finan- cially</w:t>
      </w:r>
      <w:r>
        <w:rPr>
          <w:spacing w:val="-34"/>
        </w:rPr>
        <w:t> </w:t>
      </w:r>
      <w:r>
        <w:rPr/>
        <w:t>healthy</w:t>
      </w:r>
      <w:r>
        <w:rPr>
          <w:spacing w:val="-34"/>
        </w:rPr>
        <w:t> </w:t>
      </w:r>
      <w:r>
        <w:rPr/>
        <w:t>firms,</w:t>
      </w:r>
      <w:r>
        <w:rPr>
          <w:spacing w:val="-34"/>
        </w:rPr>
        <w:t> </w:t>
      </w:r>
      <w:r>
        <w:rPr/>
        <w:t>and</w:t>
      </w:r>
      <w:r>
        <w:rPr>
          <w:spacing w:val="-34"/>
        </w:rPr>
        <w:t> </w:t>
      </w:r>
      <w:r>
        <w:rPr/>
        <w:t>a</w:t>
      </w:r>
      <w:r>
        <w:rPr>
          <w:spacing w:val="-34"/>
        </w:rPr>
        <w:t> </w:t>
      </w:r>
      <w:r>
        <w:rPr/>
        <w:t>number</w:t>
      </w:r>
      <w:r>
        <w:rPr>
          <w:spacing w:val="-34"/>
        </w:rPr>
        <w:t> </w:t>
      </w:r>
      <w:r>
        <w:rPr/>
        <w:t>of</w:t>
      </w:r>
      <w:r>
        <w:rPr>
          <w:spacing w:val="-34"/>
        </w:rPr>
        <w:t> </w:t>
      </w:r>
      <w:r>
        <w:rPr/>
        <w:t>Delaware</w:t>
      </w:r>
      <w:r>
        <w:rPr>
          <w:spacing w:val="-34"/>
        </w:rPr>
        <w:t> </w:t>
      </w:r>
      <w:r>
        <w:rPr/>
        <w:t>court</w:t>
      </w:r>
      <w:r>
        <w:rPr>
          <w:spacing w:val="-34"/>
        </w:rPr>
        <w:t> </w:t>
      </w:r>
      <w:r>
        <w:rPr/>
        <w:t>rulings</w:t>
      </w:r>
      <w:r>
        <w:rPr>
          <w:spacing w:val="-34"/>
        </w:rPr>
        <w:t> </w:t>
      </w:r>
      <w:r>
        <w:rPr/>
        <w:t>have</w:t>
      </w:r>
      <w:r>
        <w:rPr>
          <w:spacing w:val="-34"/>
        </w:rPr>
        <w:t> </w:t>
      </w:r>
      <w:r>
        <w:rPr/>
        <w:t>supported this common law belief.</w:t>
      </w:r>
      <w:r>
        <w:rPr>
          <w:color w:val="231F20"/>
          <w:position w:val="7"/>
          <w:sz w:val="14"/>
        </w:rPr>
        <w:t>4</w:t>
      </w:r>
    </w:p>
    <w:p>
      <w:pPr>
        <w:pStyle w:val="BodyText"/>
        <w:spacing w:before="3"/>
        <w:rPr>
          <w:sz w:val="27"/>
        </w:rPr>
      </w:pPr>
      <w:r>
        <w:rPr/>
        <w:pict>
          <v:line style="position:absolute;mso-position-horizontal-relative:page;mso-position-vertical-relative:paragraph;z-index:1144;mso-wrap-distance-left:0;mso-wrap-distance-right:0" from="72.125999pt,19.189274pt" to="107.999999pt,19.189274pt" stroked="true" strokeweight=".504pt" strokecolor="#000000">
            <v:stroke dashstyle="solid"/>
            <w10:wrap type="topAndBottom"/>
          </v:line>
        </w:pict>
      </w:r>
    </w:p>
    <w:p>
      <w:pPr>
        <w:spacing w:before="73"/>
        <w:ind w:left="162" w:right="428" w:firstLine="179"/>
        <w:jc w:val="left"/>
        <w:rPr>
          <w:sz w:val="16"/>
        </w:rPr>
      </w:pPr>
      <w:r>
        <w:rPr>
          <w:color w:val="231F20"/>
          <w:position w:val="6"/>
          <w:sz w:val="12"/>
        </w:rPr>
        <w:t>3 </w:t>
      </w:r>
      <w:r>
        <w:rPr>
          <w:color w:val="231F20"/>
          <w:sz w:val="16"/>
        </w:rPr>
        <w:t>For example, see </w:t>
      </w:r>
      <w:r>
        <w:rPr>
          <w:i/>
          <w:color w:val="231F20"/>
          <w:sz w:val="16"/>
        </w:rPr>
        <w:t>McDermott, Inc. v. Lewis, </w:t>
      </w:r>
      <w:r>
        <w:rPr>
          <w:color w:val="231F20"/>
          <w:sz w:val="16"/>
        </w:rPr>
        <w:t>531 A.2d 206, 215–17, Del. 1987 and reaffirmed again in </w:t>
      </w:r>
      <w:r>
        <w:rPr>
          <w:i/>
          <w:color w:val="231F20"/>
          <w:sz w:val="16"/>
        </w:rPr>
        <w:t>Examen, Inc. v. Vantageport Venture Partners, </w:t>
      </w:r>
      <w:r>
        <w:rPr>
          <w:color w:val="231F20"/>
          <w:sz w:val="16"/>
        </w:rPr>
        <w:t>873 A.2d 318, 320, Del. Ch. 2005.</w:t>
      </w:r>
    </w:p>
    <w:p>
      <w:pPr>
        <w:spacing w:line="199" w:lineRule="exact" w:before="0"/>
        <w:ind w:left="341" w:right="0" w:firstLine="0"/>
        <w:jc w:val="left"/>
        <w:rPr>
          <w:sz w:val="16"/>
        </w:rPr>
      </w:pPr>
      <w:r>
        <w:rPr>
          <w:color w:val="231F20"/>
          <w:position w:val="6"/>
          <w:sz w:val="12"/>
        </w:rPr>
        <w:t>4 </w:t>
      </w:r>
      <w:r>
        <w:rPr>
          <w:color w:val="231F20"/>
          <w:sz w:val="16"/>
        </w:rPr>
        <w:t>For example, see </w:t>
      </w:r>
      <w:r>
        <w:rPr>
          <w:i/>
          <w:color w:val="231F20"/>
          <w:sz w:val="16"/>
        </w:rPr>
        <w:t>Revlon, Inc. v. MacAndrews &amp; Forbes Holdings, Inc., </w:t>
      </w:r>
      <w:r>
        <w:rPr>
          <w:color w:val="231F20"/>
          <w:sz w:val="16"/>
        </w:rPr>
        <w:t>506 A.2d 173, Del.</w:t>
      </w:r>
    </w:p>
    <w:p>
      <w:pPr>
        <w:spacing w:before="0"/>
        <w:ind w:left="72" w:right="428" w:firstLine="0"/>
        <w:jc w:val="center"/>
        <w:rPr>
          <w:i/>
          <w:sz w:val="16"/>
        </w:rPr>
      </w:pPr>
      <w:r>
        <w:rPr>
          <w:color w:val="231F20"/>
          <w:sz w:val="16"/>
        </w:rPr>
        <w:t>1986; </w:t>
      </w:r>
      <w:r>
        <w:rPr>
          <w:i/>
          <w:color w:val="231F20"/>
          <w:sz w:val="16"/>
        </w:rPr>
        <w:t>Katz v. Ak Industries, </w:t>
      </w:r>
      <w:r>
        <w:rPr>
          <w:color w:val="231F20"/>
          <w:sz w:val="16"/>
        </w:rPr>
        <w:t>508 A.2d 873, 880, Del. Ch. 1986. More recently, in the case of </w:t>
      </w:r>
      <w:r>
        <w:rPr>
          <w:i/>
          <w:color w:val="231F20"/>
          <w:sz w:val="16"/>
        </w:rPr>
        <w:t>North</w:t>
      </w:r>
    </w:p>
    <w:p>
      <w:pPr>
        <w:spacing w:after="0"/>
        <w:jc w:val="center"/>
        <w:rPr>
          <w:sz w:val="16"/>
        </w:rPr>
        <w:sectPr>
          <w:pgSz w:w="9720" w:h="14400"/>
          <w:pgMar w:header="1054" w:footer="0" w:top="1280" w:bottom="280" w:left="1280" w:right="1300"/>
        </w:sectPr>
      </w:pPr>
    </w:p>
    <w:p>
      <w:pPr>
        <w:pStyle w:val="BodyText"/>
        <w:spacing w:line="230" w:lineRule="auto" w:before="167"/>
        <w:ind w:left="532" w:right="148" w:firstLine="199"/>
        <w:jc w:val="both"/>
      </w:pPr>
      <w:r>
        <w:rPr/>
        <w:t>But the circumstances changed for near insolvent Delaware firms as a result of a court ruling in one landmark case, </w:t>
      </w:r>
      <w:r>
        <w:rPr>
          <w:i/>
        </w:rPr>
        <w:t>Credit Lyonnais Bank Neder- </w:t>
      </w:r>
      <w:r>
        <w:rPr>
          <w:i/>
        </w:rPr>
        <w:t>land,</w:t>
      </w:r>
      <w:r>
        <w:rPr>
          <w:i/>
          <w:spacing w:val="-10"/>
        </w:rPr>
        <w:t> </w:t>
      </w:r>
      <w:r>
        <w:rPr>
          <w:i/>
          <w:spacing w:val="-5"/>
        </w:rPr>
        <w:t>N.V.</w:t>
      </w:r>
      <w:r>
        <w:rPr>
          <w:i/>
          <w:spacing w:val="-10"/>
        </w:rPr>
        <w:t> </w:t>
      </w:r>
      <w:r>
        <w:rPr>
          <w:i/>
          <w:spacing w:val="-4"/>
        </w:rPr>
        <w:t>v.</w:t>
      </w:r>
      <w:r>
        <w:rPr>
          <w:i/>
          <w:spacing w:val="-10"/>
        </w:rPr>
        <w:t> </w:t>
      </w:r>
      <w:r>
        <w:rPr>
          <w:i/>
        </w:rPr>
        <w:t>Pathe</w:t>
      </w:r>
      <w:r>
        <w:rPr>
          <w:i/>
          <w:spacing w:val="-10"/>
        </w:rPr>
        <w:t> </w:t>
      </w:r>
      <w:r>
        <w:rPr>
          <w:i/>
        </w:rPr>
        <w:t>Communications</w:t>
      </w:r>
      <w:r>
        <w:rPr>
          <w:i/>
          <w:spacing w:val="-10"/>
        </w:rPr>
        <w:t> </w:t>
      </w:r>
      <w:r>
        <w:rPr>
          <w:i/>
        </w:rPr>
        <w:t>Corp.</w:t>
      </w:r>
      <w:r>
        <w:rPr>
          <w:i/>
          <w:spacing w:val="-10"/>
        </w:rPr>
        <w:t> </w:t>
      </w:r>
      <w:r>
        <w:rPr/>
        <w:t>(C.A.</w:t>
      </w:r>
      <w:r>
        <w:rPr>
          <w:spacing w:val="-10"/>
        </w:rPr>
        <w:t> </w:t>
      </w:r>
      <w:r>
        <w:rPr/>
        <w:t>No.</w:t>
      </w:r>
      <w:r>
        <w:rPr>
          <w:spacing w:val="-10"/>
        </w:rPr>
        <w:t> </w:t>
      </w:r>
      <w:r>
        <w:rPr/>
        <w:t>12150,</w:t>
      </w:r>
      <w:r>
        <w:rPr>
          <w:spacing w:val="-11"/>
        </w:rPr>
        <w:t> </w:t>
      </w:r>
      <w:r>
        <w:rPr/>
        <w:t>1991</w:t>
      </w:r>
      <w:r>
        <w:rPr>
          <w:spacing w:val="-11"/>
        </w:rPr>
        <w:t> </w:t>
      </w:r>
      <w:r>
        <w:rPr/>
        <w:t>WL</w:t>
      </w:r>
      <w:r>
        <w:rPr>
          <w:spacing w:val="-10"/>
        </w:rPr>
        <w:t> </w:t>
      </w:r>
      <w:r>
        <w:rPr/>
        <w:t>277613). The dispute involved the actions of the CEO and executive committee of directors appointed at the behest of a major creditor of MGM Corpora- tion, Credit Lyonnais Bank Nederland, as part of a corporate governance agreement. </w:t>
      </w:r>
      <w:r>
        <w:rPr>
          <w:spacing w:val="-3"/>
        </w:rPr>
        <w:t>MGM’s </w:t>
      </w:r>
      <w:r>
        <w:rPr/>
        <w:t>controlling </w:t>
      </w:r>
      <w:r>
        <w:rPr>
          <w:spacing w:val="-3"/>
        </w:rPr>
        <w:t>stockholder, </w:t>
      </w:r>
      <w:r>
        <w:rPr/>
        <w:t>Pathe Communications, sued the</w:t>
      </w:r>
      <w:r>
        <w:rPr>
          <w:spacing w:val="-20"/>
        </w:rPr>
        <w:t> </w:t>
      </w:r>
      <w:r>
        <w:rPr/>
        <w:t>board</w:t>
      </w:r>
      <w:r>
        <w:rPr>
          <w:spacing w:val="-21"/>
        </w:rPr>
        <w:t> </w:t>
      </w:r>
      <w:r>
        <w:rPr/>
        <w:t>for</w:t>
      </w:r>
      <w:r>
        <w:rPr>
          <w:spacing w:val="-20"/>
        </w:rPr>
        <w:t> </w:t>
      </w:r>
      <w:r>
        <w:rPr/>
        <w:t>breach</w:t>
      </w:r>
      <w:r>
        <w:rPr>
          <w:spacing w:val="-20"/>
        </w:rPr>
        <w:t> </w:t>
      </w:r>
      <w:r>
        <w:rPr/>
        <w:t>of</w:t>
      </w:r>
      <w:r>
        <w:rPr>
          <w:spacing w:val="-20"/>
        </w:rPr>
        <w:t> </w:t>
      </w:r>
      <w:r>
        <w:rPr/>
        <w:t>fiduciary</w:t>
      </w:r>
      <w:r>
        <w:rPr>
          <w:spacing w:val="-20"/>
        </w:rPr>
        <w:t> </w:t>
      </w:r>
      <w:r>
        <w:rPr/>
        <w:t>duties</w:t>
      </w:r>
      <w:r>
        <w:rPr>
          <w:spacing w:val="-20"/>
        </w:rPr>
        <w:t> </w:t>
      </w:r>
      <w:r>
        <w:rPr/>
        <w:t>to</w:t>
      </w:r>
      <w:r>
        <w:rPr>
          <w:spacing w:val="-20"/>
        </w:rPr>
        <w:t> </w:t>
      </w:r>
      <w:r>
        <w:rPr/>
        <w:t>shareholders</w:t>
      </w:r>
      <w:r>
        <w:rPr>
          <w:spacing w:val="-20"/>
        </w:rPr>
        <w:t> </w:t>
      </w:r>
      <w:r>
        <w:rPr/>
        <w:t>and</w:t>
      </w:r>
      <w:r>
        <w:rPr>
          <w:spacing w:val="-20"/>
        </w:rPr>
        <w:t> </w:t>
      </w:r>
      <w:r>
        <w:rPr/>
        <w:t>favoring</w:t>
      </w:r>
      <w:r>
        <w:rPr>
          <w:spacing w:val="-20"/>
        </w:rPr>
        <w:t> </w:t>
      </w:r>
      <w:r>
        <w:rPr/>
        <w:t>credi- tors’</w:t>
      </w:r>
      <w:r>
        <w:rPr>
          <w:spacing w:val="-22"/>
        </w:rPr>
        <w:t> </w:t>
      </w:r>
      <w:r>
        <w:rPr/>
        <w:t>interests</w:t>
      </w:r>
      <w:r>
        <w:rPr>
          <w:spacing w:val="-22"/>
        </w:rPr>
        <w:t> </w:t>
      </w:r>
      <w:r>
        <w:rPr/>
        <w:t>when</w:t>
      </w:r>
      <w:r>
        <w:rPr>
          <w:spacing w:val="-22"/>
        </w:rPr>
        <w:t> </w:t>
      </w:r>
      <w:r>
        <w:rPr/>
        <w:t>the</w:t>
      </w:r>
      <w:r>
        <w:rPr>
          <w:spacing w:val="-22"/>
        </w:rPr>
        <w:t> </w:t>
      </w:r>
      <w:r>
        <w:rPr/>
        <w:t>executive</w:t>
      </w:r>
      <w:r>
        <w:rPr>
          <w:spacing w:val="-22"/>
        </w:rPr>
        <w:t> </w:t>
      </w:r>
      <w:r>
        <w:rPr/>
        <w:t>committee</w:t>
      </w:r>
      <w:r>
        <w:rPr>
          <w:spacing w:val="-22"/>
        </w:rPr>
        <w:t> </w:t>
      </w:r>
      <w:r>
        <w:rPr/>
        <w:t>rejected</w:t>
      </w:r>
      <w:r>
        <w:rPr>
          <w:spacing w:val="-22"/>
        </w:rPr>
        <w:t> </w:t>
      </w:r>
      <w:r>
        <w:rPr/>
        <w:t>Pathe’s</w:t>
      </w:r>
      <w:r>
        <w:rPr>
          <w:spacing w:val="-22"/>
        </w:rPr>
        <w:t> </w:t>
      </w:r>
      <w:r>
        <w:rPr/>
        <w:t>request</w:t>
      </w:r>
      <w:r>
        <w:rPr>
          <w:spacing w:val="-22"/>
        </w:rPr>
        <w:t> </w:t>
      </w:r>
      <w:r>
        <w:rPr/>
        <w:t>to</w:t>
      </w:r>
      <w:r>
        <w:rPr>
          <w:spacing w:val="-22"/>
        </w:rPr>
        <w:t> </w:t>
      </w:r>
      <w:r>
        <w:rPr/>
        <w:t>sell certain assets. The court ruled that the board had acted in the interests of the</w:t>
      </w:r>
      <w:r>
        <w:rPr>
          <w:spacing w:val="-19"/>
        </w:rPr>
        <w:t> </w:t>
      </w:r>
      <w:r>
        <w:rPr/>
        <w:t>company</w:t>
      </w:r>
      <w:r>
        <w:rPr>
          <w:spacing w:val="-18"/>
        </w:rPr>
        <w:t> </w:t>
      </w:r>
      <w:r>
        <w:rPr/>
        <w:t>and</w:t>
      </w:r>
      <w:r>
        <w:rPr>
          <w:spacing w:val="-18"/>
        </w:rPr>
        <w:t> </w:t>
      </w:r>
      <w:r>
        <w:rPr/>
        <w:t>observed,</w:t>
      </w:r>
      <w:r>
        <w:rPr>
          <w:spacing w:val="-19"/>
        </w:rPr>
        <w:t> </w:t>
      </w:r>
      <w:r>
        <w:rPr/>
        <w:t>“Where</w:t>
      </w:r>
      <w:r>
        <w:rPr>
          <w:spacing w:val="-18"/>
        </w:rPr>
        <w:t> </w:t>
      </w:r>
      <w:r>
        <w:rPr/>
        <w:t>a</w:t>
      </w:r>
      <w:r>
        <w:rPr>
          <w:spacing w:val="-19"/>
        </w:rPr>
        <w:t> </w:t>
      </w:r>
      <w:r>
        <w:rPr/>
        <w:t>corporation</w:t>
      </w:r>
      <w:r>
        <w:rPr>
          <w:spacing w:val="-18"/>
        </w:rPr>
        <w:t> </w:t>
      </w:r>
      <w:r>
        <w:rPr/>
        <w:t>is</w:t>
      </w:r>
      <w:r>
        <w:rPr>
          <w:spacing w:val="-19"/>
        </w:rPr>
        <w:t> </w:t>
      </w:r>
      <w:r>
        <w:rPr/>
        <w:t>operating</w:t>
      </w:r>
      <w:r>
        <w:rPr>
          <w:spacing w:val="-18"/>
        </w:rPr>
        <w:t> </w:t>
      </w:r>
      <w:r>
        <w:rPr/>
        <w:t>in</w:t>
      </w:r>
      <w:r>
        <w:rPr>
          <w:spacing w:val="-18"/>
        </w:rPr>
        <w:t> </w:t>
      </w:r>
      <w:r>
        <w:rPr/>
        <w:t>the</w:t>
      </w:r>
      <w:r>
        <w:rPr>
          <w:spacing w:val="-19"/>
        </w:rPr>
        <w:t> </w:t>
      </w:r>
      <w:r>
        <w:rPr/>
        <w:t>vicin- ity</w:t>
      </w:r>
      <w:r>
        <w:rPr>
          <w:spacing w:val="-17"/>
        </w:rPr>
        <w:t> </w:t>
      </w:r>
      <w:r>
        <w:rPr/>
        <w:t>of</w:t>
      </w:r>
      <w:r>
        <w:rPr>
          <w:spacing w:val="-17"/>
        </w:rPr>
        <w:t> </w:t>
      </w:r>
      <w:r>
        <w:rPr/>
        <w:t>insolvency,</w:t>
      </w:r>
      <w:r>
        <w:rPr>
          <w:spacing w:val="-17"/>
        </w:rPr>
        <w:t> </w:t>
      </w:r>
      <w:r>
        <w:rPr/>
        <w:t>a</w:t>
      </w:r>
      <w:r>
        <w:rPr>
          <w:spacing w:val="-17"/>
        </w:rPr>
        <w:t> </w:t>
      </w:r>
      <w:r>
        <w:rPr/>
        <w:t>board</w:t>
      </w:r>
      <w:r>
        <w:rPr>
          <w:spacing w:val="-17"/>
        </w:rPr>
        <w:t> </w:t>
      </w:r>
      <w:r>
        <w:rPr/>
        <w:t>of</w:t>
      </w:r>
      <w:r>
        <w:rPr>
          <w:spacing w:val="-17"/>
        </w:rPr>
        <w:t> </w:t>
      </w:r>
      <w:r>
        <w:rPr/>
        <w:t>directors</w:t>
      </w:r>
      <w:r>
        <w:rPr>
          <w:spacing w:val="-17"/>
        </w:rPr>
        <w:t> </w:t>
      </w:r>
      <w:r>
        <w:rPr/>
        <w:t>is</w:t>
      </w:r>
      <w:r>
        <w:rPr>
          <w:spacing w:val="-17"/>
        </w:rPr>
        <w:t> </w:t>
      </w:r>
      <w:r>
        <w:rPr/>
        <w:t>not</w:t>
      </w:r>
      <w:r>
        <w:rPr>
          <w:spacing w:val="-17"/>
        </w:rPr>
        <w:t> </w:t>
      </w:r>
      <w:r>
        <w:rPr/>
        <w:t>merely</w:t>
      </w:r>
      <w:r>
        <w:rPr>
          <w:spacing w:val="-17"/>
        </w:rPr>
        <w:t> </w:t>
      </w:r>
      <w:r>
        <w:rPr/>
        <w:t>the</w:t>
      </w:r>
      <w:r>
        <w:rPr>
          <w:spacing w:val="-17"/>
        </w:rPr>
        <w:t> </w:t>
      </w:r>
      <w:r>
        <w:rPr/>
        <w:t>agent</w:t>
      </w:r>
      <w:r>
        <w:rPr>
          <w:spacing w:val="-17"/>
        </w:rPr>
        <w:t> </w:t>
      </w:r>
      <w:r>
        <w:rPr/>
        <w:t>of</w:t>
      </w:r>
      <w:r>
        <w:rPr>
          <w:spacing w:val="-17"/>
        </w:rPr>
        <w:t> </w:t>
      </w:r>
      <w:r>
        <w:rPr/>
        <w:t>the</w:t>
      </w:r>
      <w:r>
        <w:rPr>
          <w:spacing w:val="-17"/>
        </w:rPr>
        <w:t> </w:t>
      </w:r>
      <w:r>
        <w:rPr/>
        <w:t>residual risk-bearers,</w:t>
      </w:r>
      <w:r>
        <w:rPr>
          <w:spacing w:val="-7"/>
        </w:rPr>
        <w:t> </w:t>
      </w:r>
      <w:r>
        <w:rPr/>
        <w:t>but</w:t>
      </w:r>
      <w:r>
        <w:rPr>
          <w:spacing w:val="-7"/>
        </w:rPr>
        <w:t> </w:t>
      </w:r>
      <w:r>
        <w:rPr/>
        <w:t>owes</w:t>
      </w:r>
      <w:r>
        <w:rPr>
          <w:spacing w:val="-7"/>
        </w:rPr>
        <w:t> </w:t>
      </w:r>
      <w:r>
        <w:rPr/>
        <w:t>its</w:t>
      </w:r>
      <w:r>
        <w:rPr>
          <w:spacing w:val="-7"/>
        </w:rPr>
        <w:t> </w:t>
      </w:r>
      <w:r>
        <w:rPr/>
        <w:t>duty</w:t>
      </w:r>
      <w:r>
        <w:rPr>
          <w:spacing w:val="-7"/>
        </w:rPr>
        <w:t> </w:t>
      </w:r>
      <w:r>
        <w:rPr/>
        <w:t>to</w:t>
      </w:r>
      <w:r>
        <w:rPr>
          <w:spacing w:val="-7"/>
        </w:rPr>
        <w:t> </w:t>
      </w:r>
      <w:r>
        <w:rPr/>
        <w:t>the</w:t>
      </w:r>
      <w:r>
        <w:rPr>
          <w:spacing w:val="-7"/>
        </w:rPr>
        <w:t> </w:t>
      </w:r>
      <w:r>
        <w:rPr/>
        <w:t>corporate</w:t>
      </w:r>
      <w:r>
        <w:rPr>
          <w:spacing w:val="-7"/>
        </w:rPr>
        <w:t> </w:t>
      </w:r>
      <w:r>
        <w:rPr/>
        <w:t>enterprise.”</w:t>
      </w:r>
      <w:r>
        <w:rPr>
          <w:spacing w:val="-7"/>
        </w:rPr>
        <w:t> </w:t>
      </w:r>
      <w:r>
        <w:rPr/>
        <w:t>The</w:t>
      </w:r>
      <w:r>
        <w:rPr>
          <w:spacing w:val="-7"/>
        </w:rPr>
        <w:t> </w:t>
      </w:r>
      <w:r>
        <w:rPr/>
        <w:t>judge</w:t>
      </w:r>
      <w:r>
        <w:rPr>
          <w:spacing w:val="-7"/>
        </w:rPr>
        <w:t> </w:t>
      </w:r>
      <w:r>
        <w:rPr/>
        <w:t>fur- ther elaborated by way of an example in a separate annotation</w:t>
      </w:r>
      <w:r>
        <w:rPr>
          <w:spacing w:val="6"/>
        </w:rPr>
        <w:t> </w:t>
      </w:r>
      <w:r>
        <w:rPr/>
        <w:t>(footnote</w:t>
      </w:r>
    </w:p>
    <w:p>
      <w:pPr>
        <w:pStyle w:val="BodyText"/>
        <w:spacing w:line="248" w:lineRule="exact"/>
        <w:ind w:left="532"/>
      </w:pPr>
      <w:r>
        <w:rPr>
          <w:w w:val="105"/>
        </w:rPr>
        <w:t>55) that:</w:t>
      </w:r>
    </w:p>
    <w:p>
      <w:pPr>
        <w:spacing w:line="235" w:lineRule="auto" w:before="135"/>
        <w:ind w:left="891" w:right="507" w:firstLine="0"/>
        <w:jc w:val="both"/>
        <w:rPr>
          <w:sz w:val="18"/>
        </w:rPr>
      </w:pPr>
      <w:r>
        <w:rPr>
          <w:sz w:val="18"/>
        </w:rPr>
        <w:t>The</w:t>
      </w:r>
      <w:r>
        <w:rPr>
          <w:spacing w:val="-16"/>
          <w:sz w:val="18"/>
        </w:rPr>
        <w:t> </w:t>
      </w:r>
      <w:r>
        <w:rPr>
          <w:sz w:val="18"/>
        </w:rPr>
        <w:t>possibility</w:t>
      </w:r>
      <w:r>
        <w:rPr>
          <w:spacing w:val="-16"/>
          <w:sz w:val="18"/>
        </w:rPr>
        <w:t> </w:t>
      </w:r>
      <w:r>
        <w:rPr>
          <w:sz w:val="18"/>
        </w:rPr>
        <w:t>of</w:t>
      </w:r>
      <w:r>
        <w:rPr>
          <w:spacing w:val="-16"/>
          <w:sz w:val="18"/>
        </w:rPr>
        <w:t> </w:t>
      </w:r>
      <w:r>
        <w:rPr>
          <w:sz w:val="18"/>
        </w:rPr>
        <w:t>insolvency</w:t>
      </w:r>
      <w:r>
        <w:rPr>
          <w:spacing w:val="-16"/>
          <w:sz w:val="18"/>
        </w:rPr>
        <w:t> </w:t>
      </w:r>
      <w:r>
        <w:rPr>
          <w:sz w:val="18"/>
        </w:rPr>
        <w:t>can</w:t>
      </w:r>
      <w:r>
        <w:rPr>
          <w:spacing w:val="-16"/>
          <w:sz w:val="18"/>
        </w:rPr>
        <w:t> </w:t>
      </w:r>
      <w:r>
        <w:rPr>
          <w:sz w:val="18"/>
        </w:rPr>
        <w:t>do</w:t>
      </w:r>
      <w:r>
        <w:rPr>
          <w:spacing w:val="-16"/>
          <w:sz w:val="18"/>
        </w:rPr>
        <w:t> </w:t>
      </w:r>
      <w:r>
        <w:rPr>
          <w:sz w:val="18"/>
        </w:rPr>
        <w:t>curious</w:t>
      </w:r>
      <w:r>
        <w:rPr>
          <w:spacing w:val="-16"/>
          <w:sz w:val="18"/>
        </w:rPr>
        <w:t> </w:t>
      </w:r>
      <w:r>
        <w:rPr>
          <w:sz w:val="18"/>
        </w:rPr>
        <w:t>things</w:t>
      </w:r>
      <w:r>
        <w:rPr>
          <w:spacing w:val="-16"/>
          <w:sz w:val="18"/>
        </w:rPr>
        <w:t> </w:t>
      </w:r>
      <w:r>
        <w:rPr>
          <w:sz w:val="18"/>
        </w:rPr>
        <w:t>to</w:t>
      </w:r>
      <w:r>
        <w:rPr>
          <w:spacing w:val="-16"/>
          <w:sz w:val="18"/>
        </w:rPr>
        <w:t> </w:t>
      </w:r>
      <w:r>
        <w:rPr>
          <w:sz w:val="18"/>
        </w:rPr>
        <w:t>incentives,</w:t>
      </w:r>
      <w:r>
        <w:rPr>
          <w:spacing w:val="-16"/>
          <w:sz w:val="18"/>
        </w:rPr>
        <w:t> </w:t>
      </w:r>
      <w:r>
        <w:rPr>
          <w:sz w:val="18"/>
        </w:rPr>
        <w:t>exposing creditors to risks of opportunistic behavior and creating complexities</w:t>
      </w:r>
      <w:r>
        <w:rPr>
          <w:spacing w:val="-25"/>
          <w:sz w:val="18"/>
        </w:rPr>
        <w:t> </w:t>
      </w:r>
      <w:r>
        <w:rPr>
          <w:sz w:val="18"/>
        </w:rPr>
        <w:t>for directors </w:t>
      </w:r>
      <w:r>
        <w:rPr>
          <w:spacing w:val="16"/>
          <w:sz w:val="18"/>
        </w:rPr>
        <w:t>... </w:t>
      </w:r>
      <w:r>
        <w:rPr>
          <w:sz w:val="18"/>
        </w:rPr>
        <w:t>Such directors will recognize that in managing the business affairs</w:t>
      </w:r>
      <w:r>
        <w:rPr>
          <w:spacing w:val="-17"/>
          <w:sz w:val="18"/>
        </w:rPr>
        <w:t> </w:t>
      </w:r>
      <w:r>
        <w:rPr>
          <w:sz w:val="18"/>
        </w:rPr>
        <w:t>of</w:t>
      </w:r>
      <w:r>
        <w:rPr>
          <w:spacing w:val="-17"/>
          <w:sz w:val="18"/>
        </w:rPr>
        <w:t> </w:t>
      </w:r>
      <w:r>
        <w:rPr>
          <w:sz w:val="18"/>
        </w:rPr>
        <w:t>a</w:t>
      </w:r>
      <w:r>
        <w:rPr>
          <w:spacing w:val="-17"/>
          <w:sz w:val="18"/>
        </w:rPr>
        <w:t> </w:t>
      </w:r>
      <w:r>
        <w:rPr>
          <w:sz w:val="18"/>
        </w:rPr>
        <w:t>solvent</w:t>
      </w:r>
      <w:r>
        <w:rPr>
          <w:spacing w:val="-17"/>
          <w:sz w:val="18"/>
        </w:rPr>
        <w:t> </w:t>
      </w:r>
      <w:r>
        <w:rPr>
          <w:sz w:val="18"/>
        </w:rPr>
        <w:t>corporation</w:t>
      </w:r>
      <w:r>
        <w:rPr>
          <w:spacing w:val="-17"/>
          <w:sz w:val="18"/>
        </w:rPr>
        <w:t> </w:t>
      </w:r>
      <w:r>
        <w:rPr>
          <w:sz w:val="18"/>
        </w:rPr>
        <w:t>in</w:t>
      </w:r>
      <w:r>
        <w:rPr>
          <w:spacing w:val="-17"/>
          <w:sz w:val="18"/>
        </w:rPr>
        <w:t> </w:t>
      </w:r>
      <w:r>
        <w:rPr>
          <w:sz w:val="18"/>
        </w:rPr>
        <w:t>the</w:t>
      </w:r>
      <w:r>
        <w:rPr>
          <w:spacing w:val="-17"/>
          <w:sz w:val="18"/>
        </w:rPr>
        <w:t> </w:t>
      </w:r>
      <w:r>
        <w:rPr>
          <w:sz w:val="18"/>
        </w:rPr>
        <w:t>vicinity</w:t>
      </w:r>
      <w:r>
        <w:rPr>
          <w:spacing w:val="-17"/>
          <w:sz w:val="18"/>
        </w:rPr>
        <w:t> </w:t>
      </w:r>
      <w:r>
        <w:rPr>
          <w:sz w:val="18"/>
        </w:rPr>
        <w:t>of</w:t>
      </w:r>
      <w:r>
        <w:rPr>
          <w:spacing w:val="-17"/>
          <w:sz w:val="18"/>
        </w:rPr>
        <w:t> </w:t>
      </w:r>
      <w:r>
        <w:rPr>
          <w:sz w:val="18"/>
        </w:rPr>
        <w:t>insolvency,</w:t>
      </w:r>
      <w:r>
        <w:rPr>
          <w:spacing w:val="-17"/>
          <w:sz w:val="18"/>
        </w:rPr>
        <w:t> </w:t>
      </w:r>
      <w:r>
        <w:rPr>
          <w:sz w:val="18"/>
        </w:rPr>
        <w:t>circumstances may</w:t>
      </w:r>
      <w:r>
        <w:rPr>
          <w:spacing w:val="-5"/>
          <w:sz w:val="18"/>
        </w:rPr>
        <w:t> </w:t>
      </w:r>
      <w:r>
        <w:rPr>
          <w:sz w:val="18"/>
        </w:rPr>
        <w:t>arise</w:t>
      </w:r>
      <w:r>
        <w:rPr>
          <w:spacing w:val="-5"/>
          <w:sz w:val="18"/>
        </w:rPr>
        <w:t> </w:t>
      </w:r>
      <w:r>
        <w:rPr>
          <w:sz w:val="18"/>
        </w:rPr>
        <w:t>when</w:t>
      </w:r>
      <w:r>
        <w:rPr>
          <w:spacing w:val="-5"/>
          <w:sz w:val="18"/>
        </w:rPr>
        <w:t> </w:t>
      </w:r>
      <w:r>
        <w:rPr>
          <w:sz w:val="18"/>
        </w:rPr>
        <w:t>the</w:t>
      </w:r>
      <w:r>
        <w:rPr>
          <w:spacing w:val="-5"/>
          <w:sz w:val="18"/>
        </w:rPr>
        <w:t> </w:t>
      </w:r>
      <w:r>
        <w:rPr>
          <w:sz w:val="18"/>
        </w:rPr>
        <w:t>right</w:t>
      </w:r>
      <w:r>
        <w:rPr>
          <w:spacing w:val="-5"/>
          <w:sz w:val="18"/>
        </w:rPr>
        <w:t> </w:t>
      </w:r>
      <w:r>
        <w:rPr>
          <w:sz w:val="18"/>
        </w:rPr>
        <w:t>(both</w:t>
      </w:r>
      <w:r>
        <w:rPr>
          <w:spacing w:val="-5"/>
          <w:sz w:val="18"/>
        </w:rPr>
        <w:t> </w:t>
      </w:r>
      <w:r>
        <w:rPr>
          <w:sz w:val="18"/>
        </w:rPr>
        <w:t>the</w:t>
      </w:r>
      <w:r>
        <w:rPr>
          <w:spacing w:val="-4"/>
          <w:sz w:val="18"/>
        </w:rPr>
        <w:t> </w:t>
      </w:r>
      <w:r>
        <w:rPr>
          <w:sz w:val="18"/>
        </w:rPr>
        <w:t>efficient</w:t>
      </w:r>
      <w:r>
        <w:rPr>
          <w:spacing w:val="-5"/>
          <w:sz w:val="18"/>
        </w:rPr>
        <w:t> </w:t>
      </w:r>
      <w:r>
        <w:rPr>
          <w:sz w:val="18"/>
        </w:rPr>
        <w:t>and</w:t>
      </w:r>
      <w:r>
        <w:rPr>
          <w:spacing w:val="-4"/>
          <w:sz w:val="18"/>
        </w:rPr>
        <w:t> </w:t>
      </w:r>
      <w:r>
        <w:rPr>
          <w:sz w:val="18"/>
        </w:rPr>
        <w:t>the</w:t>
      </w:r>
      <w:r>
        <w:rPr>
          <w:spacing w:val="-5"/>
          <w:sz w:val="18"/>
        </w:rPr>
        <w:t> </w:t>
      </w:r>
      <w:r>
        <w:rPr>
          <w:sz w:val="18"/>
        </w:rPr>
        <w:t>fair)</w:t>
      </w:r>
      <w:r>
        <w:rPr>
          <w:spacing w:val="-5"/>
          <w:sz w:val="18"/>
        </w:rPr>
        <w:t> </w:t>
      </w:r>
      <w:r>
        <w:rPr>
          <w:sz w:val="18"/>
        </w:rPr>
        <w:t>course</w:t>
      </w:r>
      <w:r>
        <w:rPr>
          <w:spacing w:val="-5"/>
          <w:sz w:val="18"/>
        </w:rPr>
        <w:t> </w:t>
      </w:r>
      <w:r>
        <w:rPr>
          <w:sz w:val="18"/>
        </w:rPr>
        <w:t>to</w:t>
      </w:r>
      <w:r>
        <w:rPr>
          <w:spacing w:val="-4"/>
          <w:sz w:val="18"/>
        </w:rPr>
        <w:t> </w:t>
      </w:r>
      <w:r>
        <w:rPr>
          <w:sz w:val="18"/>
        </w:rPr>
        <w:t>follow for the corporation may diverge from the choice that the stockholders (or the creditors, or the employees, or any single group interested in the corporation) would make if given the opportunity to</w:t>
      </w:r>
      <w:r>
        <w:rPr>
          <w:spacing w:val="-15"/>
          <w:sz w:val="18"/>
        </w:rPr>
        <w:t> </w:t>
      </w:r>
      <w:r>
        <w:rPr>
          <w:sz w:val="18"/>
        </w:rPr>
        <w:t>act.</w:t>
      </w:r>
    </w:p>
    <w:p>
      <w:pPr>
        <w:pStyle w:val="BodyText"/>
        <w:spacing w:line="225" w:lineRule="auto" w:before="130"/>
        <w:ind w:left="532" w:right="149" w:firstLine="199"/>
        <w:jc w:val="both"/>
      </w:pPr>
      <w:r>
        <w:rPr/>
        <w:t>The</w:t>
      </w:r>
      <w:r>
        <w:rPr>
          <w:spacing w:val="-8"/>
        </w:rPr>
        <w:t> </w:t>
      </w:r>
      <w:r>
        <w:rPr/>
        <w:t>footnote</w:t>
      </w:r>
      <w:r>
        <w:rPr>
          <w:spacing w:val="-8"/>
        </w:rPr>
        <w:t> </w:t>
      </w:r>
      <w:r>
        <w:rPr/>
        <w:t>gained</w:t>
      </w:r>
      <w:r>
        <w:rPr>
          <w:spacing w:val="-8"/>
        </w:rPr>
        <w:t> </w:t>
      </w:r>
      <w:r>
        <w:rPr/>
        <w:t>a</w:t>
      </w:r>
      <w:r>
        <w:rPr>
          <w:spacing w:val="-8"/>
        </w:rPr>
        <w:t> </w:t>
      </w:r>
      <w:r>
        <w:rPr/>
        <w:t>fair</w:t>
      </w:r>
      <w:r>
        <w:rPr>
          <w:spacing w:val="-8"/>
        </w:rPr>
        <w:t> </w:t>
      </w:r>
      <w:r>
        <w:rPr/>
        <w:t>amount</w:t>
      </w:r>
      <w:r>
        <w:rPr>
          <w:spacing w:val="-8"/>
        </w:rPr>
        <w:t> </w:t>
      </w:r>
      <w:r>
        <w:rPr/>
        <w:t>of</w:t>
      </w:r>
      <w:r>
        <w:rPr>
          <w:spacing w:val="-8"/>
        </w:rPr>
        <w:t> </w:t>
      </w:r>
      <w:r>
        <w:rPr/>
        <w:t>attention</w:t>
      </w:r>
      <w:r>
        <w:rPr>
          <w:spacing w:val="-8"/>
        </w:rPr>
        <w:t> </w:t>
      </w:r>
      <w:r>
        <w:rPr/>
        <w:t>in</w:t>
      </w:r>
      <w:r>
        <w:rPr>
          <w:spacing w:val="-8"/>
        </w:rPr>
        <w:t> </w:t>
      </w:r>
      <w:r>
        <w:rPr/>
        <w:t>the</w:t>
      </w:r>
      <w:r>
        <w:rPr>
          <w:spacing w:val="-8"/>
        </w:rPr>
        <w:t> </w:t>
      </w:r>
      <w:r>
        <w:rPr/>
        <w:t>business</w:t>
      </w:r>
      <w:r>
        <w:rPr>
          <w:spacing w:val="-8"/>
        </w:rPr>
        <w:t> </w:t>
      </w:r>
      <w:r>
        <w:rPr/>
        <w:t>press</w:t>
      </w:r>
      <w:r>
        <w:rPr>
          <w:spacing w:val="-8"/>
        </w:rPr>
        <w:t> </w:t>
      </w:r>
      <w:r>
        <w:rPr/>
        <w:t>and among corporate law scholars.</w:t>
      </w:r>
      <w:r>
        <w:rPr>
          <w:color w:val="231F20"/>
          <w:position w:val="7"/>
          <w:sz w:val="14"/>
        </w:rPr>
        <w:t>5 </w:t>
      </w:r>
      <w:r>
        <w:rPr/>
        <w:t>The consensus was that, as a result of the court ruling, the scope of fiduciary duties of directors of Delaware firms was expanded to include creditors when a firm approached insolvency (Varallo and Finkelstein [1992], Barondes [1998], Dionne [2007]).</w:t>
      </w:r>
      <w:r>
        <w:rPr>
          <w:color w:val="231F20"/>
          <w:position w:val="7"/>
          <w:sz w:val="14"/>
        </w:rPr>
        <w:t>6 </w:t>
      </w:r>
      <w:r>
        <w:rPr/>
        <w:t>While the phrase “vicinity of insolvency” does not refer to an insolvency or bankruptcy status, there is no legal definition of the term.</w:t>
      </w:r>
      <w:r>
        <w:rPr>
          <w:color w:val="231F20"/>
          <w:position w:val="7"/>
          <w:sz w:val="14"/>
        </w:rPr>
        <w:t>7 </w:t>
      </w:r>
      <w:r>
        <w:rPr/>
        <w:t>Neverthe- less,</w:t>
      </w:r>
      <w:r>
        <w:rPr>
          <w:spacing w:val="-11"/>
        </w:rPr>
        <w:t> </w:t>
      </w:r>
      <w:r>
        <w:rPr/>
        <w:t>the</w:t>
      </w:r>
      <w:r>
        <w:rPr>
          <w:spacing w:val="-11"/>
        </w:rPr>
        <w:t> </w:t>
      </w:r>
      <w:r>
        <w:rPr/>
        <w:t>newly</w:t>
      </w:r>
      <w:r>
        <w:rPr>
          <w:spacing w:val="-11"/>
        </w:rPr>
        <w:t> </w:t>
      </w:r>
      <w:r>
        <w:rPr/>
        <w:t>introduced</w:t>
      </w:r>
      <w:r>
        <w:rPr>
          <w:spacing w:val="-11"/>
        </w:rPr>
        <w:t> </w:t>
      </w:r>
      <w:r>
        <w:rPr/>
        <w:t>firm</w:t>
      </w:r>
      <w:r>
        <w:rPr>
          <w:spacing w:val="-11"/>
        </w:rPr>
        <w:t> </w:t>
      </w:r>
      <w:r>
        <w:rPr/>
        <w:t>status</w:t>
      </w:r>
      <w:r>
        <w:rPr>
          <w:spacing w:val="-11"/>
        </w:rPr>
        <w:t> </w:t>
      </w:r>
      <w:r>
        <w:rPr/>
        <w:t>brought</w:t>
      </w:r>
      <w:r>
        <w:rPr>
          <w:spacing w:val="-11"/>
        </w:rPr>
        <w:t> </w:t>
      </w:r>
      <w:r>
        <w:rPr/>
        <w:t>an</w:t>
      </w:r>
      <w:r>
        <w:rPr>
          <w:spacing w:val="-11"/>
        </w:rPr>
        <w:t> </w:t>
      </w:r>
      <w:r>
        <w:rPr/>
        <w:t>additional</w:t>
      </w:r>
      <w:r>
        <w:rPr>
          <w:spacing w:val="-11"/>
        </w:rPr>
        <w:t> </w:t>
      </w:r>
      <w:r>
        <w:rPr/>
        <w:t>dimension</w:t>
      </w:r>
      <w:r>
        <w:rPr>
          <w:spacing w:val="-11"/>
        </w:rPr>
        <w:t> </w:t>
      </w:r>
      <w:r>
        <w:rPr/>
        <w:t>to</w:t>
      </w:r>
    </w:p>
    <w:p>
      <w:pPr>
        <w:pStyle w:val="BodyText"/>
        <w:spacing w:before="10"/>
        <w:rPr>
          <w:sz w:val="24"/>
        </w:rPr>
      </w:pPr>
      <w:r>
        <w:rPr/>
        <w:pict>
          <v:line style="position:absolute;mso-position-horizontal-relative:page;mso-position-vertical-relative:paragraph;z-index:1168;mso-wrap-distance-left:0;mso-wrap-distance-right:0" from="90.629997pt,17.690411pt" to="126.503997pt,17.690411pt" stroked="true" strokeweight=".504pt" strokecolor="#000000">
            <v:stroke dashstyle="solid"/>
            <w10:wrap type="topAndBottom"/>
          </v:line>
        </w:pict>
      </w:r>
    </w:p>
    <w:p>
      <w:pPr>
        <w:spacing w:before="92"/>
        <w:ind w:left="532" w:right="148" w:firstLine="0"/>
        <w:jc w:val="both"/>
        <w:rPr>
          <w:sz w:val="16"/>
        </w:rPr>
      </w:pPr>
      <w:r>
        <w:rPr>
          <w:i/>
          <w:color w:val="231F20"/>
          <w:sz w:val="16"/>
        </w:rPr>
        <w:t>American Catholic Educational Programming Foundation, Inc. </w:t>
      </w:r>
      <w:r>
        <w:rPr>
          <w:i/>
          <w:color w:val="231F20"/>
          <w:spacing w:val="-4"/>
          <w:sz w:val="16"/>
        </w:rPr>
        <w:t>v. </w:t>
      </w:r>
      <w:r>
        <w:rPr>
          <w:i/>
          <w:color w:val="231F20"/>
          <w:sz w:val="16"/>
        </w:rPr>
        <w:t>Gheewalla, </w:t>
      </w:r>
      <w:r>
        <w:rPr>
          <w:color w:val="231F20"/>
          <w:sz w:val="16"/>
        </w:rPr>
        <w:t>930 A.2d 92, 99</w:t>
      </w:r>
      <w:r>
        <w:rPr>
          <w:color w:val="231F20"/>
          <w:spacing w:val="-21"/>
          <w:sz w:val="16"/>
        </w:rPr>
        <w:t> </w:t>
      </w:r>
      <w:r>
        <w:rPr>
          <w:color w:val="231F20"/>
          <w:sz w:val="16"/>
        </w:rPr>
        <w:t>(Del. 2007), the Delaware Supreme Court stated that “it is well established that the directors owe their fiduciary obligations to the corporation and its</w:t>
      </w:r>
      <w:r>
        <w:rPr>
          <w:color w:val="231F20"/>
          <w:spacing w:val="-15"/>
          <w:sz w:val="16"/>
        </w:rPr>
        <w:t> </w:t>
      </w:r>
      <w:r>
        <w:rPr>
          <w:color w:val="231F20"/>
          <w:sz w:val="16"/>
        </w:rPr>
        <w:t>shareholders.”</w:t>
      </w:r>
    </w:p>
    <w:p>
      <w:pPr>
        <w:spacing w:line="201" w:lineRule="exact" w:before="0"/>
        <w:ind w:left="711" w:right="0" w:firstLine="0"/>
        <w:jc w:val="left"/>
        <w:rPr>
          <w:sz w:val="16"/>
        </w:rPr>
      </w:pPr>
      <w:r>
        <w:rPr>
          <w:color w:val="231F20"/>
          <w:position w:val="6"/>
          <w:sz w:val="12"/>
        </w:rPr>
        <w:t>5 </w:t>
      </w:r>
      <w:r>
        <w:rPr>
          <w:color w:val="231F20"/>
          <w:sz w:val="16"/>
        </w:rPr>
        <w:t>Becker and Stromberg [2012] find that, in just three months after the court ruling</w:t>
      </w:r>
    </w:p>
    <w:p>
      <w:pPr>
        <w:spacing w:before="0"/>
        <w:ind w:left="532" w:right="148" w:firstLine="0"/>
        <w:jc w:val="both"/>
        <w:rPr>
          <w:sz w:val="16"/>
        </w:rPr>
      </w:pPr>
      <w:r>
        <w:rPr>
          <w:color w:val="231F20"/>
          <w:sz w:val="16"/>
        </w:rPr>
        <w:t>(November</w:t>
      </w:r>
      <w:r>
        <w:rPr>
          <w:color w:val="231F20"/>
          <w:spacing w:val="-12"/>
          <w:sz w:val="16"/>
        </w:rPr>
        <w:t> </w:t>
      </w:r>
      <w:r>
        <w:rPr>
          <w:color w:val="231F20"/>
          <w:sz w:val="16"/>
        </w:rPr>
        <w:t>1991</w:t>
      </w:r>
      <w:r>
        <w:rPr>
          <w:color w:val="231F20"/>
          <w:spacing w:val="-12"/>
          <w:sz w:val="16"/>
        </w:rPr>
        <w:t> </w:t>
      </w:r>
      <w:r>
        <w:rPr>
          <w:color w:val="231F20"/>
          <w:sz w:val="16"/>
        </w:rPr>
        <w:t>to</w:t>
      </w:r>
      <w:r>
        <w:rPr>
          <w:color w:val="231F20"/>
          <w:spacing w:val="-12"/>
          <w:sz w:val="16"/>
        </w:rPr>
        <w:t> </w:t>
      </w:r>
      <w:r>
        <w:rPr>
          <w:color w:val="231F20"/>
          <w:sz w:val="16"/>
        </w:rPr>
        <w:t>January</w:t>
      </w:r>
      <w:r>
        <w:rPr>
          <w:color w:val="231F20"/>
          <w:spacing w:val="-12"/>
          <w:sz w:val="16"/>
        </w:rPr>
        <w:t> </w:t>
      </w:r>
      <w:r>
        <w:rPr>
          <w:color w:val="231F20"/>
          <w:sz w:val="16"/>
        </w:rPr>
        <w:t>1992),</w:t>
      </w:r>
      <w:r>
        <w:rPr>
          <w:color w:val="231F20"/>
          <w:spacing w:val="-12"/>
          <w:sz w:val="16"/>
        </w:rPr>
        <w:t> </w:t>
      </w:r>
      <w:r>
        <w:rPr>
          <w:color w:val="231F20"/>
          <w:sz w:val="16"/>
        </w:rPr>
        <w:t>the</w:t>
      </w:r>
      <w:r>
        <w:rPr>
          <w:color w:val="231F20"/>
          <w:spacing w:val="-12"/>
          <w:sz w:val="16"/>
        </w:rPr>
        <w:t> </w:t>
      </w:r>
      <w:r>
        <w:rPr>
          <w:color w:val="231F20"/>
          <w:sz w:val="16"/>
        </w:rPr>
        <w:t>Credit</w:t>
      </w:r>
      <w:r>
        <w:rPr>
          <w:color w:val="231F20"/>
          <w:spacing w:val="-12"/>
          <w:sz w:val="16"/>
        </w:rPr>
        <w:t> </w:t>
      </w:r>
      <w:r>
        <w:rPr>
          <w:color w:val="231F20"/>
          <w:sz w:val="16"/>
        </w:rPr>
        <w:t>Lyonnais</w:t>
      </w:r>
      <w:r>
        <w:rPr>
          <w:color w:val="231F20"/>
          <w:spacing w:val="-12"/>
          <w:sz w:val="16"/>
        </w:rPr>
        <w:t> </w:t>
      </w:r>
      <w:r>
        <w:rPr>
          <w:color w:val="231F20"/>
          <w:sz w:val="16"/>
        </w:rPr>
        <w:t>case</w:t>
      </w:r>
      <w:r>
        <w:rPr>
          <w:color w:val="231F20"/>
          <w:spacing w:val="-12"/>
          <w:sz w:val="16"/>
        </w:rPr>
        <w:t> </w:t>
      </w:r>
      <w:r>
        <w:rPr>
          <w:color w:val="231F20"/>
          <w:sz w:val="16"/>
        </w:rPr>
        <w:t>was</w:t>
      </w:r>
      <w:r>
        <w:rPr>
          <w:color w:val="231F20"/>
          <w:spacing w:val="-12"/>
          <w:sz w:val="16"/>
        </w:rPr>
        <w:t> </w:t>
      </w:r>
      <w:r>
        <w:rPr>
          <w:color w:val="231F20"/>
          <w:sz w:val="16"/>
        </w:rPr>
        <w:t>covered</w:t>
      </w:r>
      <w:r>
        <w:rPr>
          <w:color w:val="231F20"/>
          <w:spacing w:val="-12"/>
          <w:sz w:val="16"/>
        </w:rPr>
        <w:t> </w:t>
      </w:r>
      <w:r>
        <w:rPr>
          <w:color w:val="231F20"/>
          <w:sz w:val="16"/>
        </w:rPr>
        <w:t>62</w:t>
      </w:r>
      <w:r>
        <w:rPr>
          <w:color w:val="231F20"/>
          <w:spacing w:val="-12"/>
          <w:sz w:val="16"/>
        </w:rPr>
        <w:t> </w:t>
      </w:r>
      <w:r>
        <w:rPr>
          <w:color w:val="231F20"/>
          <w:sz w:val="16"/>
        </w:rPr>
        <w:t>times</w:t>
      </w:r>
      <w:r>
        <w:rPr>
          <w:color w:val="231F20"/>
          <w:spacing w:val="-12"/>
          <w:sz w:val="16"/>
        </w:rPr>
        <w:t> </w:t>
      </w:r>
      <w:r>
        <w:rPr>
          <w:color w:val="231F20"/>
          <w:sz w:val="16"/>
        </w:rPr>
        <w:t>in</w:t>
      </w:r>
      <w:r>
        <w:rPr>
          <w:color w:val="231F20"/>
          <w:spacing w:val="-12"/>
          <w:sz w:val="16"/>
        </w:rPr>
        <w:t> </w:t>
      </w:r>
      <w:r>
        <w:rPr>
          <w:color w:val="231F20"/>
          <w:sz w:val="16"/>
        </w:rPr>
        <w:t>the</w:t>
      </w:r>
      <w:r>
        <w:rPr>
          <w:color w:val="231F20"/>
          <w:spacing w:val="-12"/>
          <w:sz w:val="16"/>
        </w:rPr>
        <w:t> </w:t>
      </w:r>
      <w:r>
        <w:rPr>
          <w:color w:val="231F20"/>
          <w:sz w:val="16"/>
        </w:rPr>
        <w:t>main- stream</w:t>
      </w:r>
      <w:r>
        <w:rPr>
          <w:color w:val="231F20"/>
          <w:spacing w:val="-10"/>
          <w:sz w:val="16"/>
        </w:rPr>
        <w:t> </w:t>
      </w:r>
      <w:r>
        <w:rPr>
          <w:color w:val="231F20"/>
          <w:sz w:val="16"/>
        </w:rPr>
        <w:t>press</w:t>
      </w:r>
      <w:r>
        <w:rPr>
          <w:color w:val="231F20"/>
          <w:spacing w:val="-10"/>
          <w:sz w:val="16"/>
        </w:rPr>
        <w:t> </w:t>
      </w:r>
      <w:r>
        <w:rPr>
          <w:color w:val="231F20"/>
          <w:sz w:val="16"/>
        </w:rPr>
        <w:t>and</w:t>
      </w:r>
      <w:r>
        <w:rPr>
          <w:color w:val="231F20"/>
          <w:spacing w:val="-10"/>
          <w:sz w:val="16"/>
        </w:rPr>
        <w:t> </w:t>
      </w:r>
      <w:r>
        <w:rPr>
          <w:color w:val="231F20"/>
          <w:sz w:val="16"/>
        </w:rPr>
        <w:t>newswires.</w:t>
      </w:r>
      <w:r>
        <w:rPr>
          <w:color w:val="231F20"/>
          <w:spacing w:val="-10"/>
          <w:sz w:val="16"/>
        </w:rPr>
        <w:t> </w:t>
      </w:r>
      <w:r>
        <w:rPr>
          <w:color w:val="231F20"/>
          <w:sz w:val="16"/>
        </w:rPr>
        <w:t>It</w:t>
      </w:r>
      <w:r>
        <w:rPr>
          <w:color w:val="231F20"/>
          <w:spacing w:val="-10"/>
          <w:sz w:val="16"/>
        </w:rPr>
        <w:t> </w:t>
      </w:r>
      <w:r>
        <w:rPr>
          <w:color w:val="231F20"/>
          <w:sz w:val="16"/>
        </w:rPr>
        <w:t>also</w:t>
      </w:r>
      <w:r>
        <w:rPr>
          <w:color w:val="231F20"/>
          <w:spacing w:val="-10"/>
          <w:sz w:val="16"/>
        </w:rPr>
        <w:t> </w:t>
      </w:r>
      <w:r>
        <w:rPr>
          <w:color w:val="231F20"/>
          <w:sz w:val="16"/>
        </w:rPr>
        <w:t>received</w:t>
      </w:r>
      <w:r>
        <w:rPr>
          <w:color w:val="231F20"/>
          <w:spacing w:val="-10"/>
          <w:sz w:val="16"/>
        </w:rPr>
        <w:t> </w:t>
      </w:r>
      <w:r>
        <w:rPr>
          <w:color w:val="231F20"/>
          <w:sz w:val="16"/>
        </w:rPr>
        <w:t>extensive</w:t>
      </w:r>
      <w:r>
        <w:rPr>
          <w:color w:val="231F20"/>
          <w:spacing w:val="-10"/>
          <w:sz w:val="16"/>
        </w:rPr>
        <w:t> </w:t>
      </w:r>
      <w:r>
        <w:rPr>
          <w:color w:val="231F20"/>
          <w:sz w:val="16"/>
        </w:rPr>
        <w:t>attention</w:t>
      </w:r>
      <w:r>
        <w:rPr>
          <w:color w:val="231F20"/>
          <w:spacing w:val="-10"/>
          <w:sz w:val="16"/>
        </w:rPr>
        <w:t> </w:t>
      </w:r>
      <w:r>
        <w:rPr>
          <w:color w:val="231F20"/>
          <w:sz w:val="16"/>
        </w:rPr>
        <w:t>in</w:t>
      </w:r>
      <w:r>
        <w:rPr>
          <w:color w:val="231F20"/>
          <w:spacing w:val="-10"/>
          <w:sz w:val="16"/>
        </w:rPr>
        <w:t> </w:t>
      </w:r>
      <w:r>
        <w:rPr>
          <w:color w:val="231F20"/>
          <w:sz w:val="16"/>
        </w:rPr>
        <w:t>the</w:t>
      </w:r>
      <w:r>
        <w:rPr>
          <w:color w:val="231F20"/>
          <w:spacing w:val="-10"/>
          <w:sz w:val="16"/>
        </w:rPr>
        <w:t> </w:t>
      </w:r>
      <w:r>
        <w:rPr>
          <w:color w:val="231F20"/>
          <w:sz w:val="16"/>
        </w:rPr>
        <w:t>legal</w:t>
      </w:r>
      <w:r>
        <w:rPr>
          <w:color w:val="231F20"/>
          <w:spacing w:val="-10"/>
          <w:sz w:val="16"/>
        </w:rPr>
        <w:t> </w:t>
      </w:r>
      <w:r>
        <w:rPr>
          <w:color w:val="231F20"/>
          <w:sz w:val="16"/>
        </w:rPr>
        <w:t>community</w:t>
      </w:r>
      <w:r>
        <w:rPr>
          <w:color w:val="231F20"/>
          <w:spacing w:val="-10"/>
          <w:sz w:val="16"/>
        </w:rPr>
        <w:t> </w:t>
      </w:r>
      <w:r>
        <w:rPr>
          <w:color w:val="231F20"/>
          <w:sz w:val="16"/>
        </w:rPr>
        <w:t>with over 150 law review citations through mid-2006 (Hu and Westbrook</w:t>
      </w:r>
      <w:r>
        <w:rPr>
          <w:color w:val="231F20"/>
          <w:spacing w:val="-28"/>
          <w:sz w:val="16"/>
        </w:rPr>
        <w:t> </w:t>
      </w:r>
      <w:r>
        <w:rPr>
          <w:color w:val="231F20"/>
          <w:sz w:val="16"/>
        </w:rPr>
        <w:t>[2007]).</w:t>
      </w:r>
    </w:p>
    <w:p>
      <w:pPr>
        <w:spacing w:line="199" w:lineRule="exact" w:before="0"/>
        <w:ind w:left="711" w:right="0" w:firstLine="0"/>
        <w:jc w:val="left"/>
        <w:rPr>
          <w:sz w:val="16"/>
        </w:rPr>
      </w:pPr>
      <w:r>
        <w:rPr>
          <w:color w:val="231F20"/>
          <w:position w:val="6"/>
          <w:sz w:val="12"/>
        </w:rPr>
        <w:t>6 </w:t>
      </w:r>
      <w:r>
        <w:rPr>
          <w:color w:val="231F20"/>
          <w:sz w:val="16"/>
        </w:rPr>
        <w:t>Our reading of many subsequent court cases that referred to the Credit Lyonnais case</w:t>
      </w:r>
    </w:p>
    <w:p>
      <w:pPr>
        <w:spacing w:before="1"/>
        <w:ind w:left="532" w:right="149" w:firstLine="0"/>
        <w:jc w:val="both"/>
        <w:rPr>
          <w:sz w:val="16"/>
        </w:rPr>
      </w:pPr>
      <w:r>
        <w:rPr>
          <w:color w:val="231F20"/>
          <w:sz w:val="16"/>
        </w:rPr>
        <w:t>suggests</w:t>
      </w:r>
      <w:r>
        <w:rPr>
          <w:color w:val="231F20"/>
          <w:spacing w:val="-15"/>
          <w:sz w:val="16"/>
        </w:rPr>
        <w:t> </w:t>
      </w:r>
      <w:r>
        <w:rPr>
          <w:color w:val="231F20"/>
          <w:sz w:val="16"/>
        </w:rPr>
        <w:t>that</w:t>
      </w:r>
      <w:r>
        <w:rPr>
          <w:color w:val="231F20"/>
          <w:spacing w:val="-15"/>
          <w:sz w:val="16"/>
        </w:rPr>
        <w:t> </w:t>
      </w:r>
      <w:r>
        <w:rPr>
          <w:color w:val="231F20"/>
          <w:sz w:val="16"/>
        </w:rPr>
        <w:t>the</w:t>
      </w:r>
      <w:r>
        <w:rPr>
          <w:color w:val="231F20"/>
          <w:spacing w:val="-15"/>
          <w:sz w:val="16"/>
        </w:rPr>
        <w:t> </w:t>
      </w:r>
      <w:r>
        <w:rPr>
          <w:color w:val="231F20"/>
          <w:sz w:val="16"/>
        </w:rPr>
        <w:t>focus</w:t>
      </w:r>
      <w:r>
        <w:rPr>
          <w:color w:val="231F20"/>
          <w:spacing w:val="-15"/>
          <w:sz w:val="16"/>
        </w:rPr>
        <w:t> </w:t>
      </w:r>
      <w:r>
        <w:rPr>
          <w:color w:val="231F20"/>
          <w:sz w:val="16"/>
        </w:rPr>
        <w:t>was</w:t>
      </w:r>
      <w:r>
        <w:rPr>
          <w:color w:val="231F20"/>
          <w:spacing w:val="-15"/>
          <w:sz w:val="16"/>
        </w:rPr>
        <w:t> </w:t>
      </w:r>
      <w:r>
        <w:rPr>
          <w:color w:val="231F20"/>
          <w:sz w:val="16"/>
        </w:rPr>
        <w:t>almost</w:t>
      </w:r>
      <w:r>
        <w:rPr>
          <w:color w:val="231F20"/>
          <w:spacing w:val="-15"/>
          <w:sz w:val="16"/>
        </w:rPr>
        <w:t> </w:t>
      </w:r>
      <w:r>
        <w:rPr>
          <w:color w:val="231F20"/>
          <w:sz w:val="16"/>
        </w:rPr>
        <w:t>always</w:t>
      </w:r>
      <w:r>
        <w:rPr>
          <w:color w:val="231F20"/>
          <w:spacing w:val="-15"/>
          <w:sz w:val="16"/>
        </w:rPr>
        <w:t> </w:t>
      </w:r>
      <w:r>
        <w:rPr>
          <w:color w:val="231F20"/>
          <w:sz w:val="16"/>
        </w:rPr>
        <w:t>on</w:t>
      </w:r>
      <w:r>
        <w:rPr>
          <w:color w:val="231F20"/>
          <w:spacing w:val="-15"/>
          <w:sz w:val="16"/>
        </w:rPr>
        <w:t> </w:t>
      </w:r>
      <w:r>
        <w:rPr>
          <w:color w:val="231F20"/>
          <w:sz w:val="16"/>
        </w:rPr>
        <w:t>creditors’</w:t>
      </w:r>
      <w:r>
        <w:rPr>
          <w:color w:val="231F20"/>
          <w:spacing w:val="-15"/>
          <w:sz w:val="16"/>
        </w:rPr>
        <w:t> </w:t>
      </w:r>
      <w:r>
        <w:rPr>
          <w:color w:val="231F20"/>
          <w:sz w:val="16"/>
        </w:rPr>
        <w:t>claims</w:t>
      </w:r>
      <w:r>
        <w:rPr>
          <w:color w:val="231F20"/>
          <w:spacing w:val="-15"/>
          <w:sz w:val="16"/>
        </w:rPr>
        <w:t> </w:t>
      </w:r>
      <w:r>
        <w:rPr>
          <w:color w:val="231F20"/>
          <w:sz w:val="16"/>
        </w:rPr>
        <w:t>(e.g.,</w:t>
      </w:r>
      <w:r>
        <w:rPr>
          <w:color w:val="231F20"/>
          <w:spacing w:val="-15"/>
          <w:sz w:val="16"/>
        </w:rPr>
        <w:t> </w:t>
      </w:r>
      <w:r>
        <w:rPr>
          <w:color w:val="231F20"/>
          <w:sz w:val="16"/>
        </w:rPr>
        <w:t>see</w:t>
      </w:r>
      <w:r>
        <w:rPr>
          <w:color w:val="231F20"/>
          <w:spacing w:val="-15"/>
          <w:sz w:val="16"/>
        </w:rPr>
        <w:t> </w:t>
      </w:r>
      <w:r>
        <w:rPr>
          <w:i/>
          <w:color w:val="231F20"/>
          <w:sz w:val="16"/>
        </w:rPr>
        <w:t>Geyer</w:t>
      </w:r>
      <w:r>
        <w:rPr>
          <w:i/>
          <w:color w:val="231F20"/>
          <w:spacing w:val="-15"/>
          <w:sz w:val="16"/>
        </w:rPr>
        <w:t> </w:t>
      </w:r>
      <w:r>
        <w:rPr>
          <w:i/>
          <w:color w:val="231F20"/>
          <w:spacing w:val="-4"/>
          <w:sz w:val="16"/>
        </w:rPr>
        <w:t>v.</w:t>
      </w:r>
      <w:r>
        <w:rPr>
          <w:i/>
          <w:color w:val="231F20"/>
          <w:spacing w:val="-15"/>
          <w:sz w:val="16"/>
        </w:rPr>
        <w:t> </w:t>
      </w:r>
      <w:r>
        <w:rPr>
          <w:i/>
          <w:color w:val="231F20"/>
          <w:sz w:val="16"/>
        </w:rPr>
        <w:t>Ingersoll</w:t>
      </w:r>
      <w:r>
        <w:rPr>
          <w:i/>
          <w:color w:val="231F20"/>
          <w:spacing w:val="-15"/>
          <w:sz w:val="16"/>
        </w:rPr>
        <w:t> </w:t>
      </w:r>
      <w:r>
        <w:rPr>
          <w:i/>
          <w:color w:val="231F20"/>
          <w:sz w:val="16"/>
        </w:rPr>
        <w:t>Publi- </w:t>
      </w:r>
      <w:r>
        <w:rPr>
          <w:i/>
          <w:color w:val="231F20"/>
          <w:sz w:val="16"/>
        </w:rPr>
        <w:t>cations,</w:t>
      </w:r>
      <w:r>
        <w:rPr>
          <w:i/>
          <w:color w:val="231F20"/>
          <w:spacing w:val="-12"/>
          <w:sz w:val="16"/>
        </w:rPr>
        <w:t> </w:t>
      </w:r>
      <w:r>
        <w:rPr>
          <w:color w:val="231F20"/>
          <w:sz w:val="16"/>
        </w:rPr>
        <w:t>Delaware,</w:t>
      </w:r>
      <w:r>
        <w:rPr>
          <w:color w:val="231F20"/>
          <w:spacing w:val="-12"/>
          <w:sz w:val="16"/>
        </w:rPr>
        <w:t> </w:t>
      </w:r>
      <w:r>
        <w:rPr>
          <w:color w:val="231F20"/>
          <w:sz w:val="16"/>
        </w:rPr>
        <w:t>1992).</w:t>
      </w:r>
      <w:r>
        <w:rPr>
          <w:color w:val="231F20"/>
          <w:spacing w:val="-12"/>
          <w:sz w:val="16"/>
        </w:rPr>
        <w:t> </w:t>
      </w:r>
      <w:r>
        <w:rPr>
          <w:color w:val="231F20"/>
          <w:sz w:val="16"/>
        </w:rPr>
        <w:t>Hence,</w:t>
      </w:r>
      <w:r>
        <w:rPr>
          <w:color w:val="231F20"/>
          <w:spacing w:val="-12"/>
          <w:sz w:val="16"/>
        </w:rPr>
        <w:t> </w:t>
      </w:r>
      <w:r>
        <w:rPr>
          <w:color w:val="231F20"/>
          <w:sz w:val="16"/>
        </w:rPr>
        <w:t>even</w:t>
      </w:r>
      <w:r>
        <w:rPr>
          <w:color w:val="231F20"/>
          <w:spacing w:val="-12"/>
          <w:sz w:val="16"/>
        </w:rPr>
        <w:t> </w:t>
      </w:r>
      <w:r>
        <w:rPr>
          <w:color w:val="231F20"/>
          <w:sz w:val="16"/>
        </w:rPr>
        <w:t>though</w:t>
      </w:r>
      <w:r>
        <w:rPr>
          <w:color w:val="231F20"/>
          <w:spacing w:val="-12"/>
          <w:sz w:val="16"/>
        </w:rPr>
        <w:t> </w:t>
      </w:r>
      <w:r>
        <w:rPr>
          <w:color w:val="231F20"/>
          <w:sz w:val="16"/>
        </w:rPr>
        <w:t>the</w:t>
      </w:r>
      <w:r>
        <w:rPr>
          <w:color w:val="231F20"/>
          <w:spacing w:val="-12"/>
          <w:sz w:val="16"/>
        </w:rPr>
        <w:t> </w:t>
      </w:r>
      <w:r>
        <w:rPr>
          <w:color w:val="231F20"/>
          <w:sz w:val="16"/>
        </w:rPr>
        <w:t>Credit</w:t>
      </w:r>
      <w:r>
        <w:rPr>
          <w:color w:val="231F20"/>
          <w:spacing w:val="-12"/>
          <w:sz w:val="16"/>
        </w:rPr>
        <w:t> </w:t>
      </w:r>
      <w:r>
        <w:rPr>
          <w:color w:val="231F20"/>
          <w:sz w:val="16"/>
        </w:rPr>
        <w:t>Lyonnais</w:t>
      </w:r>
      <w:r>
        <w:rPr>
          <w:color w:val="231F20"/>
          <w:spacing w:val="-12"/>
          <w:sz w:val="16"/>
        </w:rPr>
        <w:t> </w:t>
      </w:r>
      <w:r>
        <w:rPr>
          <w:color w:val="231F20"/>
          <w:sz w:val="16"/>
        </w:rPr>
        <w:t>case</w:t>
      </w:r>
      <w:r>
        <w:rPr>
          <w:color w:val="231F20"/>
          <w:spacing w:val="-12"/>
          <w:sz w:val="16"/>
        </w:rPr>
        <w:t> </w:t>
      </w:r>
      <w:r>
        <w:rPr>
          <w:color w:val="231F20"/>
          <w:sz w:val="16"/>
        </w:rPr>
        <w:t>technically</w:t>
      </w:r>
      <w:r>
        <w:rPr>
          <w:color w:val="231F20"/>
          <w:spacing w:val="-12"/>
          <w:sz w:val="16"/>
        </w:rPr>
        <w:t> </w:t>
      </w:r>
      <w:r>
        <w:rPr>
          <w:color w:val="231F20"/>
          <w:sz w:val="16"/>
        </w:rPr>
        <w:t>referred</w:t>
      </w:r>
      <w:r>
        <w:rPr>
          <w:color w:val="231F20"/>
          <w:spacing w:val="-12"/>
          <w:sz w:val="16"/>
        </w:rPr>
        <w:t> </w:t>
      </w:r>
      <w:r>
        <w:rPr>
          <w:color w:val="231F20"/>
          <w:sz w:val="16"/>
        </w:rPr>
        <w:t>to all</w:t>
      </w:r>
      <w:r>
        <w:rPr>
          <w:color w:val="231F20"/>
          <w:spacing w:val="-8"/>
          <w:sz w:val="16"/>
        </w:rPr>
        <w:t> </w:t>
      </w:r>
      <w:r>
        <w:rPr>
          <w:color w:val="231F20"/>
          <w:sz w:val="16"/>
        </w:rPr>
        <w:t>stakeholders</w:t>
      </w:r>
      <w:r>
        <w:rPr>
          <w:color w:val="231F20"/>
          <w:spacing w:val="-8"/>
          <w:sz w:val="16"/>
        </w:rPr>
        <w:t> </w:t>
      </w:r>
      <w:r>
        <w:rPr>
          <w:color w:val="231F20"/>
          <w:sz w:val="16"/>
        </w:rPr>
        <w:t>(such</w:t>
      </w:r>
      <w:r>
        <w:rPr>
          <w:color w:val="231F20"/>
          <w:spacing w:val="-8"/>
          <w:sz w:val="16"/>
        </w:rPr>
        <w:t> </w:t>
      </w:r>
      <w:r>
        <w:rPr>
          <w:color w:val="231F20"/>
          <w:sz w:val="16"/>
        </w:rPr>
        <w:t>as</w:t>
      </w:r>
      <w:r>
        <w:rPr>
          <w:color w:val="231F20"/>
          <w:spacing w:val="-8"/>
          <w:sz w:val="16"/>
        </w:rPr>
        <w:t> </w:t>
      </w:r>
      <w:r>
        <w:rPr>
          <w:color w:val="231F20"/>
          <w:sz w:val="16"/>
        </w:rPr>
        <w:t>employees),</w:t>
      </w:r>
      <w:r>
        <w:rPr>
          <w:color w:val="231F20"/>
          <w:spacing w:val="-8"/>
          <w:sz w:val="16"/>
        </w:rPr>
        <w:t> </w:t>
      </w:r>
      <w:r>
        <w:rPr>
          <w:color w:val="231F20"/>
          <w:sz w:val="16"/>
        </w:rPr>
        <w:t>the</w:t>
      </w:r>
      <w:r>
        <w:rPr>
          <w:color w:val="231F20"/>
          <w:spacing w:val="-8"/>
          <w:sz w:val="16"/>
        </w:rPr>
        <w:t> </w:t>
      </w:r>
      <w:r>
        <w:rPr>
          <w:color w:val="231F20"/>
          <w:sz w:val="16"/>
        </w:rPr>
        <w:t>interpretation</w:t>
      </w:r>
      <w:r>
        <w:rPr>
          <w:color w:val="231F20"/>
          <w:spacing w:val="-8"/>
          <w:sz w:val="16"/>
        </w:rPr>
        <w:t> </w:t>
      </w:r>
      <w:r>
        <w:rPr>
          <w:color w:val="231F20"/>
          <w:sz w:val="16"/>
        </w:rPr>
        <w:t>of</w:t>
      </w:r>
      <w:r>
        <w:rPr>
          <w:color w:val="231F20"/>
          <w:spacing w:val="-8"/>
          <w:sz w:val="16"/>
        </w:rPr>
        <w:t> </w:t>
      </w:r>
      <w:r>
        <w:rPr>
          <w:color w:val="231F20"/>
          <w:sz w:val="16"/>
        </w:rPr>
        <w:t>the</w:t>
      </w:r>
      <w:r>
        <w:rPr>
          <w:color w:val="231F20"/>
          <w:spacing w:val="-8"/>
          <w:sz w:val="16"/>
        </w:rPr>
        <w:t> </w:t>
      </w:r>
      <w:r>
        <w:rPr>
          <w:color w:val="231F20"/>
          <w:sz w:val="16"/>
        </w:rPr>
        <w:t>court</w:t>
      </w:r>
      <w:r>
        <w:rPr>
          <w:color w:val="231F20"/>
          <w:spacing w:val="-8"/>
          <w:sz w:val="16"/>
        </w:rPr>
        <w:t> </w:t>
      </w:r>
      <w:r>
        <w:rPr>
          <w:color w:val="231F20"/>
          <w:sz w:val="16"/>
        </w:rPr>
        <w:t>ruling</w:t>
      </w:r>
      <w:r>
        <w:rPr>
          <w:color w:val="231F20"/>
          <w:spacing w:val="-8"/>
          <w:sz w:val="16"/>
        </w:rPr>
        <w:t> </w:t>
      </w:r>
      <w:r>
        <w:rPr>
          <w:color w:val="231F20"/>
          <w:sz w:val="16"/>
        </w:rPr>
        <w:t>anchored</w:t>
      </w:r>
      <w:r>
        <w:rPr>
          <w:color w:val="231F20"/>
          <w:spacing w:val="-8"/>
          <w:sz w:val="16"/>
        </w:rPr>
        <w:t> </w:t>
      </w:r>
      <w:r>
        <w:rPr>
          <w:color w:val="231F20"/>
          <w:sz w:val="16"/>
        </w:rPr>
        <w:t>on</w:t>
      </w:r>
      <w:r>
        <w:rPr>
          <w:color w:val="231F20"/>
          <w:spacing w:val="-8"/>
          <w:sz w:val="16"/>
        </w:rPr>
        <w:t> </w:t>
      </w:r>
      <w:r>
        <w:rPr>
          <w:color w:val="231F20"/>
          <w:sz w:val="16"/>
        </w:rPr>
        <w:t>cred- itors. For example see, </w:t>
      </w:r>
      <w:r>
        <w:rPr>
          <w:i/>
          <w:color w:val="231F20"/>
          <w:sz w:val="16"/>
        </w:rPr>
        <w:t>Official Committee of Unsecured Creditors </w:t>
      </w:r>
      <w:r>
        <w:rPr>
          <w:i/>
          <w:color w:val="231F20"/>
          <w:spacing w:val="-4"/>
          <w:sz w:val="16"/>
        </w:rPr>
        <w:t>v. </w:t>
      </w:r>
      <w:r>
        <w:rPr>
          <w:i/>
          <w:color w:val="231F20"/>
          <w:sz w:val="16"/>
        </w:rPr>
        <w:t>Reliance Capital Group, Inc., </w:t>
      </w:r>
      <w:r>
        <w:rPr>
          <w:color w:val="231F20"/>
          <w:sz w:val="16"/>
        </w:rPr>
        <w:t>1994; </w:t>
      </w:r>
      <w:r>
        <w:rPr>
          <w:i/>
          <w:color w:val="231F20"/>
          <w:sz w:val="16"/>
        </w:rPr>
        <w:t>Weaver </w:t>
      </w:r>
      <w:r>
        <w:rPr>
          <w:i/>
          <w:color w:val="231F20"/>
          <w:spacing w:val="-4"/>
          <w:sz w:val="16"/>
        </w:rPr>
        <w:t>v. </w:t>
      </w:r>
      <w:r>
        <w:rPr>
          <w:i/>
          <w:color w:val="231F20"/>
          <w:sz w:val="16"/>
        </w:rPr>
        <w:t>Kellogg, </w:t>
      </w:r>
      <w:r>
        <w:rPr>
          <w:color w:val="231F20"/>
          <w:sz w:val="16"/>
        </w:rPr>
        <w:t>1997; </w:t>
      </w:r>
      <w:r>
        <w:rPr>
          <w:i/>
          <w:color w:val="231F20"/>
          <w:sz w:val="16"/>
        </w:rPr>
        <w:t>Medlin </w:t>
      </w:r>
      <w:r>
        <w:rPr>
          <w:i/>
          <w:color w:val="231F20"/>
          <w:spacing w:val="-4"/>
          <w:sz w:val="16"/>
        </w:rPr>
        <w:t>v. </w:t>
      </w:r>
      <w:r>
        <w:rPr>
          <w:i/>
          <w:color w:val="231F20"/>
          <w:sz w:val="16"/>
        </w:rPr>
        <w:t>Wells Fargo Bank,</w:t>
      </w:r>
      <w:r>
        <w:rPr>
          <w:i/>
          <w:color w:val="231F20"/>
          <w:spacing w:val="-2"/>
          <w:sz w:val="16"/>
        </w:rPr>
        <w:t> </w:t>
      </w:r>
      <w:r>
        <w:rPr>
          <w:color w:val="231F20"/>
          <w:sz w:val="16"/>
        </w:rPr>
        <w:t>2007.</w:t>
      </w:r>
    </w:p>
    <w:p>
      <w:pPr>
        <w:spacing w:line="200" w:lineRule="exact" w:before="2"/>
        <w:ind w:left="532" w:right="0" w:firstLine="179"/>
        <w:jc w:val="left"/>
        <w:rPr>
          <w:sz w:val="16"/>
        </w:rPr>
      </w:pPr>
      <w:r>
        <w:rPr>
          <w:color w:val="231F20"/>
          <w:position w:val="6"/>
          <w:sz w:val="12"/>
        </w:rPr>
        <w:t>7 </w:t>
      </w:r>
      <w:r>
        <w:rPr>
          <w:color w:val="231F20"/>
          <w:sz w:val="16"/>
        </w:rPr>
        <w:t>Judicial courts and legal scholars have not provided a precise definition of the phrase “vicinity</w:t>
      </w:r>
      <w:r>
        <w:rPr>
          <w:color w:val="231F20"/>
          <w:spacing w:val="-14"/>
          <w:sz w:val="16"/>
        </w:rPr>
        <w:t> </w:t>
      </w:r>
      <w:r>
        <w:rPr>
          <w:color w:val="231F20"/>
          <w:sz w:val="16"/>
        </w:rPr>
        <w:t>of</w:t>
      </w:r>
      <w:r>
        <w:rPr>
          <w:color w:val="231F20"/>
          <w:spacing w:val="-14"/>
          <w:sz w:val="16"/>
        </w:rPr>
        <w:t> </w:t>
      </w:r>
      <w:r>
        <w:rPr>
          <w:color w:val="231F20"/>
          <w:sz w:val="16"/>
        </w:rPr>
        <w:t>insolvency.”</w:t>
      </w:r>
      <w:r>
        <w:rPr>
          <w:color w:val="231F20"/>
          <w:spacing w:val="-14"/>
          <w:sz w:val="16"/>
        </w:rPr>
        <w:t> </w:t>
      </w:r>
      <w:r>
        <w:rPr>
          <w:color w:val="231F20"/>
          <w:sz w:val="16"/>
        </w:rPr>
        <w:t>It</w:t>
      </w:r>
      <w:r>
        <w:rPr>
          <w:color w:val="231F20"/>
          <w:spacing w:val="-14"/>
          <w:sz w:val="16"/>
        </w:rPr>
        <w:t> </w:t>
      </w:r>
      <w:r>
        <w:rPr>
          <w:color w:val="231F20"/>
          <w:sz w:val="16"/>
        </w:rPr>
        <w:t>is</w:t>
      </w:r>
      <w:r>
        <w:rPr>
          <w:color w:val="231F20"/>
          <w:spacing w:val="-14"/>
          <w:sz w:val="16"/>
        </w:rPr>
        <w:t> </w:t>
      </w:r>
      <w:r>
        <w:rPr>
          <w:color w:val="231F20"/>
          <w:sz w:val="16"/>
        </w:rPr>
        <w:t>also</w:t>
      </w:r>
      <w:r>
        <w:rPr>
          <w:color w:val="231F20"/>
          <w:spacing w:val="-14"/>
          <w:sz w:val="16"/>
        </w:rPr>
        <w:t> </w:t>
      </w:r>
      <w:r>
        <w:rPr>
          <w:color w:val="231F20"/>
          <w:sz w:val="16"/>
        </w:rPr>
        <w:t>uncertain</w:t>
      </w:r>
      <w:r>
        <w:rPr>
          <w:color w:val="231F20"/>
          <w:spacing w:val="-14"/>
          <w:sz w:val="16"/>
        </w:rPr>
        <w:t> </w:t>
      </w:r>
      <w:r>
        <w:rPr>
          <w:color w:val="231F20"/>
          <w:sz w:val="16"/>
        </w:rPr>
        <w:t>as</w:t>
      </w:r>
      <w:r>
        <w:rPr>
          <w:color w:val="231F20"/>
          <w:spacing w:val="-14"/>
          <w:sz w:val="16"/>
        </w:rPr>
        <w:t> </w:t>
      </w:r>
      <w:r>
        <w:rPr>
          <w:color w:val="231F20"/>
          <w:sz w:val="16"/>
        </w:rPr>
        <w:t>to</w:t>
      </w:r>
      <w:r>
        <w:rPr>
          <w:color w:val="231F20"/>
          <w:spacing w:val="-14"/>
          <w:sz w:val="16"/>
        </w:rPr>
        <w:t> </w:t>
      </w:r>
      <w:r>
        <w:rPr>
          <w:color w:val="231F20"/>
          <w:sz w:val="16"/>
        </w:rPr>
        <w:t>when</w:t>
      </w:r>
      <w:r>
        <w:rPr>
          <w:color w:val="231F20"/>
          <w:spacing w:val="-14"/>
          <w:sz w:val="16"/>
        </w:rPr>
        <w:t> </w:t>
      </w:r>
      <w:r>
        <w:rPr>
          <w:color w:val="231F20"/>
          <w:sz w:val="16"/>
        </w:rPr>
        <w:t>or</w:t>
      </w:r>
      <w:r>
        <w:rPr>
          <w:color w:val="231F20"/>
          <w:spacing w:val="-14"/>
          <w:sz w:val="16"/>
        </w:rPr>
        <w:t> </w:t>
      </w:r>
      <w:r>
        <w:rPr>
          <w:color w:val="231F20"/>
          <w:sz w:val="16"/>
        </w:rPr>
        <w:t>how</w:t>
      </w:r>
      <w:r>
        <w:rPr>
          <w:color w:val="231F20"/>
          <w:spacing w:val="-14"/>
          <w:sz w:val="16"/>
        </w:rPr>
        <w:t> </w:t>
      </w:r>
      <w:r>
        <w:rPr>
          <w:color w:val="231F20"/>
          <w:sz w:val="16"/>
        </w:rPr>
        <w:t>a</w:t>
      </w:r>
      <w:r>
        <w:rPr>
          <w:color w:val="231F20"/>
          <w:spacing w:val="-14"/>
          <w:sz w:val="16"/>
        </w:rPr>
        <w:t> </w:t>
      </w:r>
      <w:r>
        <w:rPr>
          <w:color w:val="231F20"/>
          <w:sz w:val="16"/>
        </w:rPr>
        <w:t>firm</w:t>
      </w:r>
      <w:r>
        <w:rPr>
          <w:color w:val="231F20"/>
          <w:spacing w:val="-14"/>
          <w:sz w:val="16"/>
        </w:rPr>
        <w:t> </w:t>
      </w:r>
      <w:r>
        <w:rPr>
          <w:color w:val="231F20"/>
          <w:sz w:val="16"/>
        </w:rPr>
        <w:t>enters</w:t>
      </w:r>
      <w:r>
        <w:rPr>
          <w:color w:val="231F20"/>
          <w:spacing w:val="-14"/>
          <w:sz w:val="16"/>
        </w:rPr>
        <w:t> </w:t>
      </w:r>
      <w:r>
        <w:rPr>
          <w:color w:val="231F20"/>
          <w:sz w:val="16"/>
        </w:rPr>
        <w:t>the</w:t>
      </w:r>
      <w:r>
        <w:rPr>
          <w:color w:val="231F20"/>
          <w:spacing w:val="-14"/>
          <w:sz w:val="16"/>
        </w:rPr>
        <w:t> </w:t>
      </w:r>
      <w:r>
        <w:rPr>
          <w:color w:val="231F20"/>
          <w:sz w:val="16"/>
        </w:rPr>
        <w:t>indeterminate</w:t>
      </w:r>
    </w:p>
    <w:p>
      <w:pPr>
        <w:spacing w:after="0" w:line="200" w:lineRule="exact"/>
        <w:jc w:val="left"/>
        <w:rPr>
          <w:sz w:val="16"/>
        </w:rPr>
        <w:sectPr>
          <w:pgSz w:w="9720" w:h="14400"/>
          <w:pgMar w:header="1057" w:footer="0" w:top="1300" w:bottom="280" w:left="1280" w:right="1300"/>
        </w:sectPr>
      </w:pPr>
    </w:p>
    <w:p>
      <w:pPr>
        <w:pStyle w:val="BodyText"/>
        <w:spacing w:line="230" w:lineRule="auto" w:before="179"/>
        <w:ind w:left="162" w:right="519"/>
        <w:jc w:val="both"/>
      </w:pPr>
      <w:r>
        <w:rPr/>
        <w:t>directors’</w:t>
      </w:r>
      <w:r>
        <w:rPr>
          <w:spacing w:val="-8"/>
        </w:rPr>
        <w:t> </w:t>
      </w:r>
      <w:r>
        <w:rPr/>
        <w:t>fiduciary</w:t>
      </w:r>
      <w:r>
        <w:rPr>
          <w:spacing w:val="-8"/>
        </w:rPr>
        <w:t> </w:t>
      </w:r>
      <w:r>
        <w:rPr/>
        <w:t>obligations</w:t>
      </w:r>
      <w:r>
        <w:rPr>
          <w:spacing w:val="-8"/>
        </w:rPr>
        <w:t> </w:t>
      </w:r>
      <w:r>
        <w:rPr/>
        <w:t>and</w:t>
      </w:r>
      <w:r>
        <w:rPr>
          <w:spacing w:val="-8"/>
        </w:rPr>
        <w:t> </w:t>
      </w:r>
      <w:r>
        <w:rPr/>
        <w:t>increased</w:t>
      </w:r>
      <w:r>
        <w:rPr>
          <w:spacing w:val="-8"/>
        </w:rPr>
        <w:t> </w:t>
      </w:r>
      <w:r>
        <w:rPr/>
        <w:t>their</w:t>
      </w:r>
      <w:r>
        <w:rPr>
          <w:spacing w:val="-8"/>
        </w:rPr>
        <w:t> </w:t>
      </w:r>
      <w:r>
        <w:rPr/>
        <w:t>legal</w:t>
      </w:r>
      <w:r>
        <w:rPr>
          <w:spacing w:val="-8"/>
        </w:rPr>
        <w:t> </w:t>
      </w:r>
      <w:r>
        <w:rPr/>
        <w:t>exposure.</w:t>
      </w:r>
      <w:r>
        <w:rPr>
          <w:spacing w:val="-8"/>
        </w:rPr>
        <w:t> </w:t>
      </w:r>
      <w:r>
        <w:rPr/>
        <w:t>There- fore, directors in near insolvent firms would be more likely to consider debtholder interests after the court ruling became</w:t>
      </w:r>
      <w:r>
        <w:rPr>
          <w:spacing w:val="-14"/>
        </w:rPr>
        <w:t> </w:t>
      </w:r>
      <w:r>
        <w:rPr/>
        <w:t>effective.</w:t>
      </w:r>
    </w:p>
    <w:p>
      <w:pPr>
        <w:pStyle w:val="ListParagraph"/>
        <w:numPr>
          <w:ilvl w:val="1"/>
          <w:numId w:val="1"/>
        </w:numPr>
        <w:tabs>
          <w:tab w:pos="540" w:val="left" w:leader="none"/>
        </w:tabs>
        <w:spacing w:line="240" w:lineRule="auto" w:before="202" w:after="0"/>
        <w:ind w:left="532" w:right="0" w:hanging="370"/>
        <w:jc w:val="left"/>
        <w:rPr>
          <w:sz w:val="16"/>
        </w:rPr>
      </w:pPr>
      <w:r>
        <w:rPr>
          <w:sz w:val="16"/>
        </w:rPr>
        <w:t>THE</w:t>
      </w:r>
      <w:r>
        <w:rPr>
          <w:spacing w:val="15"/>
          <w:sz w:val="16"/>
        </w:rPr>
        <w:t> </w:t>
      </w:r>
      <w:r>
        <w:rPr>
          <w:sz w:val="16"/>
        </w:rPr>
        <w:t>COURT</w:t>
      </w:r>
      <w:r>
        <w:rPr>
          <w:spacing w:val="15"/>
          <w:sz w:val="16"/>
        </w:rPr>
        <w:t> </w:t>
      </w:r>
      <w:r>
        <w:rPr>
          <w:sz w:val="16"/>
        </w:rPr>
        <w:t>RULING</w:t>
      </w:r>
      <w:r>
        <w:rPr>
          <w:spacing w:val="15"/>
          <w:sz w:val="16"/>
        </w:rPr>
        <w:t> </w:t>
      </w:r>
      <w:r>
        <w:rPr>
          <w:sz w:val="16"/>
        </w:rPr>
        <w:t>AND</w:t>
      </w:r>
      <w:r>
        <w:rPr>
          <w:spacing w:val="15"/>
          <w:sz w:val="16"/>
        </w:rPr>
        <w:t> </w:t>
      </w:r>
      <w:r>
        <w:rPr>
          <w:sz w:val="16"/>
        </w:rPr>
        <w:t>ACCOUNTING</w:t>
      </w:r>
      <w:r>
        <w:rPr>
          <w:spacing w:val="15"/>
          <w:sz w:val="16"/>
        </w:rPr>
        <w:t> </w:t>
      </w:r>
      <w:r>
        <w:rPr>
          <w:sz w:val="16"/>
        </w:rPr>
        <w:t>CONSERVATISM</w:t>
      </w:r>
    </w:p>
    <w:p>
      <w:pPr>
        <w:pStyle w:val="BodyText"/>
        <w:spacing w:line="230" w:lineRule="auto" w:before="75"/>
        <w:ind w:left="162" w:right="519" w:firstLine="199"/>
        <w:jc w:val="both"/>
      </w:pPr>
      <w:r>
        <w:rPr/>
        <w:t>Conservative</w:t>
      </w:r>
      <w:r>
        <w:rPr>
          <w:spacing w:val="-21"/>
        </w:rPr>
        <w:t> </w:t>
      </w:r>
      <w:r>
        <w:rPr/>
        <w:t>accounting</w:t>
      </w:r>
      <w:r>
        <w:rPr>
          <w:spacing w:val="-20"/>
        </w:rPr>
        <w:t> </w:t>
      </w:r>
      <w:r>
        <w:rPr/>
        <w:t>constrains</w:t>
      </w:r>
      <w:r>
        <w:rPr>
          <w:spacing w:val="-20"/>
        </w:rPr>
        <w:t> </w:t>
      </w:r>
      <w:r>
        <w:rPr/>
        <w:t>upward</w:t>
      </w:r>
      <w:r>
        <w:rPr>
          <w:spacing w:val="-20"/>
        </w:rPr>
        <w:t> </w:t>
      </w:r>
      <w:r>
        <w:rPr/>
        <w:t>valuations</w:t>
      </w:r>
      <w:r>
        <w:rPr>
          <w:spacing w:val="-20"/>
        </w:rPr>
        <w:t> </w:t>
      </w:r>
      <w:r>
        <w:rPr/>
        <w:t>of</w:t>
      </w:r>
      <w:r>
        <w:rPr>
          <w:spacing w:val="-20"/>
        </w:rPr>
        <w:t> </w:t>
      </w:r>
      <w:r>
        <w:rPr/>
        <w:t>net</w:t>
      </w:r>
      <w:r>
        <w:rPr>
          <w:spacing w:val="-20"/>
        </w:rPr>
        <w:t> </w:t>
      </w:r>
      <w:r>
        <w:rPr/>
        <w:t>assets</w:t>
      </w:r>
      <w:r>
        <w:rPr>
          <w:spacing w:val="-20"/>
        </w:rPr>
        <w:t> </w:t>
      </w:r>
      <w:r>
        <w:rPr/>
        <w:t>and cumulative</w:t>
      </w:r>
      <w:r>
        <w:rPr>
          <w:spacing w:val="-23"/>
        </w:rPr>
        <w:t> </w:t>
      </w:r>
      <w:r>
        <w:rPr/>
        <w:t>earnings,</w:t>
      </w:r>
      <w:r>
        <w:rPr>
          <w:spacing w:val="-23"/>
        </w:rPr>
        <w:t> </w:t>
      </w:r>
      <w:r>
        <w:rPr/>
        <w:t>and</w:t>
      </w:r>
      <w:r>
        <w:rPr>
          <w:spacing w:val="-23"/>
        </w:rPr>
        <w:t> </w:t>
      </w:r>
      <w:r>
        <w:rPr/>
        <w:t>consequently</w:t>
      </w:r>
      <w:r>
        <w:rPr>
          <w:spacing w:val="-23"/>
        </w:rPr>
        <w:t> </w:t>
      </w:r>
      <w:r>
        <w:rPr/>
        <w:t>it</w:t>
      </w:r>
      <w:r>
        <w:rPr>
          <w:spacing w:val="-23"/>
        </w:rPr>
        <w:t> </w:t>
      </w:r>
      <w:r>
        <w:rPr/>
        <w:t>helps</w:t>
      </w:r>
      <w:r>
        <w:rPr>
          <w:spacing w:val="-23"/>
        </w:rPr>
        <w:t> </w:t>
      </w:r>
      <w:r>
        <w:rPr/>
        <w:t>mitigate</w:t>
      </w:r>
      <w:r>
        <w:rPr>
          <w:spacing w:val="-23"/>
        </w:rPr>
        <w:t> </w:t>
      </w:r>
      <w:r>
        <w:rPr/>
        <w:t>wealth</w:t>
      </w:r>
      <w:r>
        <w:rPr>
          <w:spacing w:val="-22"/>
        </w:rPr>
        <w:t> </w:t>
      </w:r>
      <w:r>
        <w:rPr/>
        <w:t>appropria- tions by lower order claimants (Watts [2003]). Basu [1997] and Ball and Shivakumar</w:t>
      </w:r>
      <w:r>
        <w:rPr>
          <w:spacing w:val="-10"/>
        </w:rPr>
        <w:t> </w:t>
      </w:r>
      <w:r>
        <w:rPr/>
        <w:t>[2005]</w:t>
      </w:r>
      <w:r>
        <w:rPr>
          <w:spacing w:val="-10"/>
        </w:rPr>
        <w:t> </w:t>
      </w:r>
      <w:r>
        <w:rPr/>
        <w:t>further</w:t>
      </w:r>
      <w:r>
        <w:rPr>
          <w:spacing w:val="-10"/>
        </w:rPr>
        <w:t> </w:t>
      </w:r>
      <w:r>
        <w:rPr/>
        <w:t>suggest</w:t>
      </w:r>
      <w:r>
        <w:rPr>
          <w:spacing w:val="-10"/>
        </w:rPr>
        <w:t> </w:t>
      </w:r>
      <w:r>
        <w:rPr/>
        <w:t>that</w:t>
      </w:r>
      <w:r>
        <w:rPr>
          <w:spacing w:val="-10"/>
        </w:rPr>
        <w:t> </w:t>
      </w:r>
      <w:r>
        <w:rPr/>
        <w:t>external</w:t>
      </w:r>
      <w:r>
        <w:rPr>
          <w:spacing w:val="-10"/>
        </w:rPr>
        <w:t> </w:t>
      </w:r>
      <w:r>
        <w:rPr/>
        <w:t>parties,</w:t>
      </w:r>
      <w:r>
        <w:rPr>
          <w:spacing w:val="-10"/>
        </w:rPr>
        <w:t> </w:t>
      </w:r>
      <w:r>
        <w:rPr/>
        <w:t>such</w:t>
      </w:r>
      <w:r>
        <w:rPr>
          <w:spacing w:val="-10"/>
        </w:rPr>
        <w:t> </w:t>
      </w:r>
      <w:r>
        <w:rPr/>
        <w:t>as</w:t>
      </w:r>
      <w:r>
        <w:rPr>
          <w:spacing w:val="-10"/>
        </w:rPr>
        <w:t> </w:t>
      </w:r>
      <w:r>
        <w:rPr/>
        <w:t>debthold- ers,</w:t>
      </w:r>
      <w:r>
        <w:rPr>
          <w:spacing w:val="-18"/>
        </w:rPr>
        <w:t> </w:t>
      </w:r>
      <w:r>
        <w:rPr/>
        <w:t>are</w:t>
      </w:r>
      <w:r>
        <w:rPr>
          <w:spacing w:val="-18"/>
        </w:rPr>
        <w:t> </w:t>
      </w:r>
      <w:r>
        <w:rPr/>
        <w:t>likely</w:t>
      </w:r>
      <w:r>
        <w:rPr>
          <w:spacing w:val="-18"/>
        </w:rPr>
        <w:t> </w:t>
      </w:r>
      <w:r>
        <w:rPr/>
        <w:t>to</w:t>
      </w:r>
      <w:r>
        <w:rPr>
          <w:spacing w:val="-18"/>
        </w:rPr>
        <w:t> </w:t>
      </w:r>
      <w:r>
        <w:rPr/>
        <w:t>demand</w:t>
      </w:r>
      <w:r>
        <w:rPr>
          <w:spacing w:val="-18"/>
        </w:rPr>
        <w:t> </w:t>
      </w:r>
      <w:r>
        <w:rPr/>
        <w:t>more</w:t>
      </w:r>
      <w:r>
        <w:rPr>
          <w:spacing w:val="-18"/>
        </w:rPr>
        <w:t> </w:t>
      </w:r>
      <w:r>
        <w:rPr/>
        <w:t>timely</w:t>
      </w:r>
      <w:r>
        <w:rPr>
          <w:spacing w:val="-18"/>
        </w:rPr>
        <w:t> </w:t>
      </w:r>
      <w:r>
        <w:rPr/>
        <w:t>disclosure</w:t>
      </w:r>
      <w:r>
        <w:rPr>
          <w:spacing w:val="-18"/>
        </w:rPr>
        <w:t> </w:t>
      </w:r>
      <w:r>
        <w:rPr/>
        <w:t>of</w:t>
      </w:r>
      <w:r>
        <w:rPr>
          <w:spacing w:val="-18"/>
        </w:rPr>
        <w:t> </w:t>
      </w:r>
      <w:r>
        <w:rPr/>
        <w:t>bad</w:t>
      </w:r>
      <w:r>
        <w:rPr>
          <w:spacing w:val="-18"/>
        </w:rPr>
        <w:t> </w:t>
      </w:r>
      <w:r>
        <w:rPr/>
        <w:t>news</w:t>
      </w:r>
      <w:r>
        <w:rPr>
          <w:spacing w:val="-18"/>
        </w:rPr>
        <w:t> </w:t>
      </w:r>
      <w:r>
        <w:rPr/>
        <w:t>to</w:t>
      </w:r>
      <w:r>
        <w:rPr>
          <w:spacing w:val="-18"/>
        </w:rPr>
        <w:t> </w:t>
      </w:r>
      <w:r>
        <w:rPr/>
        <w:t>offset</w:t>
      </w:r>
      <w:r>
        <w:rPr>
          <w:spacing w:val="-18"/>
        </w:rPr>
        <w:t> </w:t>
      </w:r>
      <w:r>
        <w:rPr/>
        <w:t>man- agers’</w:t>
      </w:r>
      <w:r>
        <w:rPr>
          <w:spacing w:val="-26"/>
        </w:rPr>
        <w:t> </w:t>
      </w:r>
      <w:r>
        <w:rPr/>
        <w:t>incentive</w:t>
      </w:r>
      <w:r>
        <w:rPr>
          <w:spacing w:val="-25"/>
        </w:rPr>
        <w:t> </w:t>
      </w:r>
      <w:r>
        <w:rPr/>
        <w:t>to</w:t>
      </w:r>
      <w:r>
        <w:rPr>
          <w:spacing w:val="-25"/>
        </w:rPr>
        <w:t> </w:t>
      </w:r>
      <w:r>
        <w:rPr/>
        <w:t>disclose</w:t>
      </w:r>
      <w:r>
        <w:rPr>
          <w:spacing w:val="-26"/>
        </w:rPr>
        <w:t> </w:t>
      </w:r>
      <w:r>
        <w:rPr/>
        <w:t>good</w:t>
      </w:r>
      <w:r>
        <w:rPr>
          <w:spacing w:val="-26"/>
        </w:rPr>
        <w:t> </w:t>
      </w:r>
      <w:r>
        <w:rPr/>
        <w:t>news</w:t>
      </w:r>
      <w:r>
        <w:rPr>
          <w:spacing w:val="-25"/>
        </w:rPr>
        <w:t> </w:t>
      </w:r>
      <w:r>
        <w:rPr>
          <w:spacing w:val="-3"/>
        </w:rPr>
        <w:t>early.</w:t>
      </w:r>
      <w:r>
        <w:rPr>
          <w:spacing w:val="-26"/>
        </w:rPr>
        <w:t> </w:t>
      </w:r>
      <w:r>
        <w:rPr/>
        <w:t>Prior</w:t>
      </w:r>
      <w:r>
        <w:rPr>
          <w:spacing w:val="-25"/>
        </w:rPr>
        <w:t> </w:t>
      </w:r>
      <w:r>
        <w:rPr/>
        <w:t>research</w:t>
      </w:r>
      <w:r>
        <w:rPr>
          <w:spacing w:val="-25"/>
        </w:rPr>
        <w:t> </w:t>
      </w:r>
      <w:r>
        <w:rPr/>
        <w:t>has</w:t>
      </w:r>
      <w:r>
        <w:rPr>
          <w:spacing w:val="-25"/>
        </w:rPr>
        <w:t> </w:t>
      </w:r>
      <w:r>
        <w:rPr/>
        <w:t>relied</w:t>
      </w:r>
      <w:r>
        <w:rPr>
          <w:spacing w:val="-25"/>
        </w:rPr>
        <w:t> </w:t>
      </w:r>
      <w:r>
        <w:rPr/>
        <w:t>on</w:t>
      </w:r>
      <w:r>
        <w:rPr>
          <w:spacing w:val="-26"/>
        </w:rPr>
        <w:t> </w:t>
      </w:r>
      <w:r>
        <w:rPr/>
        <w:t>this accounting principle to conjecture that conservatism is mainly driven by debtholders’</w:t>
      </w:r>
      <w:r>
        <w:rPr>
          <w:spacing w:val="-13"/>
        </w:rPr>
        <w:t> </w:t>
      </w:r>
      <w:r>
        <w:rPr/>
        <w:t>demand.</w:t>
      </w:r>
      <w:r>
        <w:rPr>
          <w:spacing w:val="-13"/>
        </w:rPr>
        <w:t> </w:t>
      </w:r>
      <w:r>
        <w:rPr/>
        <w:t>While</w:t>
      </w:r>
      <w:r>
        <w:rPr>
          <w:spacing w:val="-13"/>
        </w:rPr>
        <w:t> </w:t>
      </w:r>
      <w:r>
        <w:rPr/>
        <w:t>this</w:t>
      </w:r>
      <w:r>
        <w:rPr>
          <w:spacing w:val="-13"/>
        </w:rPr>
        <w:t> </w:t>
      </w:r>
      <w:r>
        <w:rPr/>
        <w:t>conjecture</w:t>
      </w:r>
      <w:r>
        <w:rPr>
          <w:spacing w:val="-13"/>
        </w:rPr>
        <w:t> </w:t>
      </w:r>
      <w:r>
        <w:rPr/>
        <w:t>is</w:t>
      </w:r>
      <w:r>
        <w:rPr>
          <w:spacing w:val="-13"/>
        </w:rPr>
        <w:t> </w:t>
      </w:r>
      <w:r>
        <w:rPr/>
        <w:t>plausible,</w:t>
      </w:r>
      <w:r>
        <w:rPr>
          <w:spacing w:val="-13"/>
        </w:rPr>
        <w:t> </w:t>
      </w:r>
      <w:r>
        <w:rPr/>
        <w:t>the</w:t>
      </w:r>
      <w:r>
        <w:rPr>
          <w:spacing w:val="-13"/>
        </w:rPr>
        <w:t> </w:t>
      </w:r>
      <w:r>
        <w:rPr/>
        <w:t>extant</w:t>
      </w:r>
      <w:r>
        <w:rPr>
          <w:spacing w:val="-13"/>
        </w:rPr>
        <w:t> </w:t>
      </w:r>
      <w:r>
        <w:rPr/>
        <w:t>empir- ical</w:t>
      </w:r>
      <w:r>
        <w:rPr>
          <w:spacing w:val="-12"/>
        </w:rPr>
        <w:t> </w:t>
      </w:r>
      <w:r>
        <w:rPr/>
        <w:t>findings</w:t>
      </w:r>
      <w:r>
        <w:rPr>
          <w:spacing w:val="-12"/>
        </w:rPr>
        <w:t> </w:t>
      </w:r>
      <w:r>
        <w:rPr/>
        <w:t>are</w:t>
      </w:r>
      <w:r>
        <w:rPr>
          <w:spacing w:val="-12"/>
        </w:rPr>
        <w:t> </w:t>
      </w:r>
      <w:r>
        <w:rPr/>
        <w:t>in</w:t>
      </w:r>
      <w:r>
        <w:rPr>
          <w:spacing w:val="-12"/>
        </w:rPr>
        <w:t> </w:t>
      </w:r>
      <w:r>
        <w:rPr/>
        <w:t>general</w:t>
      </w:r>
      <w:r>
        <w:rPr>
          <w:spacing w:val="-12"/>
        </w:rPr>
        <w:t> </w:t>
      </w:r>
      <w:r>
        <w:rPr/>
        <w:t>not</w:t>
      </w:r>
      <w:r>
        <w:rPr>
          <w:spacing w:val="-12"/>
        </w:rPr>
        <w:t> </w:t>
      </w:r>
      <w:r>
        <w:rPr/>
        <w:t>of</w:t>
      </w:r>
      <w:r>
        <w:rPr>
          <w:spacing w:val="-12"/>
        </w:rPr>
        <w:t> </w:t>
      </w:r>
      <w:r>
        <w:rPr/>
        <w:t>a</w:t>
      </w:r>
      <w:r>
        <w:rPr>
          <w:spacing w:val="-12"/>
        </w:rPr>
        <w:t> </w:t>
      </w:r>
      <w:r>
        <w:rPr/>
        <w:t>causal</w:t>
      </w:r>
      <w:r>
        <w:rPr>
          <w:spacing w:val="-12"/>
        </w:rPr>
        <w:t> </w:t>
      </w:r>
      <w:r>
        <w:rPr/>
        <w:t>nature</w:t>
      </w:r>
      <w:r>
        <w:rPr>
          <w:spacing w:val="-12"/>
        </w:rPr>
        <w:t> </w:t>
      </w:r>
      <w:r>
        <w:rPr/>
        <w:t>and</w:t>
      </w:r>
      <w:r>
        <w:rPr>
          <w:spacing w:val="-12"/>
        </w:rPr>
        <w:t> </w:t>
      </w:r>
      <w:r>
        <w:rPr/>
        <w:t>thus</w:t>
      </w:r>
      <w:r>
        <w:rPr>
          <w:spacing w:val="-12"/>
        </w:rPr>
        <w:t> </w:t>
      </w:r>
      <w:r>
        <w:rPr/>
        <w:t>make</w:t>
      </w:r>
      <w:r>
        <w:rPr>
          <w:spacing w:val="-12"/>
        </w:rPr>
        <w:t> </w:t>
      </w:r>
      <w:r>
        <w:rPr/>
        <w:t>it</w:t>
      </w:r>
      <w:r>
        <w:rPr>
          <w:spacing w:val="-12"/>
        </w:rPr>
        <w:t> </w:t>
      </w:r>
      <w:r>
        <w:rPr/>
        <w:t>difficult to</w:t>
      </w:r>
      <w:r>
        <w:rPr>
          <w:spacing w:val="-8"/>
        </w:rPr>
        <w:t> </w:t>
      </w:r>
      <w:r>
        <w:rPr/>
        <w:t>rule</w:t>
      </w:r>
      <w:r>
        <w:rPr>
          <w:spacing w:val="-8"/>
        </w:rPr>
        <w:t> </w:t>
      </w:r>
      <w:r>
        <w:rPr/>
        <w:t>out</w:t>
      </w:r>
      <w:r>
        <w:rPr>
          <w:spacing w:val="-8"/>
        </w:rPr>
        <w:t> </w:t>
      </w:r>
      <w:r>
        <w:rPr/>
        <w:t>the</w:t>
      </w:r>
      <w:r>
        <w:rPr>
          <w:spacing w:val="-8"/>
        </w:rPr>
        <w:t> </w:t>
      </w:r>
      <w:r>
        <w:rPr/>
        <w:t>possibility</w:t>
      </w:r>
      <w:r>
        <w:rPr>
          <w:spacing w:val="-8"/>
        </w:rPr>
        <w:t> </w:t>
      </w:r>
      <w:r>
        <w:rPr/>
        <w:t>that</w:t>
      </w:r>
      <w:r>
        <w:rPr>
          <w:spacing w:val="-8"/>
        </w:rPr>
        <w:t> </w:t>
      </w:r>
      <w:r>
        <w:rPr/>
        <w:t>conservatism</w:t>
      </w:r>
      <w:r>
        <w:rPr>
          <w:spacing w:val="-8"/>
        </w:rPr>
        <w:t> </w:t>
      </w:r>
      <w:r>
        <w:rPr/>
        <w:t>is</w:t>
      </w:r>
      <w:r>
        <w:rPr>
          <w:spacing w:val="-8"/>
        </w:rPr>
        <w:t> </w:t>
      </w:r>
      <w:r>
        <w:rPr/>
        <w:t>driven</w:t>
      </w:r>
      <w:r>
        <w:rPr>
          <w:spacing w:val="-8"/>
        </w:rPr>
        <w:t> </w:t>
      </w:r>
      <w:r>
        <w:rPr/>
        <w:t>by</w:t>
      </w:r>
      <w:r>
        <w:rPr>
          <w:spacing w:val="-8"/>
        </w:rPr>
        <w:t> </w:t>
      </w:r>
      <w:r>
        <w:rPr/>
        <w:t>factors</w:t>
      </w:r>
      <w:r>
        <w:rPr>
          <w:spacing w:val="-8"/>
        </w:rPr>
        <w:t> </w:t>
      </w:r>
      <w:r>
        <w:rPr/>
        <w:t>other</w:t>
      </w:r>
      <w:r>
        <w:rPr>
          <w:spacing w:val="-8"/>
        </w:rPr>
        <w:t> </w:t>
      </w:r>
      <w:r>
        <w:rPr/>
        <w:t>than debtholders’ demand. In addition, potential negative effects of excessive conservatism</w:t>
      </w:r>
      <w:r>
        <w:rPr>
          <w:spacing w:val="-10"/>
        </w:rPr>
        <w:t> </w:t>
      </w:r>
      <w:r>
        <w:rPr/>
        <w:t>cast</w:t>
      </w:r>
      <w:r>
        <w:rPr>
          <w:spacing w:val="-10"/>
        </w:rPr>
        <w:t> </w:t>
      </w:r>
      <w:r>
        <w:rPr/>
        <w:t>further</w:t>
      </w:r>
      <w:r>
        <w:rPr>
          <w:spacing w:val="-10"/>
        </w:rPr>
        <w:t> </w:t>
      </w:r>
      <w:r>
        <w:rPr/>
        <w:t>doubt</w:t>
      </w:r>
      <w:r>
        <w:rPr>
          <w:spacing w:val="-10"/>
        </w:rPr>
        <w:t> </w:t>
      </w:r>
      <w:r>
        <w:rPr/>
        <w:t>on</w:t>
      </w:r>
      <w:r>
        <w:rPr>
          <w:spacing w:val="-10"/>
        </w:rPr>
        <w:t> </w:t>
      </w:r>
      <w:r>
        <w:rPr/>
        <w:t>whether</w:t>
      </w:r>
      <w:r>
        <w:rPr>
          <w:spacing w:val="-10"/>
        </w:rPr>
        <w:t> </w:t>
      </w:r>
      <w:r>
        <w:rPr/>
        <w:t>conservatism</w:t>
      </w:r>
      <w:r>
        <w:rPr>
          <w:spacing w:val="-10"/>
        </w:rPr>
        <w:t> </w:t>
      </w:r>
      <w:r>
        <w:rPr/>
        <w:t>indeed</w:t>
      </w:r>
      <w:r>
        <w:rPr>
          <w:spacing w:val="-10"/>
        </w:rPr>
        <w:t> </w:t>
      </w:r>
      <w:r>
        <w:rPr/>
        <w:t>benefits debtholders.</w:t>
      </w:r>
      <w:r>
        <w:rPr>
          <w:color w:val="231F20"/>
          <w:position w:val="7"/>
          <w:sz w:val="14"/>
        </w:rPr>
        <w:t>8 </w:t>
      </w:r>
      <w:r>
        <w:rPr/>
        <w:t>Therefore, it is empirically challenging to identify a setting where</w:t>
      </w:r>
      <w:r>
        <w:rPr>
          <w:spacing w:val="-21"/>
        </w:rPr>
        <w:t> </w:t>
      </w:r>
      <w:r>
        <w:rPr/>
        <w:t>a</w:t>
      </w:r>
      <w:r>
        <w:rPr>
          <w:spacing w:val="-21"/>
        </w:rPr>
        <w:t> </w:t>
      </w:r>
      <w:r>
        <w:rPr/>
        <w:t>causal</w:t>
      </w:r>
      <w:r>
        <w:rPr>
          <w:spacing w:val="-21"/>
        </w:rPr>
        <w:t> </w:t>
      </w:r>
      <w:r>
        <w:rPr/>
        <w:t>link</w:t>
      </w:r>
      <w:r>
        <w:rPr>
          <w:spacing w:val="-21"/>
        </w:rPr>
        <w:t> </w:t>
      </w:r>
      <w:r>
        <w:rPr/>
        <w:t>can</w:t>
      </w:r>
      <w:r>
        <w:rPr>
          <w:spacing w:val="-21"/>
        </w:rPr>
        <w:t> </w:t>
      </w:r>
      <w:r>
        <w:rPr/>
        <w:t>be</w:t>
      </w:r>
      <w:r>
        <w:rPr>
          <w:spacing w:val="-21"/>
        </w:rPr>
        <w:t> </w:t>
      </w:r>
      <w:r>
        <w:rPr/>
        <w:t>established</w:t>
      </w:r>
      <w:r>
        <w:rPr>
          <w:spacing w:val="-22"/>
        </w:rPr>
        <w:t> </w:t>
      </w:r>
      <w:r>
        <w:rPr/>
        <w:t>between</w:t>
      </w:r>
      <w:r>
        <w:rPr>
          <w:spacing w:val="-21"/>
        </w:rPr>
        <w:t> </w:t>
      </w:r>
      <w:r>
        <w:rPr/>
        <w:t>debtholder</w:t>
      </w:r>
      <w:r>
        <w:rPr>
          <w:spacing w:val="-21"/>
        </w:rPr>
        <w:t> </w:t>
      </w:r>
      <w:r>
        <w:rPr/>
        <w:t>preferences</w:t>
      </w:r>
      <w:r>
        <w:rPr>
          <w:spacing w:val="-21"/>
        </w:rPr>
        <w:t> </w:t>
      </w:r>
      <w:r>
        <w:rPr/>
        <w:t>and conservatism.</w:t>
      </w:r>
    </w:p>
    <w:p>
      <w:pPr>
        <w:pStyle w:val="BodyText"/>
        <w:spacing w:line="230" w:lineRule="auto"/>
        <w:ind w:left="162" w:right="519" w:firstLine="199"/>
        <w:jc w:val="both"/>
      </w:pPr>
      <w:r>
        <w:rPr/>
        <w:t>A</w:t>
      </w:r>
      <w:r>
        <w:rPr>
          <w:spacing w:val="-11"/>
        </w:rPr>
        <w:t> </w:t>
      </w:r>
      <w:r>
        <w:rPr/>
        <w:t>Delaware</w:t>
      </w:r>
      <w:r>
        <w:rPr>
          <w:spacing w:val="-10"/>
        </w:rPr>
        <w:t> </w:t>
      </w:r>
      <w:r>
        <w:rPr/>
        <w:t>court</w:t>
      </w:r>
      <w:r>
        <w:rPr>
          <w:spacing w:val="-11"/>
        </w:rPr>
        <w:t> </w:t>
      </w:r>
      <w:r>
        <w:rPr/>
        <w:t>in</w:t>
      </w:r>
      <w:r>
        <w:rPr>
          <w:spacing w:val="-11"/>
        </w:rPr>
        <w:t> </w:t>
      </w:r>
      <w:r>
        <w:rPr/>
        <w:t>1991</w:t>
      </w:r>
      <w:r>
        <w:rPr>
          <w:spacing w:val="-11"/>
        </w:rPr>
        <w:t> </w:t>
      </w:r>
      <w:r>
        <w:rPr/>
        <w:t>introduced</w:t>
      </w:r>
      <w:r>
        <w:rPr>
          <w:spacing w:val="-11"/>
        </w:rPr>
        <w:t> </w:t>
      </w:r>
      <w:r>
        <w:rPr/>
        <w:t>a</w:t>
      </w:r>
      <w:r>
        <w:rPr>
          <w:spacing w:val="-11"/>
        </w:rPr>
        <w:t> </w:t>
      </w:r>
      <w:r>
        <w:rPr/>
        <w:t>new</w:t>
      </w:r>
      <w:r>
        <w:rPr>
          <w:spacing w:val="-11"/>
        </w:rPr>
        <w:t> </w:t>
      </w:r>
      <w:r>
        <w:rPr/>
        <w:t>“vicinity</w:t>
      </w:r>
      <w:r>
        <w:rPr>
          <w:spacing w:val="-11"/>
        </w:rPr>
        <w:t> </w:t>
      </w:r>
      <w:r>
        <w:rPr/>
        <w:t>of</w:t>
      </w:r>
      <w:r>
        <w:rPr>
          <w:spacing w:val="-11"/>
        </w:rPr>
        <w:t> </w:t>
      </w:r>
      <w:r>
        <w:rPr/>
        <w:t>insolvency”</w:t>
      </w:r>
      <w:r>
        <w:rPr>
          <w:spacing w:val="-11"/>
        </w:rPr>
        <w:t> </w:t>
      </w:r>
      <w:r>
        <w:rPr/>
        <w:t>sta- tus</w:t>
      </w:r>
      <w:r>
        <w:rPr>
          <w:spacing w:val="-25"/>
        </w:rPr>
        <w:t> </w:t>
      </w:r>
      <w:r>
        <w:rPr/>
        <w:t>wherein</w:t>
      </w:r>
      <w:r>
        <w:rPr>
          <w:spacing w:val="-24"/>
        </w:rPr>
        <w:t> </w:t>
      </w:r>
      <w:r>
        <w:rPr/>
        <w:t>the</w:t>
      </w:r>
      <w:r>
        <w:rPr>
          <w:spacing w:val="-25"/>
        </w:rPr>
        <w:t> </w:t>
      </w:r>
      <w:r>
        <w:rPr/>
        <w:t>fiduciary</w:t>
      </w:r>
      <w:r>
        <w:rPr>
          <w:spacing w:val="-25"/>
        </w:rPr>
        <w:t> </w:t>
      </w:r>
      <w:r>
        <w:rPr/>
        <w:t>obligations</w:t>
      </w:r>
      <w:r>
        <w:rPr>
          <w:spacing w:val="-25"/>
        </w:rPr>
        <w:t> </w:t>
      </w:r>
      <w:r>
        <w:rPr/>
        <w:t>of</w:t>
      </w:r>
      <w:r>
        <w:rPr>
          <w:spacing w:val="-25"/>
        </w:rPr>
        <w:t> </w:t>
      </w:r>
      <w:r>
        <w:rPr/>
        <w:t>directors</w:t>
      </w:r>
      <w:r>
        <w:rPr>
          <w:spacing w:val="-25"/>
        </w:rPr>
        <w:t> </w:t>
      </w:r>
      <w:r>
        <w:rPr/>
        <w:t>were</w:t>
      </w:r>
      <w:r>
        <w:rPr>
          <w:spacing w:val="-25"/>
        </w:rPr>
        <w:t> </w:t>
      </w:r>
      <w:r>
        <w:rPr/>
        <w:t>expanded</w:t>
      </w:r>
      <w:r>
        <w:rPr>
          <w:spacing w:val="-24"/>
        </w:rPr>
        <w:t> </w:t>
      </w:r>
      <w:r>
        <w:rPr/>
        <w:t>to</w:t>
      </w:r>
      <w:r>
        <w:rPr>
          <w:spacing w:val="-25"/>
        </w:rPr>
        <w:t> </w:t>
      </w:r>
      <w:r>
        <w:rPr/>
        <w:t>include creditors.</w:t>
      </w:r>
      <w:r>
        <w:rPr>
          <w:spacing w:val="-28"/>
        </w:rPr>
        <w:t> </w:t>
      </w:r>
      <w:r>
        <w:rPr/>
        <w:t>This</w:t>
      </w:r>
      <w:r>
        <w:rPr>
          <w:spacing w:val="-28"/>
        </w:rPr>
        <w:t> </w:t>
      </w:r>
      <w:r>
        <w:rPr/>
        <w:t>natural</w:t>
      </w:r>
      <w:r>
        <w:rPr>
          <w:spacing w:val="-28"/>
        </w:rPr>
        <w:t> </w:t>
      </w:r>
      <w:r>
        <w:rPr/>
        <w:t>event</w:t>
      </w:r>
      <w:r>
        <w:rPr>
          <w:spacing w:val="-28"/>
        </w:rPr>
        <w:t> </w:t>
      </w:r>
      <w:r>
        <w:rPr/>
        <w:t>allows</w:t>
      </w:r>
      <w:r>
        <w:rPr>
          <w:spacing w:val="-28"/>
        </w:rPr>
        <w:t> </w:t>
      </w:r>
      <w:r>
        <w:rPr/>
        <w:t>us</w:t>
      </w:r>
      <w:r>
        <w:rPr>
          <w:spacing w:val="-28"/>
        </w:rPr>
        <w:t> </w:t>
      </w:r>
      <w:r>
        <w:rPr/>
        <w:t>to</w:t>
      </w:r>
      <w:r>
        <w:rPr>
          <w:spacing w:val="-28"/>
        </w:rPr>
        <w:t> </w:t>
      </w:r>
      <w:r>
        <w:rPr/>
        <w:t>identify</w:t>
      </w:r>
      <w:r>
        <w:rPr>
          <w:spacing w:val="-28"/>
        </w:rPr>
        <w:t> </w:t>
      </w:r>
      <w:r>
        <w:rPr/>
        <w:t>a</w:t>
      </w:r>
      <w:r>
        <w:rPr>
          <w:spacing w:val="-28"/>
        </w:rPr>
        <w:t> </w:t>
      </w:r>
      <w:r>
        <w:rPr/>
        <w:t>clear</w:t>
      </w:r>
      <w:r>
        <w:rPr>
          <w:spacing w:val="-28"/>
        </w:rPr>
        <w:t> </w:t>
      </w:r>
      <w:r>
        <w:rPr/>
        <w:t>causal</w:t>
      </w:r>
      <w:r>
        <w:rPr>
          <w:spacing w:val="-28"/>
        </w:rPr>
        <w:t> </w:t>
      </w:r>
      <w:r>
        <w:rPr/>
        <w:t>link</w:t>
      </w:r>
      <w:r>
        <w:rPr>
          <w:spacing w:val="-28"/>
        </w:rPr>
        <w:t> </w:t>
      </w:r>
      <w:r>
        <w:rPr/>
        <w:t>between debtholder</w:t>
      </w:r>
      <w:r>
        <w:rPr>
          <w:spacing w:val="-10"/>
        </w:rPr>
        <w:t> </w:t>
      </w:r>
      <w:r>
        <w:rPr/>
        <w:t>preferences</w:t>
      </w:r>
      <w:r>
        <w:rPr>
          <w:spacing w:val="-10"/>
        </w:rPr>
        <w:t> </w:t>
      </w:r>
      <w:r>
        <w:rPr/>
        <w:t>and</w:t>
      </w:r>
      <w:r>
        <w:rPr>
          <w:spacing w:val="-10"/>
        </w:rPr>
        <w:t> </w:t>
      </w:r>
      <w:r>
        <w:rPr/>
        <w:t>conservatism.</w:t>
      </w:r>
      <w:r>
        <w:rPr>
          <w:spacing w:val="-10"/>
        </w:rPr>
        <w:t> </w:t>
      </w:r>
      <w:r>
        <w:rPr/>
        <w:t>The</w:t>
      </w:r>
      <w:r>
        <w:rPr>
          <w:spacing w:val="-10"/>
        </w:rPr>
        <w:t> </w:t>
      </w:r>
      <w:r>
        <w:rPr/>
        <w:t>court</w:t>
      </w:r>
      <w:r>
        <w:rPr>
          <w:spacing w:val="-10"/>
        </w:rPr>
        <w:t> </w:t>
      </w:r>
      <w:r>
        <w:rPr/>
        <w:t>ruling</w:t>
      </w:r>
      <w:r>
        <w:rPr>
          <w:spacing w:val="-10"/>
        </w:rPr>
        <w:t> </w:t>
      </w:r>
      <w:r>
        <w:rPr/>
        <w:t>gave</w:t>
      </w:r>
      <w:r>
        <w:rPr>
          <w:spacing w:val="-10"/>
        </w:rPr>
        <w:t> </w:t>
      </w:r>
      <w:r>
        <w:rPr/>
        <w:t>creditors the</w:t>
      </w:r>
      <w:r>
        <w:rPr>
          <w:spacing w:val="-6"/>
        </w:rPr>
        <w:t> </w:t>
      </w:r>
      <w:r>
        <w:rPr/>
        <w:t>ability</w:t>
      </w:r>
      <w:r>
        <w:rPr>
          <w:spacing w:val="-6"/>
        </w:rPr>
        <w:t> </w:t>
      </w:r>
      <w:r>
        <w:rPr/>
        <w:t>to</w:t>
      </w:r>
      <w:r>
        <w:rPr>
          <w:spacing w:val="-6"/>
        </w:rPr>
        <w:t> </w:t>
      </w:r>
      <w:r>
        <w:rPr/>
        <w:t>sue</w:t>
      </w:r>
      <w:r>
        <w:rPr>
          <w:spacing w:val="-7"/>
        </w:rPr>
        <w:t> </w:t>
      </w:r>
      <w:r>
        <w:rPr/>
        <w:t>directors</w:t>
      </w:r>
      <w:r>
        <w:rPr>
          <w:spacing w:val="-6"/>
        </w:rPr>
        <w:t> </w:t>
      </w:r>
      <w:r>
        <w:rPr/>
        <w:t>of</w:t>
      </w:r>
      <w:r>
        <w:rPr>
          <w:spacing w:val="-6"/>
        </w:rPr>
        <w:t> </w:t>
      </w:r>
      <w:r>
        <w:rPr/>
        <w:t>near</w:t>
      </w:r>
      <w:r>
        <w:rPr>
          <w:spacing w:val="-6"/>
        </w:rPr>
        <w:t> </w:t>
      </w:r>
      <w:r>
        <w:rPr/>
        <w:t>insolvent</w:t>
      </w:r>
      <w:r>
        <w:rPr>
          <w:spacing w:val="-6"/>
        </w:rPr>
        <w:t> </w:t>
      </w:r>
      <w:r>
        <w:rPr/>
        <w:t>companies</w:t>
      </w:r>
      <w:r>
        <w:rPr>
          <w:spacing w:val="-6"/>
        </w:rPr>
        <w:t> </w:t>
      </w:r>
      <w:r>
        <w:rPr/>
        <w:t>for</w:t>
      </w:r>
      <w:r>
        <w:rPr>
          <w:spacing w:val="-6"/>
        </w:rPr>
        <w:t> </w:t>
      </w:r>
      <w:r>
        <w:rPr/>
        <w:t>breach</w:t>
      </w:r>
      <w:r>
        <w:rPr>
          <w:spacing w:val="-6"/>
        </w:rPr>
        <w:t> </w:t>
      </w:r>
      <w:r>
        <w:rPr/>
        <w:t>of</w:t>
      </w:r>
      <w:r>
        <w:rPr>
          <w:spacing w:val="-6"/>
        </w:rPr>
        <w:t> </w:t>
      </w:r>
      <w:r>
        <w:rPr/>
        <w:t>fidu- ciary</w:t>
      </w:r>
      <w:r>
        <w:rPr>
          <w:spacing w:val="-12"/>
        </w:rPr>
        <w:t> </w:t>
      </w:r>
      <w:r>
        <w:rPr/>
        <w:t>obligations</w:t>
      </w:r>
      <w:r>
        <w:rPr>
          <w:spacing w:val="-12"/>
        </w:rPr>
        <w:t> </w:t>
      </w:r>
      <w:r>
        <w:rPr/>
        <w:t>if</w:t>
      </w:r>
      <w:r>
        <w:rPr>
          <w:spacing w:val="-12"/>
        </w:rPr>
        <w:t> </w:t>
      </w:r>
      <w:r>
        <w:rPr/>
        <w:t>actions</w:t>
      </w:r>
      <w:r>
        <w:rPr>
          <w:spacing w:val="-12"/>
        </w:rPr>
        <w:t> </w:t>
      </w:r>
      <w:r>
        <w:rPr/>
        <w:t>taken</w:t>
      </w:r>
      <w:r>
        <w:rPr>
          <w:spacing w:val="-12"/>
        </w:rPr>
        <w:t> </w:t>
      </w:r>
      <w:r>
        <w:rPr/>
        <w:t>by</w:t>
      </w:r>
      <w:r>
        <w:rPr>
          <w:spacing w:val="-12"/>
        </w:rPr>
        <w:t> </w:t>
      </w:r>
      <w:r>
        <w:rPr/>
        <w:t>board</w:t>
      </w:r>
      <w:r>
        <w:rPr>
          <w:spacing w:val="-12"/>
        </w:rPr>
        <w:t> </w:t>
      </w:r>
      <w:r>
        <w:rPr/>
        <w:t>members</w:t>
      </w:r>
      <w:r>
        <w:rPr>
          <w:spacing w:val="-12"/>
        </w:rPr>
        <w:t> </w:t>
      </w:r>
      <w:r>
        <w:rPr/>
        <w:t>were</w:t>
      </w:r>
      <w:r>
        <w:rPr>
          <w:spacing w:val="-12"/>
        </w:rPr>
        <w:t> </w:t>
      </w:r>
      <w:r>
        <w:rPr/>
        <w:t>viewed</w:t>
      </w:r>
      <w:r>
        <w:rPr>
          <w:spacing w:val="-12"/>
        </w:rPr>
        <w:t> </w:t>
      </w:r>
      <w:r>
        <w:rPr/>
        <w:t>as</w:t>
      </w:r>
      <w:r>
        <w:rPr>
          <w:spacing w:val="-12"/>
        </w:rPr>
        <w:t> </w:t>
      </w:r>
      <w:r>
        <w:rPr/>
        <w:t>either too</w:t>
      </w:r>
      <w:r>
        <w:rPr>
          <w:spacing w:val="-15"/>
        </w:rPr>
        <w:t> </w:t>
      </w:r>
      <w:r>
        <w:rPr/>
        <w:t>risky</w:t>
      </w:r>
      <w:r>
        <w:rPr>
          <w:spacing w:val="-15"/>
        </w:rPr>
        <w:t> </w:t>
      </w:r>
      <w:r>
        <w:rPr/>
        <w:t>or</w:t>
      </w:r>
      <w:r>
        <w:rPr>
          <w:spacing w:val="-15"/>
        </w:rPr>
        <w:t> </w:t>
      </w:r>
      <w:r>
        <w:rPr/>
        <w:t>too</w:t>
      </w:r>
      <w:r>
        <w:rPr>
          <w:spacing w:val="-15"/>
        </w:rPr>
        <w:t> </w:t>
      </w:r>
      <w:r>
        <w:rPr/>
        <w:t>shareholder</w:t>
      </w:r>
      <w:r>
        <w:rPr>
          <w:spacing w:val="-15"/>
        </w:rPr>
        <w:t> </w:t>
      </w:r>
      <w:r>
        <w:rPr/>
        <w:t>friendly.</w:t>
      </w:r>
      <w:r>
        <w:rPr>
          <w:spacing w:val="-15"/>
        </w:rPr>
        <w:t> </w:t>
      </w:r>
      <w:r>
        <w:rPr/>
        <w:t>Creditors,</w:t>
      </w:r>
      <w:r>
        <w:rPr>
          <w:spacing w:val="-15"/>
        </w:rPr>
        <w:t> </w:t>
      </w:r>
      <w:r>
        <w:rPr/>
        <w:t>especially</w:t>
      </w:r>
      <w:r>
        <w:rPr>
          <w:spacing w:val="-15"/>
        </w:rPr>
        <w:t> </w:t>
      </w:r>
      <w:r>
        <w:rPr/>
        <w:t>those</w:t>
      </w:r>
      <w:r>
        <w:rPr>
          <w:spacing w:val="-15"/>
        </w:rPr>
        <w:t> </w:t>
      </w:r>
      <w:r>
        <w:rPr/>
        <w:t>lending</w:t>
      </w:r>
      <w:r>
        <w:rPr>
          <w:spacing w:val="-15"/>
        </w:rPr>
        <w:t> </w:t>
      </w:r>
      <w:r>
        <w:rPr/>
        <w:t>to near</w:t>
      </w:r>
      <w:r>
        <w:rPr>
          <w:spacing w:val="-10"/>
        </w:rPr>
        <w:t> </w:t>
      </w:r>
      <w:r>
        <w:rPr/>
        <w:t>insolvent</w:t>
      </w:r>
      <w:r>
        <w:rPr>
          <w:spacing w:val="-10"/>
        </w:rPr>
        <w:t> </w:t>
      </w:r>
      <w:r>
        <w:rPr/>
        <w:t>Delaware</w:t>
      </w:r>
      <w:r>
        <w:rPr>
          <w:spacing w:val="-10"/>
        </w:rPr>
        <w:t> </w:t>
      </w:r>
      <w:r>
        <w:rPr/>
        <w:t>firms,</w:t>
      </w:r>
      <w:r>
        <w:rPr>
          <w:spacing w:val="-10"/>
        </w:rPr>
        <w:t> </w:t>
      </w:r>
      <w:r>
        <w:rPr/>
        <w:t>should</w:t>
      </w:r>
      <w:r>
        <w:rPr>
          <w:spacing w:val="-10"/>
        </w:rPr>
        <w:t> </w:t>
      </w:r>
      <w:r>
        <w:rPr/>
        <w:t>favor</w:t>
      </w:r>
      <w:r>
        <w:rPr>
          <w:spacing w:val="-10"/>
        </w:rPr>
        <w:t> </w:t>
      </w:r>
      <w:r>
        <w:rPr/>
        <w:t>conservative</w:t>
      </w:r>
      <w:r>
        <w:rPr>
          <w:spacing w:val="-10"/>
        </w:rPr>
        <w:t> </w:t>
      </w:r>
      <w:r>
        <w:rPr/>
        <w:t>accounting</w:t>
      </w:r>
      <w:r>
        <w:rPr>
          <w:spacing w:val="-10"/>
        </w:rPr>
        <w:t> </w:t>
      </w:r>
      <w:r>
        <w:rPr/>
        <w:t>as</w:t>
      </w:r>
      <w:r>
        <w:rPr>
          <w:spacing w:val="-10"/>
        </w:rPr>
        <w:t> </w:t>
      </w:r>
      <w:r>
        <w:rPr/>
        <w:t>it induces timely recognition of losses while imposing a higher level of</w:t>
      </w:r>
      <w:r>
        <w:rPr>
          <w:spacing w:val="-10"/>
        </w:rPr>
        <w:t> </w:t>
      </w:r>
      <w:r>
        <w:rPr/>
        <w:t>ver- ifiability requirement for gains (Ryan [2006]).</w:t>
      </w:r>
      <w:r>
        <w:rPr>
          <w:color w:val="231F20"/>
          <w:position w:val="7"/>
          <w:sz w:val="14"/>
        </w:rPr>
        <w:t>9 </w:t>
      </w:r>
      <w:r>
        <w:rPr/>
        <w:t>Consequently, given the expanded fiduciary duties to creditors after the court ruling, directors of near</w:t>
      </w:r>
      <w:r>
        <w:rPr>
          <w:spacing w:val="-20"/>
        </w:rPr>
        <w:t> </w:t>
      </w:r>
      <w:r>
        <w:rPr/>
        <w:t>insolvent</w:t>
      </w:r>
      <w:r>
        <w:rPr>
          <w:spacing w:val="-20"/>
        </w:rPr>
        <w:t> </w:t>
      </w:r>
      <w:r>
        <w:rPr/>
        <w:t>Delaware</w:t>
      </w:r>
      <w:r>
        <w:rPr>
          <w:spacing w:val="-20"/>
        </w:rPr>
        <w:t> </w:t>
      </w:r>
      <w:r>
        <w:rPr/>
        <w:t>firms</w:t>
      </w:r>
      <w:r>
        <w:rPr>
          <w:spacing w:val="-20"/>
        </w:rPr>
        <w:t> </w:t>
      </w:r>
      <w:r>
        <w:rPr/>
        <w:t>could</w:t>
      </w:r>
      <w:r>
        <w:rPr>
          <w:spacing w:val="-20"/>
        </w:rPr>
        <w:t> </w:t>
      </w:r>
      <w:r>
        <w:rPr/>
        <w:t>influence</w:t>
      </w:r>
      <w:r>
        <w:rPr>
          <w:spacing w:val="-20"/>
        </w:rPr>
        <w:t> </w:t>
      </w:r>
      <w:r>
        <w:rPr/>
        <w:t>management</w:t>
      </w:r>
      <w:r>
        <w:rPr>
          <w:spacing w:val="-20"/>
        </w:rPr>
        <w:t> </w:t>
      </w:r>
      <w:r>
        <w:rPr/>
        <w:t>to</w:t>
      </w:r>
      <w:r>
        <w:rPr>
          <w:spacing w:val="-20"/>
        </w:rPr>
        <w:t> </w:t>
      </w:r>
      <w:r>
        <w:rPr/>
        <w:t>adopt</w:t>
      </w:r>
      <w:r>
        <w:rPr>
          <w:spacing w:val="-20"/>
        </w:rPr>
        <w:t> </w:t>
      </w:r>
      <w:r>
        <w:rPr/>
        <w:t>more accounting conservatism to meet the preference of debtholders and thus mitigate</w:t>
      </w:r>
      <w:r>
        <w:rPr>
          <w:spacing w:val="-18"/>
        </w:rPr>
        <w:t> </w:t>
      </w:r>
      <w:r>
        <w:rPr/>
        <w:t>the</w:t>
      </w:r>
      <w:r>
        <w:rPr>
          <w:spacing w:val="-18"/>
        </w:rPr>
        <w:t> </w:t>
      </w:r>
      <w:r>
        <w:rPr/>
        <w:t>increased</w:t>
      </w:r>
      <w:r>
        <w:rPr>
          <w:spacing w:val="-18"/>
        </w:rPr>
        <w:t> </w:t>
      </w:r>
      <w:r>
        <w:rPr/>
        <w:t>litigation</w:t>
      </w:r>
      <w:r>
        <w:rPr>
          <w:spacing w:val="-18"/>
        </w:rPr>
        <w:t> </w:t>
      </w:r>
      <w:r>
        <w:rPr/>
        <w:t>risk</w:t>
      </w:r>
      <w:r>
        <w:rPr>
          <w:spacing w:val="-18"/>
        </w:rPr>
        <w:t> </w:t>
      </w:r>
      <w:r>
        <w:rPr/>
        <w:t>on</w:t>
      </w:r>
      <w:r>
        <w:rPr>
          <w:spacing w:val="-18"/>
        </w:rPr>
        <w:t> </w:t>
      </w:r>
      <w:r>
        <w:rPr/>
        <w:t>account</w:t>
      </w:r>
      <w:r>
        <w:rPr>
          <w:spacing w:val="-18"/>
        </w:rPr>
        <w:t> </w:t>
      </w:r>
      <w:r>
        <w:rPr/>
        <w:t>of</w:t>
      </w:r>
      <w:r>
        <w:rPr>
          <w:spacing w:val="-18"/>
        </w:rPr>
        <w:t> </w:t>
      </w:r>
      <w:r>
        <w:rPr/>
        <w:t>directors’</w:t>
      </w:r>
      <w:r>
        <w:rPr>
          <w:spacing w:val="-18"/>
        </w:rPr>
        <w:t> </w:t>
      </w:r>
      <w:r>
        <w:rPr/>
        <w:t>new</w:t>
      </w:r>
      <w:r>
        <w:rPr>
          <w:spacing w:val="-18"/>
        </w:rPr>
        <w:t> </w:t>
      </w:r>
      <w:r>
        <w:rPr/>
        <w:t>fiduciary duties to</w:t>
      </w:r>
      <w:r>
        <w:rPr>
          <w:spacing w:val="0"/>
        </w:rPr>
        <w:t> </w:t>
      </w:r>
      <w:r>
        <w:rPr/>
        <w:t>creditors.</w:t>
      </w:r>
    </w:p>
    <w:p>
      <w:pPr>
        <w:pStyle w:val="BodyText"/>
      </w:pPr>
    </w:p>
    <w:p>
      <w:pPr>
        <w:pStyle w:val="BodyText"/>
        <w:spacing w:before="5"/>
        <w:rPr>
          <w:sz w:val="11"/>
        </w:rPr>
      </w:pPr>
      <w:r>
        <w:rPr/>
        <w:pict>
          <v:line style="position:absolute;mso-position-horizontal-relative:page;mso-position-vertical-relative:paragraph;z-index:1192;mso-wrap-distance-left:0;mso-wrap-distance-right:0" from="72.125999pt,9.381218pt" to="107.999999pt,9.381218pt" stroked="true" strokeweight=".504pt" strokecolor="#000000">
            <v:stroke dashstyle="solid"/>
            <w10:wrap type="topAndBottom"/>
          </v:line>
        </w:pict>
      </w:r>
    </w:p>
    <w:p>
      <w:pPr>
        <w:spacing w:before="92"/>
        <w:ind w:left="162" w:right="518" w:firstLine="0"/>
        <w:jc w:val="both"/>
        <w:rPr>
          <w:sz w:val="16"/>
        </w:rPr>
      </w:pPr>
      <w:r>
        <w:rPr>
          <w:color w:val="231F20"/>
          <w:sz w:val="16"/>
        </w:rPr>
        <w:t>zone of insolvency. Throughout this </w:t>
      </w:r>
      <w:r>
        <w:rPr>
          <w:color w:val="231F20"/>
          <w:spacing w:val="-3"/>
          <w:sz w:val="16"/>
        </w:rPr>
        <w:t>paper, </w:t>
      </w:r>
      <w:r>
        <w:rPr>
          <w:color w:val="231F20"/>
          <w:sz w:val="16"/>
        </w:rPr>
        <w:t>we use the term “near insolvent” or “near insol- vency” to capture the underlying principle in the Credit Lyonnais court ruling.</w:t>
      </w:r>
    </w:p>
    <w:p>
      <w:pPr>
        <w:spacing w:line="199" w:lineRule="exact" w:before="0"/>
        <w:ind w:left="341" w:right="0" w:firstLine="0"/>
        <w:jc w:val="left"/>
        <w:rPr>
          <w:sz w:val="16"/>
        </w:rPr>
      </w:pPr>
      <w:r>
        <w:rPr>
          <w:color w:val="231F20"/>
          <w:position w:val="6"/>
          <w:sz w:val="12"/>
        </w:rPr>
        <w:t>8 </w:t>
      </w:r>
      <w:r>
        <w:rPr>
          <w:color w:val="231F20"/>
          <w:sz w:val="16"/>
        </w:rPr>
        <w:t>For instance, future reversals of current period accruals on account of conservatism may</w:t>
      </w:r>
    </w:p>
    <w:p>
      <w:pPr>
        <w:spacing w:before="0"/>
        <w:ind w:left="162" w:right="518" w:firstLine="0"/>
        <w:jc w:val="both"/>
        <w:rPr>
          <w:sz w:val="16"/>
        </w:rPr>
      </w:pPr>
      <w:r>
        <w:rPr>
          <w:color w:val="231F20"/>
          <w:sz w:val="16"/>
        </w:rPr>
        <w:t>be</w:t>
      </w:r>
      <w:r>
        <w:rPr>
          <w:color w:val="231F20"/>
          <w:spacing w:val="-3"/>
          <w:sz w:val="16"/>
        </w:rPr>
        <w:t> </w:t>
      </w:r>
      <w:r>
        <w:rPr>
          <w:color w:val="231F20"/>
          <w:sz w:val="16"/>
        </w:rPr>
        <w:t>used</w:t>
      </w:r>
      <w:r>
        <w:rPr>
          <w:color w:val="231F20"/>
          <w:spacing w:val="-4"/>
          <w:sz w:val="16"/>
        </w:rPr>
        <w:t> </w:t>
      </w:r>
      <w:r>
        <w:rPr>
          <w:color w:val="231F20"/>
          <w:sz w:val="16"/>
        </w:rPr>
        <w:t>at</w:t>
      </w:r>
      <w:r>
        <w:rPr>
          <w:color w:val="231F20"/>
          <w:spacing w:val="-3"/>
          <w:sz w:val="16"/>
        </w:rPr>
        <w:t> </w:t>
      </w:r>
      <w:r>
        <w:rPr>
          <w:color w:val="231F20"/>
          <w:sz w:val="16"/>
        </w:rPr>
        <w:t>the</w:t>
      </w:r>
      <w:r>
        <w:rPr>
          <w:color w:val="231F20"/>
          <w:spacing w:val="-3"/>
          <w:sz w:val="16"/>
        </w:rPr>
        <w:t> </w:t>
      </w:r>
      <w:r>
        <w:rPr>
          <w:color w:val="231F20"/>
          <w:sz w:val="16"/>
        </w:rPr>
        <w:t>discretion</w:t>
      </w:r>
      <w:r>
        <w:rPr>
          <w:color w:val="231F20"/>
          <w:spacing w:val="-3"/>
          <w:sz w:val="16"/>
        </w:rPr>
        <w:t> </w:t>
      </w:r>
      <w:r>
        <w:rPr>
          <w:color w:val="231F20"/>
          <w:sz w:val="16"/>
        </w:rPr>
        <w:t>of</w:t>
      </w:r>
      <w:r>
        <w:rPr>
          <w:color w:val="231F20"/>
          <w:spacing w:val="-3"/>
          <w:sz w:val="16"/>
        </w:rPr>
        <w:t> </w:t>
      </w:r>
      <w:r>
        <w:rPr>
          <w:color w:val="231F20"/>
          <w:sz w:val="16"/>
        </w:rPr>
        <w:t>managers</w:t>
      </w:r>
      <w:r>
        <w:rPr>
          <w:color w:val="231F20"/>
          <w:spacing w:val="-3"/>
          <w:sz w:val="16"/>
        </w:rPr>
        <w:t> </w:t>
      </w:r>
      <w:r>
        <w:rPr>
          <w:color w:val="231F20"/>
          <w:sz w:val="16"/>
        </w:rPr>
        <w:t>and</w:t>
      </w:r>
      <w:r>
        <w:rPr>
          <w:color w:val="231F20"/>
          <w:spacing w:val="-3"/>
          <w:sz w:val="16"/>
        </w:rPr>
        <w:t> </w:t>
      </w:r>
      <w:r>
        <w:rPr>
          <w:color w:val="231F20"/>
          <w:sz w:val="16"/>
        </w:rPr>
        <w:t>shareholders</w:t>
      </w:r>
      <w:r>
        <w:rPr>
          <w:color w:val="231F20"/>
          <w:spacing w:val="-3"/>
          <w:sz w:val="16"/>
        </w:rPr>
        <w:t> </w:t>
      </w:r>
      <w:r>
        <w:rPr>
          <w:color w:val="231F20"/>
          <w:sz w:val="16"/>
        </w:rPr>
        <w:t>to</w:t>
      </w:r>
      <w:r>
        <w:rPr>
          <w:color w:val="231F20"/>
          <w:spacing w:val="-3"/>
          <w:sz w:val="16"/>
        </w:rPr>
        <w:t> </w:t>
      </w:r>
      <w:r>
        <w:rPr>
          <w:color w:val="231F20"/>
          <w:sz w:val="16"/>
        </w:rPr>
        <w:t>transfer</w:t>
      </w:r>
      <w:r>
        <w:rPr>
          <w:color w:val="231F20"/>
          <w:spacing w:val="-3"/>
          <w:sz w:val="16"/>
        </w:rPr>
        <w:t> </w:t>
      </w:r>
      <w:r>
        <w:rPr>
          <w:color w:val="231F20"/>
          <w:sz w:val="16"/>
        </w:rPr>
        <w:t>wealth,</w:t>
      </w:r>
      <w:r>
        <w:rPr>
          <w:color w:val="231F20"/>
          <w:spacing w:val="-3"/>
          <w:sz w:val="16"/>
        </w:rPr>
        <w:t> </w:t>
      </w:r>
      <w:r>
        <w:rPr>
          <w:color w:val="231F20"/>
          <w:sz w:val="16"/>
        </w:rPr>
        <w:t>such</w:t>
      </w:r>
      <w:r>
        <w:rPr>
          <w:color w:val="231F20"/>
          <w:spacing w:val="-4"/>
          <w:sz w:val="16"/>
        </w:rPr>
        <w:t> </w:t>
      </w:r>
      <w:r>
        <w:rPr>
          <w:color w:val="231F20"/>
          <w:sz w:val="16"/>
        </w:rPr>
        <w:t>as</w:t>
      </w:r>
      <w:r>
        <w:rPr>
          <w:color w:val="231F20"/>
          <w:spacing w:val="-3"/>
          <w:sz w:val="16"/>
        </w:rPr>
        <w:t> </w:t>
      </w:r>
      <w:r>
        <w:rPr>
          <w:color w:val="231F20"/>
          <w:sz w:val="16"/>
        </w:rPr>
        <w:t>distribut- ing</w:t>
      </w:r>
      <w:r>
        <w:rPr>
          <w:color w:val="231F20"/>
          <w:spacing w:val="-6"/>
          <w:sz w:val="16"/>
        </w:rPr>
        <w:t> </w:t>
      </w:r>
      <w:r>
        <w:rPr>
          <w:color w:val="231F20"/>
          <w:sz w:val="16"/>
        </w:rPr>
        <w:t>debt-</w:t>
      </w:r>
      <w:r>
        <w:rPr>
          <w:color w:val="231F20"/>
          <w:spacing w:val="-6"/>
          <w:sz w:val="16"/>
        </w:rPr>
        <w:t> </w:t>
      </w:r>
      <w:r>
        <w:rPr>
          <w:color w:val="231F20"/>
          <w:sz w:val="16"/>
        </w:rPr>
        <w:t>and</w:t>
      </w:r>
      <w:r>
        <w:rPr>
          <w:color w:val="231F20"/>
          <w:spacing w:val="-6"/>
          <w:sz w:val="16"/>
        </w:rPr>
        <w:t> </w:t>
      </w:r>
      <w:r>
        <w:rPr>
          <w:color w:val="231F20"/>
          <w:sz w:val="16"/>
        </w:rPr>
        <w:t>liquidation-financed</w:t>
      </w:r>
      <w:r>
        <w:rPr>
          <w:color w:val="231F20"/>
          <w:spacing w:val="-6"/>
          <w:sz w:val="16"/>
        </w:rPr>
        <w:t> </w:t>
      </w:r>
      <w:r>
        <w:rPr>
          <w:color w:val="231F20"/>
          <w:sz w:val="16"/>
        </w:rPr>
        <w:t>dividends,</w:t>
      </w:r>
      <w:r>
        <w:rPr>
          <w:color w:val="231F20"/>
          <w:spacing w:val="-6"/>
          <w:sz w:val="16"/>
        </w:rPr>
        <w:t> </w:t>
      </w:r>
      <w:r>
        <w:rPr>
          <w:color w:val="231F20"/>
          <w:sz w:val="16"/>
        </w:rPr>
        <w:t>particularly</w:t>
      </w:r>
      <w:r>
        <w:rPr>
          <w:color w:val="231F20"/>
          <w:spacing w:val="-6"/>
          <w:sz w:val="16"/>
        </w:rPr>
        <w:t> </w:t>
      </w:r>
      <w:r>
        <w:rPr>
          <w:color w:val="231F20"/>
          <w:sz w:val="16"/>
        </w:rPr>
        <w:t>when</w:t>
      </w:r>
      <w:r>
        <w:rPr>
          <w:color w:val="231F20"/>
          <w:spacing w:val="-6"/>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is</w:t>
      </w:r>
      <w:r>
        <w:rPr>
          <w:color w:val="231F20"/>
          <w:spacing w:val="-6"/>
          <w:sz w:val="16"/>
        </w:rPr>
        <w:t> </w:t>
      </w:r>
      <w:r>
        <w:rPr>
          <w:color w:val="231F20"/>
          <w:sz w:val="16"/>
        </w:rPr>
        <w:t>struggling</w:t>
      </w:r>
      <w:r>
        <w:rPr>
          <w:color w:val="231F20"/>
          <w:spacing w:val="-6"/>
          <w:sz w:val="16"/>
        </w:rPr>
        <w:t> </w:t>
      </w:r>
      <w:r>
        <w:rPr>
          <w:color w:val="231F20"/>
          <w:sz w:val="16"/>
        </w:rPr>
        <w:t>(Leuz [1998], Leuz</w:t>
      </w:r>
      <w:r>
        <w:rPr>
          <w:color w:val="231F20"/>
          <w:spacing w:val="2"/>
          <w:sz w:val="16"/>
        </w:rPr>
        <w:t> </w:t>
      </w:r>
      <w:r>
        <w:rPr>
          <w:color w:val="231F20"/>
          <w:sz w:val="16"/>
        </w:rPr>
        <w:t>[2001]).</w:t>
      </w:r>
    </w:p>
    <w:p>
      <w:pPr>
        <w:spacing w:line="199" w:lineRule="exact" w:before="0"/>
        <w:ind w:left="341" w:right="0" w:firstLine="0"/>
        <w:jc w:val="left"/>
        <w:rPr>
          <w:sz w:val="16"/>
        </w:rPr>
      </w:pPr>
      <w:r>
        <w:rPr>
          <w:color w:val="231F20"/>
          <w:position w:val="6"/>
          <w:sz w:val="12"/>
        </w:rPr>
        <w:t>9 </w:t>
      </w:r>
      <w:r>
        <w:rPr>
          <w:color w:val="231F20"/>
          <w:sz w:val="16"/>
        </w:rPr>
        <w:t>Early recognition of losses would constrain managers from engaging in overinvestments</w:t>
      </w:r>
    </w:p>
    <w:p>
      <w:pPr>
        <w:spacing w:before="1"/>
        <w:ind w:left="162" w:right="518" w:firstLine="0"/>
        <w:jc w:val="both"/>
        <w:rPr>
          <w:sz w:val="16"/>
        </w:rPr>
      </w:pPr>
      <w:r>
        <w:rPr>
          <w:color w:val="231F20"/>
          <w:sz w:val="16"/>
        </w:rPr>
        <w:t>during acquisitions (Francis and Martin [2010]), encourage early abandonment of loss mak- ing projects (Srivastava, Tse, and Sunder [2010]), and prevent value expropriation during unfavorable economic periods (Nikolaev [2010]).</w:t>
      </w:r>
    </w:p>
    <w:p>
      <w:pPr>
        <w:spacing w:after="0"/>
        <w:jc w:val="both"/>
        <w:rPr>
          <w:sz w:val="16"/>
        </w:rPr>
        <w:sectPr>
          <w:pgSz w:w="9720" w:h="14400"/>
          <w:pgMar w:header="1054" w:footer="0" w:top="1280" w:bottom="280" w:left="1280" w:right="1300"/>
        </w:sectPr>
      </w:pPr>
    </w:p>
    <w:p>
      <w:pPr>
        <w:pStyle w:val="BodyText"/>
        <w:spacing w:line="230" w:lineRule="auto" w:before="178"/>
        <w:ind w:left="532" w:right="148" w:firstLine="199"/>
        <w:jc w:val="both"/>
        <w:rPr>
          <w:sz w:val="14"/>
        </w:rPr>
      </w:pPr>
      <w:r>
        <w:rPr/>
        <w:t>Under Delaware laws, directors are usually protected by the business judgment</w:t>
      </w:r>
      <w:r>
        <w:rPr>
          <w:spacing w:val="-13"/>
        </w:rPr>
        <w:t> </w:t>
      </w:r>
      <w:r>
        <w:rPr/>
        <w:t>rule</w:t>
      </w:r>
      <w:r>
        <w:rPr>
          <w:spacing w:val="-13"/>
        </w:rPr>
        <w:t> </w:t>
      </w:r>
      <w:r>
        <w:rPr/>
        <w:t>for</w:t>
      </w:r>
      <w:r>
        <w:rPr>
          <w:spacing w:val="-13"/>
        </w:rPr>
        <w:t> </w:t>
      </w:r>
      <w:r>
        <w:rPr/>
        <w:t>actions</w:t>
      </w:r>
      <w:r>
        <w:rPr>
          <w:spacing w:val="-13"/>
        </w:rPr>
        <w:t> </w:t>
      </w:r>
      <w:r>
        <w:rPr/>
        <w:t>taken</w:t>
      </w:r>
      <w:r>
        <w:rPr>
          <w:spacing w:val="-13"/>
        </w:rPr>
        <w:t> </w:t>
      </w:r>
      <w:r>
        <w:rPr/>
        <w:t>in</w:t>
      </w:r>
      <w:r>
        <w:rPr>
          <w:spacing w:val="-13"/>
        </w:rPr>
        <w:t> </w:t>
      </w:r>
      <w:r>
        <w:rPr/>
        <w:t>the</w:t>
      </w:r>
      <w:r>
        <w:rPr>
          <w:spacing w:val="-13"/>
        </w:rPr>
        <w:t> </w:t>
      </w:r>
      <w:r>
        <w:rPr/>
        <w:t>best</w:t>
      </w:r>
      <w:r>
        <w:rPr>
          <w:spacing w:val="-13"/>
        </w:rPr>
        <w:t> </w:t>
      </w:r>
      <w:r>
        <w:rPr/>
        <w:t>interests</w:t>
      </w:r>
      <w:r>
        <w:rPr>
          <w:spacing w:val="-13"/>
        </w:rPr>
        <w:t> </w:t>
      </w:r>
      <w:r>
        <w:rPr/>
        <w:t>of</w:t>
      </w:r>
      <w:r>
        <w:rPr>
          <w:spacing w:val="-13"/>
        </w:rPr>
        <w:t> </w:t>
      </w:r>
      <w:r>
        <w:rPr/>
        <w:t>the</w:t>
      </w:r>
      <w:r>
        <w:rPr>
          <w:spacing w:val="-13"/>
        </w:rPr>
        <w:t> </w:t>
      </w:r>
      <w:r>
        <w:rPr/>
        <w:t>corporation,</w:t>
      </w:r>
      <w:r>
        <w:rPr>
          <w:spacing w:val="-13"/>
        </w:rPr>
        <w:t> </w:t>
      </w:r>
      <w:r>
        <w:rPr/>
        <w:t>and companies</w:t>
      </w:r>
      <w:r>
        <w:rPr>
          <w:spacing w:val="-8"/>
        </w:rPr>
        <w:t> </w:t>
      </w:r>
      <w:r>
        <w:rPr/>
        <w:t>are</w:t>
      </w:r>
      <w:r>
        <w:rPr>
          <w:spacing w:val="-9"/>
        </w:rPr>
        <w:t> </w:t>
      </w:r>
      <w:r>
        <w:rPr/>
        <w:t>required</w:t>
      </w:r>
      <w:r>
        <w:rPr>
          <w:spacing w:val="-9"/>
        </w:rPr>
        <w:t> </w:t>
      </w:r>
      <w:r>
        <w:rPr/>
        <w:t>to</w:t>
      </w:r>
      <w:r>
        <w:rPr>
          <w:spacing w:val="-9"/>
        </w:rPr>
        <w:t> </w:t>
      </w:r>
      <w:r>
        <w:rPr/>
        <w:t>indemnify</w:t>
      </w:r>
      <w:r>
        <w:rPr>
          <w:spacing w:val="-9"/>
        </w:rPr>
        <w:t> </w:t>
      </w:r>
      <w:r>
        <w:rPr/>
        <w:t>directors</w:t>
      </w:r>
      <w:r>
        <w:rPr>
          <w:spacing w:val="-9"/>
        </w:rPr>
        <w:t> </w:t>
      </w:r>
      <w:r>
        <w:rPr/>
        <w:t>for</w:t>
      </w:r>
      <w:r>
        <w:rPr>
          <w:spacing w:val="-9"/>
        </w:rPr>
        <w:t> </w:t>
      </w:r>
      <w:r>
        <w:rPr/>
        <w:t>expenses</w:t>
      </w:r>
      <w:r>
        <w:rPr>
          <w:spacing w:val="-9"/>
        </w:rPr>
        <w:t> </w:t>
      </w:r>
      <w:r>
        <w:rPr/>
        <w:t>arising</w:t>
      </w:r>
      <w:r>
        <w:rPr>
          <w:spacing w:val="-9"/>
        </w:rPr>
        <w:t> </w:t>
      </w:r>
      <w:r>
        <w:rPr/>
        <w:t>out</w:t>
      </w:r>
      <w:r>
        <w:rPr>
          <w:spacing w:val="-9"/>
        </w:rPr>
        <w:t> </w:t>
      </w:r>
      <w:r>
        <w:rPr/>
        <w:t>of third</w:t>
      </w:r>
      <w:r>
        <w:rPr>
          <w:spacing w:val="-8"/>
        </w:rPr>
        <w:t> </w:t>
      </w:r>
      <w:r>
        <w:rPr/>
        <w:t>party</w:t>
      </w:r>
      <w:r>
        <w:rPr>
          <w:spacing w:val="-8"/>
        </w:rPr>
        <w:t> </w:t>
      </w:r>
      <w:r>
        <w:rPr/>
        <w:t>legal</w:t>
      </w:r>
      <w:r>
        <w:rPr>
          <w:spacing w:val="-8"/>
        </w:rPr>
        <w:t> </w:t>
      </w:r>
      <w:r>
        <w:rPr/>
        <w:t>proceedings</w:t>
      </w:r>
      <w:r>
        <w:rPr>
          <w:spacing w:val="-8"/>
        </w:rPr>
        <w:t> </w:t>
      </w:r>
      <w:r>
        <w:rPr/>
        <w:t>brought</w:t>
      </w:r>
      <w:r>
        <w:rPr>
          <w:spacing w:val="-8"/>
        </w:rPr>
        <w:t> </w:t>
      </w:r>
      <w:r>
        <w:rPr/>
        <w:t>against</w:t>
      </w:r>
      <w:r>
        <w:rPr>
          <w:spacing w:val="-8"/>
        </w:rPr>
        <w:t> </w:t>
      </w:r>
      <w:r>
        <w:rPr/>
        <w:t>the</w:t>
      </w:r>
      <w:r>
        <w:rPr>
          <w:spacing w:val="-8"/>
        </w:rPr>
        <w:t> </w:t>
      </w:r>
      <w:r>
        <w:rPr/>
        <w:t>directors</w:t>
      </w:r>
      <w:r>
        <w:rPr>
          <w:spacing w:val="-8"/>
        </w:rPr>
        <w:t> </w:t>
      </w:r>
      <w:r>
        <w:rPr/>
        <w:t>as</w:t>
      </w:r>
      <w:r>
        <w:rPr>
          <w:spacing w:val="-8"/>
        </w:rPr>
        <w:t> </w:t>
      </w:r>
      <w:r>
        <w:rPr/>
        <w:t>long</w:t>
      </w:r>
      <w:r>
        <w:rPr>
          <w:spacing w:val="-8"/>
        </w:rPr>
        <w:t> </w:t>
      </w:r>
      <w:r>
        <w:rPr/>
        <w:t>as</w:t>
      </w:r>
      <w:r>
        <w:rPr>
          <w:spacing w:val="-8"/>
        </w:rPr>
        <w:t> </w:t>
      </w:r>
      <w:r>
        <w:rPr/>
        <w:t>they act in good faith; also, Directors’ and Officers’ (D&amp;O) liability insurance provides additional protection. </w:t>
      </w:r>
      <w:r>
        <w:rPr>
          <w:spacing w:val="-3"/>
        </w:rPr>
        <w:t>However, </w:t>
      </w:r>
      <w:r>
        <w:rPr/>
        <w:t>as firms approach </w:t>
      </w:r>
      <w:r>
        <w:rPr>
          <w:spacing w:val="-3"/>
        </w:rPr>
        <w:t>insolvency, </w:t>
      </w:r>
      <w:r>
        <w:rPr/>
        <w:t>directors’ litigation concerns increase because struggling companies may not</w:t>
      </w:r>
      <w:r>
        <w:rPr>
          <w:spacing w:val="-15"/>
        </w:rPr>
        <w:t> </w:t>
      </w:r>
      <w:r>
        <w:rPr/>
        <w:t>be</w:t>
      </w:r>
      <w:r>
        <w:rPr>
          <w:spacing w:val="-15"/>
        </w:rPr>
        <w:t> </w:t>
      </w:r>
      <w:r>
        <w:rPr/>
        <w:t>able</w:t>
      </w:r>
      <w:r>
        <w:rPr>
          <w:spacing w:val="-15"/>
        </w:rPr>
        <w:t> </w:t>
      </w:r>
      <w:r>
        <w:rPr/>
        <w:t>to</w:t>
      </w:r>
      <w:r>
        <w:rPr>
          <w:spacing w:val="-15"/>
        </w:rPr>
        <w:t> </w:t>
      </w:r>
      <w:r>
        <w:rPr/>
        <w:t>provide</w:t>
      </w:r>
      <w:r>
        <w:rPr>
          <w:spacing w:val="-15"/>
        </w:rPr>
        <w:t> </w:t>
      </w:r>
      <w:r>
        <w:rPr/>
        <w:t>indemnification,</w:t>
      </w:r>
      <w:r>
        <w:rPr>
          <w:spacing w:val="-15"/>
        </w:rPr>
        <w:t> </w:t>
      </w:r>
      <w:r>
        <w:rPr/>
        <w:t>thus</w:t>
      </w:r>
      <w:r>
        <w:rPr>
          <w:spacing w:val="-15"/>
        </w:rPr>
        <w:t> </w:t>
      </w:r>
      <w:r>
        <w:rPr/>
        <w:t>exposing</w:t>
      </w:r>
      <w:r>
        <w:rPr>
          <w:spacing w:val="-15"/>
        </w:rPr>
        <w:t> </w:t>
      </w:r>
      <w:r>
        <w:rPr/>
        <w:t>directors</w:t>
      </w:r>
      <w:r>
        <w:rPr>
          <w:spacing w:val="-15"/>
        </w:rPr>
        <w:t> </w:t>
      </w:r>
      <w:r>
        <w:rPr/>
        <w:t>to</w:t>
      </w:r>
      <w:r>
        <w:rPr>
          <w:spacing w:val="-15"/>
        </w:rPr>
        <w:t> </w:t>
      </w:r>
      <w:r>
        <w:rPr/>
        <w:t>personal liability</w:t>
      </w:r>
      <w:r>
        <w:rPr>
          <w:spacing w:val="-20"/>
        </w:rPr>
        <w:t> </w:t>
      </w:r>
      <w:r>
        <w:rPr/>
        <w:t>in</w:t>
      </w:r>
      <w:r>
        <w:rPr>
          <w:spacing w:val="-20"/>
        </w:rPr>
        <w:t> </w:t>
      </w:r>
      <w:r>
        <w:rPr/>
        <w:t>the</w:t>
      </w:r>
      <w:r>
        <w:rPr>
          <w:spacing w:val="-20"/>
        </w:rPr>
        <w:t> </w:t>
      </w:r>
      <w:r>
        <w:rPr/>
        <w:t>event</w:t>
      </w:r>
      <w:r>
        <w:rPr>
          <w:spacing w:val="-20"/>
        </w:rPr>
        <w:t> </w:t>
      </w:r>
      <w:r>
        <w:rPr/>
        <w:t>of</w:t>
      </w:r>
      <w:r>
        <w:rPr>
          <w:spacing w:val="-20"/>
        </w:rPr>
        <w:t> </w:t>
      </w:r>
      <w:r>
        <w:rPr/>
        <w:t>lawsuits.</w:t>
      </w:r>
      <w:r>
        <w:rPr>
          <w:spacing w:val="-20"/>
        </w:rPr>
        <w:t> </w:t>
      </w:r>
      <w:r>
        <w:rPr/>
        <w:t>Moreover,</w:t>
      </w:r>
      <w:r>
        <w:rPr>
          <w:spacing w:val="-19"/>
        </w:rPr>
        <w:t> </w:t>
      </w:r>
      <w:r>
        <w:rPr/>
        <w:t>if</w:t>
      </w:r>
      <w:r>
        <w:rPr>
          <w:spacing w:val="-20"/>
        </w:rPr>
        <w:t> </w:t>
      </w:r>
      <w:r>
        <w:rPr/>
        <w:t>directors</w:t>
      </w:r>
      <w:r>
        <w:rPr>
          <w:spacing w:val="-20"/>
        </w:rPr>
        <w:t> </w:t>
      </w:r>
      <w:r>
        <w:rPr/>
        <w:t>fail</w:t>
      </w:r>
      <w:r>
        <w:rPr>
          <w:spacing w:val="-19"/>
        </w:rPr>
        <w:t> </w:t>
      </w:r>
      <w:r>
        <w:rPr/>
        <w:t>in</w:t>
      </w:r>
      <w:r>
        <w:rPr>
          <w:spacing w:val="-20"/>
        </w:rPr>
        <w:t> </w:t>
      </w:r>
      <w:r>
        <w:rPr/>
        <w:t>their</w:t>
      </w:r>
      <w:r>
        <w:rPr>
          <w:spacing w:val="-19"/>
        </w:rPr>
        <w:t> </w:t>
      </w:r>
      <w:r>
        <w:rPr/>
        <w:t>fiduciary duties,</w:t>
      </w:r>
      <w:r>
        <w:rPr>
          <w:spacing w:val="-25"/>
        </w:rPr>
        <w:t> </w:t>
      </w:r>
      <w:r>
        <w:rPr/>
        <w:t>companies</w:t>
      </w:r>
      <w:r>
        <w:rPr>
          <w:spacing w:val="-25"/>
        </w:rPr>
        <w:t> </w:t>
      </w:r>
      <w:r>
        <w:rPr/>
        <w:t>cannot</w:t>
      </w:r>
      <w:r>
        <w:rPr>
          <w:spacing w:val="-25"/>
        </w:rPr>
        <w:t> </w:t>
      </w:r>
      <w:r>
        <w:rPr/>
        <w:t>indemnify</w:t>
      </w:r>
      <w:r>
        <w:rPr>
          <w:spacing w:val="-25"/>
        </w:rPr>
        <w:t> </w:t>
      </w:r>
      <w:r>
        <w:rPr/>
        <w:t>directors</w:t>
      </w:r>
      <w:r>
        <w:rPr>
          <w:spacing w:val="-25"/>
        </w:rPr>
        <w:t> </w:t>
      </w:r>
      <w:r>
        <w:rPr/>
        <w:t>and</w:t>
      </w:r>
      <w:r>
        <w:rPr>
          <w:spacing w:val="-25"/>
        </w:rPr>
        <w:t> </w:t>
      </w:r>
      <w:r>
        <w:rPr/>
        <w:t>D&amp;O</w:t>
      </w:r>
      <w:r>
        <w:rPr>
          <w:spacing w:val="-25"/>
        </w:rPr>
        <w:t> </w:t>
      </w:r>
      <w:r>
        <w:rPr/>
        <w:t>insurance</w:t>
      </w:r>
      <w:r>
        <w:rPr>
          <w:spacing w:val="-25"/>
        </w:rPr>
        <w:t> </w:t>
      </w:r>
      <w:r>
        <w:rPr/>
        <w:t>may</w:t>
      </w:r>
      <w:r>
        <w:rPr>
          <w:spacing w:val="-25"/>
        </w:rPr>
        <w:t> </w:t>
      </w:r>
      <w:r>
        <w:rPr/>
        <w:t>not pay for damages either (Dickey et. al</w:t>
      </w:r>
      <w:r>
        <w:rPr>
          <w:spacing w:val="2"/>
        </w:rPr>
        <w:t> </w:t>
      </w:r>
      <w:r>
        <w:rPr/>
        <w:t>[2003]).</w:t>
      </w:r>
      <w:r>
        <w:rPr>
          <w:color w:val="231F20"/>
          <w:position w:val="7"/>
          <w:sz w:val="14"/>
        </w:rPr>
        <w:t>10</w:t>
      </w:r>
    </w:p>
    <w:p>
      <w:pPr>
        <w:pStyle w:val="BodyText"/>
        <w:spacing w:line="230" w:lineRule="auto"/>
        <w:ind w:left="532" w:right="148" w:firstLine="199"/>
        <w:jc w:val="both"/>
      </w:pPr>
      <w:r>
        <w:rPr/>
        <w:t>A</w:t>
      </w:r>
      <w:r>
        <w:rPr>
          <w:spacing w:val="-7"/>
        </w:rPr>
        <w:t> </w:t>
      </w:r>
      <w:r>
        <w:rPr/>
        <w:t>recent</w:t>
      </w:r>
      <w:r>
        <w:rPr>
          <w:spacing w:val="-7"/>
        </w:rPr>
        <w:t> </w:t>
      </w:r>
      <w:r>
        <w:rPr/>
        <w:t>study</w:t>
      </w:r>
      <w:r>
        <w:rPr>
          <w:spacing w:val="-7"/>
        </w:rPr>
        <w:t> </w:t>
      </w:r>
      <w:r>
        <w:rPr/>
        <w:t>by</w:t>
      </w:r>
      <w:r>
        <w:rPr>
          <w:spacing w:val="-7"/>
        </w:rPr>
        <w:t> </w:t>
      </w:r>
      <w:r>
        <w:rPr/>
        <w:t>Becker</w:t>
      </w:r>
      <w:r>
        <w:rPr>
          <w:spacing w:val="-7"/>
        </w:rPr>
        <w:t> </w:t>
      </w:r>
      <w:r>
        <w:rPr/>
        <w:t>and</w:t>
      </w:r>
      <w:r>
        <w:rPr>
          <w:spacing w:val="-7"/>
        </w:rPr>
        <w:t> </w:t>
      </w:r>
      <w:r>
        <w:rPr/>
        <w:t>Stromberg</w:t>
      </w:r>
      <w:r>
        <w:rPr>
          <w:spacing w:val="-7"/>
        </w:rPr>
        <w:t> </w:t>
      </w:r>
      <w:r>
        <w:rPr/>
        <w:t>[2012]</w:t>
      </w:r>
      <w:r>
        <w:rPr>
          <w:spacing w:val="-7"/>
        </w:rPr>
        <w:t> </w:t>
      </w:r>
      <w:r>
        <w:rPr/>
        <w:t>offers</w:t>
      </w:r>
      <w:r>
        <w:rPr>
          <w:spacing w:val="-7"/>
        </w:rPr>
        <w:t> </w:t>
      </w:r>
      <w:r>
        <w:rPr/>
        <w:t>a</w:t>
      </w:r>
      <w:r>
        <w:rPr>
          <w:spacing w:val="-7"/>
        </w:rPr>
        <w:t> </w:t>
      </w:r>
      <w:r>
        <w:rPr/>
        <w:t>possible</w:t>
      </w:r>
      <w:r>
        <w:rPr>
          <w:spacing w:val="-7"/>
        </w:rPr>
        <w:t> </w:t>
      </w:r>
      <w:r>
        <w:rPr/>
        <w:t>contra- dicting </w:t>
      </w:r>
      <w:r>
        <w:rPr>
          <w:spacing w:val="-4"/>
        </w:rPr>
        <w:t>view. </w:t>
      </w:r>
      <w:r>
        <w:rPr/>
        <w:t>The authors find that the court ruling led to a reduction in risk-taking</w:t>
      </w:r>
      <w:r>
        <w:rPr>
          <w:spacing w:val="-25"/>
        </w:rPr>
        <w:t> </w:t>
      </w:r>
      <w:r>
        <w:rPr/>
        <w:t>in</w:t>
      </w:r>
      <w:r>
        <w:rPr>
          <w:spacing w:val="-24"/>
        </w:rPr>
        <w:t> </w:t>
      </w:r>
      <w:r>
        <w:rPr/>
        <w:t>near</w:t>
      </w:r>
      <w:r>
        <w:rPr>
          <w:spacing w:val="-25"/>
        </w:rPr>
        <w:t> </w:t>
      </w:r>
      <w:r>
        <w:rPr/>
        <w:t>insolvent</w:t>
      </w:r>
      <w:r>
        <w:rPr>
          <w:spacing w:val="-24"/>
        </w:rPr>
        <w:t> </w:t>
      </w:r>
      <w:r>
        <w:rPr/>
        <w:t>Delaware</w:t>
      </w:r>
      <w:r>
        <w:rPr>
          <w:spacing w:val="-24"/>
        </w:rPr>
        <w:t> </w:t>
      </w:r>
      <w:r>
        <w:rPr/>
        <w:t>firms</w:t>
      </w:r>
      <w:r>
        <w:rPr>
          <w:spacing w:val="-25"/>
        </w:rPr>
        <w:t> </w:t>
      </w:r>
      <w:r>
        <w:rPr/>
        <w:t>as</w:t>
      </w:r>
      <w:r>
        <w:rPr>
          <w:spacing w:val="-25"/>
        </w:rPr>
        <w:t> </w:t>
      </w:r>
      <w:r>
        <w:rPr/>
        <w:t>well</w:t>
      </w:r>
      <w:r>
        <w:rPr>
          <w:spacing w:val="-24"/>
        </w:rPr>
        <w:t> </w:t>
      </w:r>
      <w:r>
        <w:rPr/>
        <w:t>as</w:t>
      </w:r>
      <w:r>
        <w:rPr>
          <w:spacing w:val="-25"/>
        </w:rPr>
        <w:t> </w:t>
      </w:r>
      <w:r>
        <w:rPr/>
        <w:t>their</w:t>
      </w:r>
      <w:r>
        <w:rPr>
          <w:spacing w:val="-25"/>
        </w:rPr>
        <w:t> </w:t>
      </w:r>
      <w:r>
        <w:rPr/>
        <w:t>greater</w:t>
      </w:r>
      <w:r>
        <w:rPr>
          <w:spacing w:val="-24"/>
        </w:rPr>
        <w:t> </w:t>
      </w:r>
      <w:r>
        <w:rPr/>
        <w:t>willing- ness</w:t>
      </w:r>
      <w:r>
        <w:rPr>
          <w:spacing w:val="-26"/>
        </w:rPr>
        <w:t> </w:t>
      </w:r>
      <w:r>
        <w:rPr/>
        <w:t>to</w:t>
      </w:r>
      <w:r>
        <w:rPr>
          <w:spacing w:val="-26"/>
        </w:rPr>
        <w:t> </w:t>
      </w:r>
      <w:r>
        <w:rPr/>
        <w:t>invest</w:t>
      </w:r>
      <w:r>
        <w:rPr>
          <w:spacing w:val="-26"/>
        </w:rPr>
        <w:t> </w:t>
      </w:r>
      <w:r>
        <w:rPr/>
        <w:t>in</w:t>
      </w:r>
      <w:r>
        <w:rPr>
          <w:spacing w:val="-26"/>
        </w:rPr>
        <w:t> </w:t>
      </w:r>
      <w:r>
        <w:rPr/>
        <w:t>projects</w:t>
      </w:r>
      <w:r>
        <w:rPr>
          <w:spacing w:val="-26"/>
        </w:rPr>
        <w:t> </w:t>
      </w:r>
      <w:r>
        <w:rPr/>
        <w:t>that</w:t>
      </w:r>
      <w:r>
        <w:rPr>
          <w:spacing w:val="-26"/>
        </w:rPr>
        <w:t> </w:t>
      </w:r>
      <w:r>
        <w:rPr/>
        <w:t>likely</w:t>
      </w:r>
      <w:r>
        <w:rPr>
          <w:spacing w:val="-26"/>
        </w:rPr>
        <w:t> </w:t>
      </w:r>
      <w:r>
        <w:rPr/>
        <w:t>benefit</w:t>
      </w:r>
      <w:r>
        <w:rPr>
          <w:spacing w:val="-26"/>
        </w:rPr>
        <w:t> </w:t>
      </w:r>
      <w:r>
        <w:rPr/>
        <w:t>both</w:t>
      </w:r>
      <w:r>
        <w:rPr>
          <w:spacing w:val="-26"/>
        </w:rPr>
        <w:t> </w:t>
      </w:r>
      <w:r>
        <w:rPr/>
        <w:t>shareholders</w:t>
      </w:r>
      <w:r>
        <w:rPr>
          <w:spacing w:val="-26"/>
        </w:rPr>
        <w:t> </w:t>
      </w:r>
      <w:r>
        <w:rPr/>
        <w:t>and</w:t>
      </w:r>
      <w:r>
        <w:rPr>
          <w:spacing w:val="-26"/>
        </w:rPr>
        <w:t> </w:t>
      </w:r>
      <w:r>
        <w:rPr/>
        <w:t>debthold- ers. In other words, the Becker and Stromberg [2012] study suggests   that</w:t>
      </w:r>
      <w:r>
        <w:rPr>
          <w:spacing w:val="-9"/>
        </w:rPr>
        <w:t> </w:t>
      </w:r>
      <w:r>
        <w:rPr/>
        <w:t>the</w:t>
      </w:r>
      <w:r>
        <w:rPr>
          <w:spacing w:val="-9"/>
        </w:rPr>
        <w:t> </w:t>
      </w:r>
      <w:r>
        <w:rPr/>
        <w:t>increased</w:t>
      </w:r>
      <w:r>
        <w:rPr>
          <w:spacing w:val="-9"/>
        </w:rPr>
        <w:t> </w:t>
      </w:r>
      <w:r>
        <w:rPr/>
        <w:t>fiduciary</w:t>
      </w:r>
      <w:r>
        <w:rPr>
          <w:spacing w:val="-9"/>
        </w:rPr>
        <w:t> </w:t>
      </w:r>
      <w:r>
        <w:rPr/>
        <w:t>duties</w:t>
      </w:r>
      <w:r>
        <w:rPr>
          <w:spacing w:val="-9"/>
        </w:rPr>
        <w:t> </w:t>
      </w:r>
      <w:r>
        <w:rPr/>
        <w:t>of</w:t>
      </w:r>
      <w:r>
        <w:rPr>
          <w:spacing w:val="-9"/>
        </w:rPr>
        <w:t> </w:t>
      </w:r>
      <w:r>
        <w:rPr/>
        <w:t>directors</w:t>
      </w:r>
      <w:r>
        <w:rPr>
          <w:spacing w:val="-9"/>
        </w:rPr>
        <w:t> </w:t>
      </w:r>
      <w:r>
        <w:rPr/>
        <w:t>in</w:t>
      </w:r>
      <w:r>
        <w:rPr>
          <w:spacing w:val="-9"/>
        </w:rPr>
        <w:t> </w:t>
      </w:r>
      <w:r>
        <w:rPr/>
        <w:t>near</w:t>
      </w:r>
      <w:r>
        <w:rPr>
          <w:spacing w:val="-9"/>
        </w:rPr>
        <w:t> </w:t>
      </w:r>
      <w:r>
        <w:rPr/>
        <w:t>insolvent</w:t>
      </w:r>
      <w:r>
        <w:rPr>
          <w:spacing w:val="-9"/>
        </w:rPr>
        <w:t> </w:t>
      </w:r>
      <w:r>
        <w:rPr/>
        <w:t>Delaware firms</w:t>
      </w:r>
      <w:r>
        <w:rPr>
          <w:spacing w:val="-11"/>
        </w:rPr>
        <w:t> </w:t>
      </w:r>
      <w:r>
        <w:rPr/>
        <w:t>significantly</w:t>
      </w:r>
      <w:r>
        <w:rPr>
          <w:spacing w:val="-11"/>
        </w:rPr>
        <w:t> </w:t>
      </w:r>
      <w:r>
        <w:rPr/>
        <w:t>mitigated</w:t>
      </w:r>
      <w:r>
        <w:rPr>
          <w:spacing w:val="-11"/>
        </w:rPr>
        <w:t> </w:t>
      </w:r>
      <w:r>
        <w:rPr/>
        <w:t>shareholder–debtholder</w:t>
      </w:r>
      <w:r>
        <w:rPr>
          <w:spacing w:val="-11"/>
        </w:rPr>
        <w:t> </w:t>
      </w:r>
      <w:r>
        <w:rPr/>
        <w:t>conflicts.</w:t>
      </w:r>
      <w:r>
        <w:rPr>
          <w:spacing w:val="-11"/>
        </w:rPr>
        <w:t> </w:t>
      </w:r>
      <w:r>
        <w:rPr/>
        <w:t>Following this</w:t>
      </w:r>
      <w:r>
        <w:rPr>
          <w:spacing w:val="-8"/>
        </w:rPr>
        <w:t> </w:t>
      </w:r>
      <w:r>
        <w:rPr/>
        <w:t>line</w:t>
      </w:r>
      <w:r>
        <w:rPr>
          <w:spacing w:val="-8"/>
        </w:rPr>
        <w:t> </w:t>
      </w:r>
      <w:r>
        <w:rPr/>
        <w:t>of</w:t>
      </w:r>
      <w:r>
        <w:rPr>
          <w:spacing w:val="-8"/>
        </w:rPr>
        <w:t> </w:t>
      </w:r>
      <w:r>
        <w:rPr/>
        <w:t>reasoning,</w:t>
      </w:r>
      <w:r>
        <w:rPr>
          <w:spacing w:val="-8"/>
        </w:rPr>
        <w:t> </w:t>
      </w:r>
      <w:r>
        <w:rPr/>
        <w:t>with</w:t>
      </w:r>
      <w:r>
        <w:rPr>
          <w:spacing w:val="-8"/>
        </w:rPr>
        <w:t> </w:t>
      </w:r>
      <w:r>
        <w:rPr/>
        <w:t>new</w:t>
      </w:r>
      <w:r>
        <w:rPr>
          <w:spacing w:val="-8"/>
        </w:rPr>
        <w:t> </w:t>
      </w:r>
      <w:r>
        <w:rPr/>
        <w:t>claims</w:t>
      </w:r>
      <w:r>
        <w:rPr>
          <w:spacing w:val="-8"/>
        </w:rPr>
        <w:t> </w:t>
      </w:r>
      <w:r>
        <w:rPr/>
        <w:t>arising</w:t>
      </w:r>
      <w:r>
        <w:rPr>
          <w:spacing w:val="-8"/>
        </w:rPr>
        <w:t> </w:t>
      </w:r>
      <w:r>
        <w:rPr/>
        <w:t>from</w:t>
      </w:r>
      <w:r>
        <w:rPr>
          <w:spacing w:val="-8"/>
        </w:rPr>
        <w:t> </w:t>
      </w:r>
      <w:r>
        <w:rPr/>
        <w:t>fiduciary</w:t>
      </w:r>
      <w:r>
        <w:rPr>
          <w:spacing w:val="-8"/>
        </w:rPr>
        <w:t> </w:t>
      </w:r>
      <w:r>
        <w:rPr/>
        <w:t>duties</w:t>
      </w:r>
      <w:r>
        <w:rPr>
          <w:spacing w:val="-8"/>
        </w:rPr>
        <w:t> </w:t>
      </w:r>
      <w:r>
        <w:rPr/>
        <w:t>of</w:t>
      </w:r>
      <w:r>
        <w:rPr>
          <w:spacing w:val="-8"/>
        </w:rPr>
        <w:t> </w:t>
      </w:r>
      <w:r>
        <w:rPr/>
        <w:t>di- rectors, creditors may no longer need to rely on financial reporting con- servatism</w:t>
      </w:r>
      <w:r>
        <w:rPr>
          <w:spacing w:val="-15"/>
        </w:rPr>
        <w:t> </w:t>
      </w:r>
      <w:r>
        <w:rPr/>
        <w:t>to</w:t>
      </w:r>
      <w:r>
        <w:rPr>
          <w:spacing w:val="-15"/>
        </w:rPr>
        <w:t> </w:t>
      </w:r>
      <w:r>
        <w:rPr/>
        <w:t>protect</w:t>
      </w:r>
      <w:r>
        <w:rPr>
          <w:spacing w:val="-15"/>
        </w:rPr>
        <w:t> </w:t>
      </w:r>
      <w:r>
        <w:rPr/>
        <w:t>their</w:t>
      </w:r>
      <w:r>
        <w:rPr>
          <w:spacing w:val="-15"/>
        </w:rPr>
        <w:t> </w:t>
      </w:r>
      <w:r>
        <w:rPr/>
        <w:t>interests</w:t>
      </w:r>
      <w:r>
        <w:rPr>
          <w:spacing w:val="-15"/>
        </w:rPr>
        <w:t> </w:t>
      </w:r>
      <w:r>
        <w:rPr/>
        <w:t>and</w:t>
      </w:r>
      <w:r>
        <w:rPr>
          <w:spacing w:val="-15"/>
        </w:rPr>
        <w:t> </w:t>
      </w:r>
      <w:r>
        <w:rPr/>
        <w:t>this</w:t>
      </w:r>
      <w:r>
        <w:rPr>
          <w:spacing w:val="-15"/>
        </w:rPr>
        <w:t> </w:t>
      </w:r>
      <w:r>
        <w:rPr/>
        <w:t>could</w:t>
      </w:r>
      <w:r>
        <w:rPr>
          <w:spacing w:val="-15"/>
        </w:rPr>
        <w:t> </w:t>
      </w:r>
      <w:r>
        <w:rPr/>
        <w:t>result</w:t>
      </w:r>
      <w:r>
        <w:rPr>
          <w:spacing w:val="-15"/>
        </w:rPr>
        <w:t> </w:t>
      </w:r>
      <w:r>
        <w:rPr/>
        <w:t>in</w:t>
      </w:r>
      <w:r>
        <w:rPr>
          <w:spacing w:val="-15"/>
        </w:rPr>
        <w:t> </w:t>
      </w:r>
      <w:r>
        <w:rPr/>
        <w:t>a</w:t>
      </w:r>
      <w:r>
        <w:rPr>
          <w:spacing w:val="-15"/>
        </w:rPr>
        <w:t> </w:t>
      </w:r>
      <w:r>
        <w:rPr/>
        <w:t>lower</w:t>
      </w:r>
      <w:r>
        <w:rPr>
          <w:spacing w:val="-15"/>
        </w:rPr>
        <w:t> </w:t>
      </w:r>
      <w:r>
        <w:rPr/>
        <w:t>demand for</w:t>
      </w:r>
      <w:r>
        <w:rPr>
          <w:spacing w:val="-17"/>
        </w:rPr>
        <w:t> </w:t>
      </w:r>
      <w:r>
        <w:rPr/>
        <w:t>accounting</w:t>
      </w:r>
      <w:r>
        <w:rPr>
          <w:spacing w:val="-17"/>
        </w:rPr>
        <w:t> </w:t>
      </w:r>
      <w:r>
        <w:rPr/>
        <w:t>conservatism</w:t>
      </w:r>
      <w:r>
        <w:rPr>
          <w:spacing w:val="-17"/>
        </w:rPr>
        <w:t> </w:t>
      </w:r>
      <w:r>
        <w:rPr/>
        <w:t>from</w:t>
      </w:r>
      <w:r>
        <w:rPr>
          <w:spacing w:val="-17"/>
        </w:rPr>
        <w:t> </w:t>
      </w:r>
      <w:r>
        <w:rPr/>
        <w:t>lenders.</w:t>
      </w:r>
      <w:r>
        <w:rPr>
          <w:spacing w:val="-17"/>
        </w:rPr>
        <w:t> </w:t>
      </w:r>
      <w:r>
        <w:rPr/>
        <w:t>Consequently,</w:t>
      </w:r>
      <w:r>
        <w:rPr>
          <w:spacing w:val="-17"/>
        </w:rPr>
        <w:t> </w:t>
      </w:r>
      <w:r>
        <w:rPr/>
        <w:t>it</w:t>
      </w:r>
      <w:r>
        <w:rPr>
          <w:spacing w:val="-17"/>
        </w:rPr>
        <w:t> </w:t>
      </w:r>
      <w:r>
        <w:rPr/>
        <w:t>is</w:t>
      </w:r>
      <w:r>
        <w:rPr>
          <w:spacing w:val="-17"/>
        </w:rPr>
        <w:t> </w:t>
      </w:r>
      <w:r>
        <w:rPr/>
        <w:t>possible</w:t>
      </w:r>
      <w:r>
        <w:rPr>
          <w:spacing w:val="-17"/>
        </w:rPr>
        <w:t> </w:t>
      </w:r>
      <w:r>
        <w:rPr/>
        <w:t>that near</w:t>
      </w:r>
      <w:r>
        <w:rPr>
          <w:spacing w:val="-19"/>
        </w:rPr>
        <w:t> </w:t>
      </w:r>
      <w:r>
        <w:rPr/>
        <w:t>insolvent</w:t>
      </w:r>
      <w:r>
        <w:rPr>
          <w:spacing w:val="-19"/>
        </w:rPr>
        <w:t> </w:t>
      </w:r>
      <w:r>
        <w:rPr/>
        <w:t>Delaware</w:t>
      </w:r>
      <w:r>
        <w:rPr>
          <w:spacing w:val="-19"/>
        </w:rPr>
        <w:t> </w:t>
      </w:r>
      <w:r>
        <w:rPr/>
        <w:t>firms</w:t>
      </w:r>
      <w:r>
        <w:rPr>
          <w:spacing w:val="-19"/>
        </w:rPr>
        <w:t> </w:t>
      </w:r>
      <w:r>
        <w:rPr/>
        <w:t>may</w:t>
      </w:r>
      <w:r>
        <w:rPr>
          <w:spacing w:val="-19"/>
        </w:rPr>
        <w:t> </w:t>
      </w:r>
      <w:r>
        <w:rPr/>
        <w:t>exhibit</w:t>
      </w:r>
      <w:r>
        <w:rPr>
          <w:spacing w:val="-19"/>
        </w:rPr>
        <w:t> </w:t>
      </w:r>
      <w:r>
        <w:rPr/>
        <w:t>no</w:t>
      </w:r>
      <w:r>
        <w:rPr>
          <w:spacing w:val="-19"/>
        </w:rPr>
        <w:t> </w:t>
      </w:r>
      <w:r>
        <w:rPr/>
        <w:t>change</w:t>
      </w:r>
      <w:r>
        <w:rPr>
          <w:spacing w:val="-19"/>
        </w:rPr>
        <w:t> </w:t>
      </w:r>
      <w:r>
        <w:rPr/>
        <w:t>(or</w:t>
      </w:r>
      <w:r>
        <w:rPr>
          <w:spacing w:val="-19"/>
        </w:rPr>
        <w:t> </w:t>
      </w:r>
      <w:r>
        <w:rPr/>
        <w:t>even</w:t>
      </w:r>
      <w:r>
        <w:rPr>
          <w:spacing w:val="-19"/>
        </w:rPr>
        <w:t> </w:t>
      </w:r>
      <w:r>
        <w:rPr/>
        <w:t>a</w:t>
      </w:r>
      <w:r>
        <w:rPr>
          <w:spacing w:val="-19"/>
        </w:rPr>
        <w:t> </w:t>
      </w:r>
      <w:r>
        <w:rPr/>
        <w:t>reduction) in financial reporting conservatism following the court</w:t>
      </w:r>
      <w:r>
        <w:rPr>
          <w:spacing w:val="-32"/>
        </w:rPr>
        <w:t> </w:t>
      </w:r>
      <w:r>
        <w:rPr/>
        <w:t>ruling.</w:t>
      </w:r>
    </w:p>
    <w:p>
      <w:pPr>
        <w:pStyle w:val="BodyText"/>
        <w:spacing w:line="230" w:lineRule="auto"/>
        <w:ind w:left="532" w:right="148" w:firstLine="199"/>
        <w:jc w:val="both"/>
      </w:pPr>
      <w:r>
        <w:rPr>
          <w:spacing w:val="-3"/>
        </w:rPr>
        <w:t>However,</w:t>
      </w:r>
      <w:r>
        <w:rPr>
          <w:spacing w:val="-10"/>
        </w:rPr>
        <w:t> </w:t>
      </w:r>
      <w:r>
        <w:rPr/>
        <w:t>based</w:t>
      </w:r>
      <w:r>
        <w:rPr>
          <w:spacing w:val="-9"/>
        </w:rPr>
        <w:t> </w:t>
      </w:r>
      <w:r>
        <w:rPr/>
        <w:t>on</w:t>
      </w:r>
      <w:r>
        <w:rPr>
          <w:spacing w:val="-10"/>
        </w:rPr>
        <w:t> </w:t>
      </w:r>
      <w:r>
        <w:rPr/>
        <w:t>the</w:t>
      </w:r>
      <w:r>
        <w:rPr>
          <w:spacing w:val="-10"/>
        </w:rPr>
        <w:t> </w:t>
      </w:r>
      <w:r>
        <w:rPr/>
        <w:t>discussions,</w:t>
      </w:r>
      <w:r>
        <w:rPr>
          <w:spacing w:val="-10"/>
        </w:rPr>
        <w:t> </w:t>
      </w:r>
      <w:r>
        <w:rPr/>
        <w:t>the</w:t>
      </w:r>
      <w:r>
        <w:rPr>
          <w:spacing w:val="-10"/>
        </w:rPr>
        <w:t> </w:t>
      </w:r>
      <w:r>
        <w:rPr/>
        <w:t>reasons</w:t>
      </w:r>
      <w:r>
        <w:rPr>
          <w:spacing w:val="-10"/>
        </w:rPr>
        <w:t> </w:t>
      </w:r>
      <w:r>
        <w:rPr/>
        <w:t>to</w:t>
      </w:r>
      <w:r>
        <w:rPr>
          <w:spacing w:val="-10"/>
        </w:rPr>
        <w:t> </w:t>
      </w:r>
      <w:r>
        <w:rPr/>
        <w:t>expect</w:t>
      </w:r>
      <w:r>
        <w:rPr>
          <w:spacing w:val="-9"/>
        </w:rPr>
        <w:t> </w:t>
      </w:r>
      <w:r>
        <w:rPr/>
        <w:t>higher</w:t>
      </w:r>
      <w:r>
        <w:rPr>
          <w:spacing w:val="-10"/>
        </w:rPr>
        <w:t> </w:t>
      </w:r>
      <w:r>
        <w:rPr/>
        <w:t>conser- vatism</w:t>
      </w:r>
      <w:r>
        <w:rPr>
          <w:spacing w:val="-4"/>
        </w:rPr>
        <w:t> </w:t>
      </w:r>
      <w:r>
        <w:rPr/>
        <w:t>after</w:t>
      </w:r>
      <w:r>
        <w:rPr>
          <w:spacing w:val="-4"/>
        </w:rPr>
        <w:t> </w:t>
      </w:r>
      <w:r>
        <w:rPr/>
        <w:t>the</w:t>
      </w:r>
      <w:r>
        <w:rPr>
          <w:spacing w:val="-4"/>
        </w:rPr>
        <w:t> </w:t>
      </w:r>
      <w:r>
        <w:rPr/>
        <w:t>Delaware</w:t>
      </w:r>
      <w:r>
        <w:rPr>
          <w:spacing w:val="-4"/>
        </w:rPr>
        <w:t> </w:t>
      </w:r>
      <w:r>
        <w:rPr/>
        <w:t>court</w:t>
      </w:r>
      <w:r>
        <w:rPr>
          <w:spacing w:val="-4"/>
        </w:rPr>
        <w:t> </w:t>
      </w:r>
      <w:r>
        <w:rPr/>
        <w:t>ruling</w:t>
      </w:r>
      <w:r>
        <w:rPr>
          <w:spacing w:val="-4"/>
        </w:rPr>
        <w:t> </w:t>
      </w:r>
      <w:r>
        <w:rPr/>
        <w:t>are</w:t>
      </w:r>
      <w:r>
        <w:rPr>
          <w:spacing w:val="-4"/>
        </w:rPr>
        <w:t> </w:t>
      </w:r>
      <w:r>
        <w:rPr/>
        <w:t>more</w:t>
      </w:r>
      <w:r>
        <w:rPr>
          <w:spacing w:val="-4"/>
        </w:rPr>
        <w:t> </w:t>
      </w:r>
      <w:r>
        <w:rPr/>
        <w:t>persuasive</w:t>
      </w:r>
      <w:r>
        <w:rPr>
          <w:spacing w:val="-4"/>
        </w:rPr>
        <w:t> </w:t>
      </w:r>
      <w:r>
        <w:rPr/>
        <w:t>and</w:t>
      </w:r>
      <w:r>
        <w:rPr>
          <w:spacing w:val="-4"/>
        </w:rPr>
        <w:t> </w:t>
      </w:r>
      <w:r>
        <w:rPr/>
        <w:t>hence</w:t>
      </w:r>
      <w:r>
        <w:rPr>
          <w:spacing w:val="-4"/>
        </w:rPr>
        <w:t> </w:t>
      </w:r>
      <w:r>
        <w:rPr/>
        <w:t>we propose the following hypothesis (stated in alternative</w:t>
      </w:r>
      <w:r>
        <w:rPr>
          <w:spacing w:val="-23"/>
        </w:rPr>
        <w:t> </w:t>
      </w:r>
      <w:r>
        <w:rPr/>
        <w:t>form):</w:t>
      </w:r>
    </w:p>
    <w:p>
      <w:pPr>
        <w:pStyle w:val="BodyText"/>
        <w:spacing w:line="230" w:lineRule="auto" w:before="139"/>
        <w:ind w:left="652" w:hanging="120"/>
      </w:pPr>
      <w:r>
        <w:rPr>
          <w:i/>
        </w:rPr>
        <w:t>H1</w:t>
      </w:r>
      <w:r>
        <w:rPr/>
        <w:t>:</w:t>
      </w:r>
      <w:r>
        <w:rPr>
          <w:spacing w:val="-16"/>
        </w:rPr>
        <w:t> </w:t>
      </w:r>
      <w:r>
        <w:rPr/>
        <w:t>Near</w:t>
      </w:r>
      <w:r>
        <w:rPr>
          <w:spacing w:val="-16"/>
        </w:rPr>
        <w:t> </w:t>
      </w:r>
      <w:r>
        <w:rPr/>
        <w:t>insolvent</w:t>
      </w:r>
      <w:r>
        <w:rPr>
          <w:spacing w:val="-16"/>
        </w:rPr>
        <w:t> </w:t>
      </w:r>
      <w:r>
        <w:rPr/>
        <w:t>Delaware</w:t>
      </w:r>
      <w:r>
        <w:rPr>
          <w:spacing w:val="-16"/>
        </w:rPr>
        <w:t> </w:t>
      </w:r>
      <w:r>
        <w:rPr/>
        <w:t>firms</w:t>
      </w:r>
      <w:r>
        <w:rPr>
          <w:spacing w:val="-16"/>
        </w:rPr>
        <w:t> </w:t>
      </w:r>
      <w:r>
        <w:rPr/>
        <w:t>increase</w:t>
      </w:r>
      <w:r>
        <w:rPr>
          <w:spacing w:val="-16"/>
        </w:rPr>
        <w:t> </w:t>
      </w:r>
      <w:r>
        <w:rPr/>
        <w:t>accounting</w:t>
      </w:r>
      <w:r>
        <w:rPr>
          <w:spacing w:val="-16"/>
        </w:rPr>
        <w:t> </w:t>
      </w:r>
      <w:r>
        <w:rPr/>
        <w:t>conservatism</w:t>
      </w:r>
      <w:r>
        <w:rPr>
          <w:spacing w:val="-16"/>
        </w:rPr>
        <w:t> </w:t>
      </w:r>
      <w:r>
        <w:rPr/>
        <w:t>after the 1991 Delaware court</w:t>
      </w:r>
      <w:r>
        <w:rPr>
          <w:spacing w:val="1"/>
        </w:rPr>
        <w:t> </w:t>
      </w:r>
      <w:r>
        <w:rPr/>
        <w:t>ruling.</w:t>
      </w:r>
    </w:p>
    <w:p>
      <w:pPr>
        <w:pStyle w:val="ListParagraph"/>
        <w:numPr>
          <w:ilvl w:val="1"/>
          <w:numId w:val="1"/>
        </w:numPr>
        <w:tabs>
          <w:tab w:pos="910" w:val="left" w:leader="none"/>
        </w:tabs>
        <w:spacing w:line="264" w:lineRule="auto" w:before="170" w:after="0"/>
        <w:ind w:left="532" w:right="289" w:firstLine="0"/>
        <w:jc w:val="left"/>
        <w:rPr>
          <w:sz w:val="16"/>
        </w:rPr>
      </w:pPr>
      <w:r>
        <w:rPr>
          <w:w w:val="105"/>
          <w:sz w:val="16"/>
        </w:rPr>
        <w:t>ROLE OF BOARD CHARACTERISTICS IN THE EFFECT OF COURT RULING ON ACCOUNTING</w:t>
      </w:r>
      <w:r>
        <w:rPr>
          <w:spacing w:val="20"/>
          <w:w w:val="105"/>
          <w:sz w:val="16"/>
        </w:rPr>
        <w:t> </w:t>
      </w:r>
      <w:r>
        <w:rPr>
          <w:w w:val="105"/>
          <w:sz w:val="16"/>
        </w:rPr>
        <w:t>CONSERVATISM</w:t>
      </w:r>
    </w:p>
    <w:p>
      <w:pPr>
        <w:pStyle w:val="BodyText"/>
        <w:spacing w:line="230" w:lineRule="auto" w:before="69"/>
        <w:ind w:left="532" w:right="148" w:firstLine="199"/>
        <w:jc w:val="both"/>
      </w:pPr>
      <w:r>
        <w:rPr/>
        <w:t>The court ruling directly impacts the fiduciary obligations of directors and therefore the board of directors serves as a channel through which the court ruling should take effect. Prior literature documents that board characteristics</w:t>
      </w:r>
      <w:r>
        <w:rPr>
          <w:spacing w:val="-20"/>
        </w:rPr>
        <w:t> </w:t>
      </w:r>
      <w:r>
        <w:rPr/>
        <w:t>like</w:t>
      </w:r>
      <w:r>
        <w:rPr>
          <w:spacing w:val="-20"/>
        </w:rPr>
        <w:t> </w:t>
      </w:r>
      <w:r>
        <w:rPr/>
        <w:t>the</w:t>
      </w:r>
      <w:r>
        <w:rPr>
          <w:spacing w:val="-20"/>
        </w:rPr>
        <w:t> </w:t>
      </w:r>
      <w:r>
        <w:rPr/>
        <w:t>presence</w:t>
      </w:r>
      <w:r>
        <w:rPr>
          <w:spacing w:val="-20"/>
        </w:rPr>
        <w:t> </w:t>
      </w:r>
      <w:r>
        <w:rPr/>
        <w:t>of</w:t>
      </w:r>
      <w:r>
        <w:rPr>
          <w:spacing w:val="-20"/>
        </w:rPr>
        <w:t> </w:t>
      </w:r>
      <w:r>
        <w:rPr/>
        <w:t>outsiders</w:t>
      </w:r>
      <w:r>
        <w:rPr>
          <w:spacing w:val="-20"/>
        </w:rPr>
        <w:t> </w:t>
      </w:r>
      <w:r>
        <w:rPr/>
        <w:t>or</w:t>
      </w:r>
      <w:r>
        <w:rPr>
          <w:spacing w:val="-20"/>
        </w:rPr>
        <w:t> </w:t>
      </w:r>
      <w:r>
        <w:rPr/>
        <w:t>specialists</w:t>
      </w:r>
      <w:r>
        <w:rPr>
          <w:spacing w:val="-20"/>
        </w:rPr>
        <w:t> </w:t>
      </w:r>
      <w:r>
        <w:rPr/>
        <w:t>strengthen</w:t>
      </w:r>
      <w:r>
        <w:rPr>
          <w:spacing w:val="-20"/>
        </w:rPr>
        <w:t> </w:t>
      </w:r>
      <w:r>
        <w:rPr/>
        <w:t>board governance, because those directors have higher reputational concerns, are</w:t>
      </w:r>
      <w:r>
        <w:rPr>
          <w:spacing w:val="5"/>
        </w:rPr>
        <w:t> </w:t>
      </w:r>
      <w:r>
        <w:rPr/>
        <w:t>less</w:t>
      </w:r>
      <w:r>
        <w:rPr>
          <w:spacing w:val="5"/>
        </w:rPr>
        <w:t> </w:t>
      </w:r>
      <w:r>
        <w:rPr/>
        <w:t>likely</w:t>
      </w:r>
      <w:r>
        <w:rPr>
          <w:spacing w:val="5"/>
        </w:rPr>
        <w:t> </w:t>
      </w:r>
      <w:r>
        <w:rPr/>
        <w:t>to</w:t>
      </w:r>
      <w:r>
        <w:rPr>
          <w:spacing w:val="5"/>
        </w:rPr>
        <w:t> </w:t>
      </w:r>
      <w:r>
        <w:rPr/>
        <w:t>be</w:t>
      </w:r>
      <w:r>
        <w:rPr>
          <w:spacing w:val="5"/>
        </w:rPr>
        <w:t> </w:t>
      </w:r>
      <w:r>
        <w:rPr/>
        <w:t>controlled</w:t>
      </w:r>
      <w:r>
        <w:rPr>
          <w:spacing w:val="5"/>
        </w:rPr>
        <w:t> </w:t>
      </w:r>
      <w:r>
        <w:rPr/>
        <w:t>by</w:t>
      </w:r>
      <w:r>
        <w:rPr>
          <w:spacing w:val="5"/>
        </w:rPr>
        <w:t> </w:t>
      </w:r>
      <w:r>
        <w:rPr/>
        <w:t>shareholders,</w:t>
      </w:r>
      <w:r>
        <w:rPr>
          <w:spacing w:val="5"/>
        </w:rPr>
        <w:t> </w:t>
      </w:r>
      <w:r>
        <w:rPr/>
        <w:t>and</w:t>
      </w:r>
      <w:r>
        <w:rPr>
          <w:spacing w:val="5"/>
        </w:rPr>
        <w:t> </w:t>
      </w:r>
      <w:r>
        <w:rPr/>
        <w:t>are</w:t>
      </w:r>
      <w:r>
        <w:rPr>
          <w:spacing w:val="5"/>
        </w:rPr>
        <w:t> </w:t>
      </w:r>
      <w:r>
        <w:rPr/>
        <w:t>more</w:t>
      </w:r>
      <w:r>
        <w:rPr>
          <w:spacing w:val="5"/>
        </w:rPr>
        <w:t> </w:t>
      </w:r>
      <w:r>
        <w:rPr/>
        <w:t>effective</w:t>
      </w:r>
      <w:r>
        <w:rPr>
          <w:spacing w:val="5"/>
        </w:rPr>
        <w:t> </w:t>
      </w:r>
      <w:r>
        <w:rPr/>
        <w:t>in</w:t>
      </w:r>
    </w:p>
    <w:p>
      <w:pPr>
        <w:pStyle w:val="BodyText"/>
        <w:spacing w:before="11"/>
        <w:rPr>
          <w:sz w:val="29"/>
        </w:rPr>
      </w:pPr>
      <w:r>
        <w:rPr/>
        <w:pict>
          <v:line style="position:absolute;mso-position-horizontal-relative:page;mso-position-vertical-relative:paragraph;z-index:1216;mso-wrap-distance-left:0;mso-wrap-distance-right:0" from="90.629997pt,20.863895pt" to="126.503997pt,20.863895pt" stroked="true" strokeweight=".504pt" strokecolor="#000000">
            <v:stroke dashstyle="solid"/>
            <w10:wrap type="topAndBottom"/>
          </v:line>
        </w:pict>
      </w:r>
    </w:p>
    <w:p>
      <w:pPr>
        <w:spacing w:before="73"/>
        <w:ind w:left="532" w:right="149" w:firstLine="179"/>
        <w:jc w:val="both"/>
        <w:rPr>
          <w:sz w:val="16"/>
        </w:rPr>
      </w:pPr>
      <w:r>
        <w:rPr>
          <w:color w:val="231F20"/>
          <w:position w:val="6"/>
          <w:sz w:val="12"/>
        </w:rPr>
        <w:t>10</w:t>
      </w:r>
      <w:r>
        <w:rPr>
          <w:color w:val="231F20"/>
          <w:spacing w:val="-18"/>
          <w:position w:val="6"/>
          <w:sz w:val="12"/>
        </w:rPr>
        <w:t> </w:t>
      </w:r>
      <w:r>
        <w:rPr>
          <w:color w:val="231F20"/>
          <w:sz w:val="16"/>
        </w:rPr>
        <w:t>Judicial</w:t>
      </w:r>
      <w:r>
        <w:rPr>
          <w:color w:val="231F20"/>
          <w:spacing w:val="-20"/>
          <w:sz w:val="16"/>
        </w:rPr>
        <w:t> </w:t>
      </w:r>
      <w:r>
        <w:rPr>
          <w:color w:val="231F20"/>
          <w:sz w:val="16"/>
        </w:rPr>
        <w:t>courts</w:t>
      </w:r>
      <w:r>
        <w:rPr>
          <w:color w:val="231F20"/>
          <w:spacing w:val="-20"/>
          <w:sz w:val="16"/>
        </w:rPr>
        <w:t> </w:t>
      </w:r>
      <w:r>
        <w:rPr>
          <w:color w:val="231F20"/>
          <w:sz w:val="16"/>
        </w:rPr>
        <w:t>have</w:t>
      </w:r>
      <w:r>
        <w:rPr>
          <w:color w:val="231F20"/>
          <w:spacing w:val="-20"/>
          <w:sz w:val="16"/>
        </w:rPr>
        <w:t> </w:t>
      </w:r>
      <w:r>
        <w:rPr>
          <w:color w:val="231F20"/>
          <w:sz w:val="16"/>
        </w:rPr>
        <w:t>held</w:t>
      </w:r>
      <w:r>
        <w:rPr>
          <w:color w:val="231F20"/>
          <w:spacing w:val="-20"/>
          <w:sz w:val="16"/>
        </w:rPr>
        <w:t> </w:t>
      </w:r>
      <w:r>
        <w:rPr>
          <w:color w:val="231F20"/>
          <w:sz w:val="16"/>
        </w:rPr>
        <w:t>directors</w:t>
      </w:r>
      <w:r>
        <w:rPr>
          <w:color w:val="231F20"/>
          <w:spacing w:val="-20"/>
          <w:sz w:val="16"/>
        </w:rPr>
        <w:t> </w:t>
      </w:r>
      <w:r>
        <w:rPr>
          <w:color w:val="231F20"/>
          <w:sz w:val="16"/>
        </w:rPr>
        <w:t>personally</w:t>
      </w:r>
      <w:r>
        <w:rPr>
          <w:color w:val="231F20"/>
          <w:spacing w:val="-20"/>
          <w:sz w:val="16"/>
        </w:rPr>
        <w:t> </w:t>
      </w:r>
      <w:r>
        <w:rPr>
          <w:color w:val="231F20"/>
          <w:sz w:val="16"/>
        </w:rPr>
        <w:t>liable</w:t>
      </w:r>
      <w:r>
        <w:rPr>
          <w:color w:val="231F20"/>
          <w:spacing w:val="-20"/>
          <w:sz w:val="16"/>
        </w:rPr>
        <w:t> </w:t>
      </w:r>
      <w:r>
        <w:rPr>
          <w:color w:val="231F20"/>
          <w:sz w:val="16"/>
        </w:rPr>
        <w:t>for</w:t>
      </w:r>
      <w:r>
        <w:rPr>
          <w:color w:val="231F20"/>
          <w:spacing w:val="-20"/>
          <w:sz w:val="16"/>
        </w:rPr>
        <w:t> </w:t>
      </w:r>
      <w:r>
        <w:rPr>
          <w:color w:val="231F20"/>
          <w:sz w:val="16"/>
        </w:rPr>
        <w:t>providing</w:t>
      </w:r>
      <w:r>
        <w:rPr>
          <w:color w:val="231F20"/>
          <w:spacing w:val="-20"/>
          <w:sz w:val="16"/>
        </w:rPr>
        <w:t> </w:t>
      </w:r>
      <w:r>
        <w:rPr>
          <w:color w:val="231F20"/>
          <w:sz w:val="16"/>
        </w:rPr>
        <w:t>misleading</w:t>
      </w:r>
      <w:r>
        <w:rPr>
          <w:color w:val="231F20"/>
          <w:spacing w:val="-20"/>
          <w:sz w:val="16"/>
        </w:rPr>
        <w:t> </w:t>
      </w:r>
      <w:r>
        <w:rPr>
          <w:color w:val="231F20"/>
          <w:sz w:val="16"/>
        </w:rPr>
        <w:t>information and gross negligence (e.g., see </w:t>
      </w:r>
      <w:r>
        <w:rPr>
          <w:i/>
          <w:color w:val="231F20"/>
          <w:sz w:val="16"/>
        </w:rPr>
        <w:t>Escott </w:t>
      </w:r>
      <w:r>
        <w:rPr>
          <w:i/>
          <w:color w:val="231F20"/>
          <w:spacing w:val="-4"/>
          <w:sz w:val="16"/>
        </w:rPr>
        <w:t>v. </w:t>
      </w:r>
      <w:r>
        <w:rPr>
          <w:i/>
          <w:color w:val="231F20"/>
          <w:sz w:val="16"/>
        </w:rPr>
        <w:t>Barchris </w:t>
      </w:r>
      <w:r>
        <w:rPr>
          <w:i/>
          <w:color w:val="231F20"/>
          <w:spacing w:val="-3"/>
          <w:sz w:val="16"/>
        </w:rPr>
        <w:t>Constr. </w:t>
      </w:r>
      <w:r>
        <w:rPr>
          <w:i/>
          <w:color w:val="231F20"/>
          <w:sz w:val="16"/>
        </w:rPr>
        <w:t>Corp. </w:t>
      </w:r>
      <w:r>
        <w:rPr>
          <w:color w:val="231F20"/>
          <w:sz w:val="16"/>
        </w:rPr>
        <w:t>283 </w:t>
      </w:r>
      <w:r>
        <w:rPr>
          <w:color w:val="231F20"/>
          <w:spacing w:val="-8"/>
          <w:sz w:val="16"/>
        </w:rPr>
        <w:t>F. </w:t>
      </w:r>
      <w:r>
        <w:rPr>
          <w:color w:val="231F20"/>
          <w:sz w:val="16"/>
        </w:rPr>
        <w:t>Supp. 643, </w:t>
      </w:r>
      <w:r>
        <w:rPr>
          <w:color w:val="231F20"/>
          <w:spacing w:val="-3"/>
          <w:sz w:val="16"/>
        </w:rPr>
        <w:t>S.D.N.Y. </w:t>
      </w:r>
      <w:r>
        <w:rPr>
          <w:color w:val="231F20"/>
          <w:sz w:val="16"/>
        </w:rPr>
        <w:t>1968 and </w:t>
      </w:r>
      <w:r>
        <w:rPr>
          <w:i/>
          <w:color w:val="231F20"/>
          <w:sz w:val="16"/>
        </w:rPr>
        <w:t>Smith </w:t>
      </w:r>
      <w:r>
        <w:rPr>
          <w:i/>
          <w:color w:val="231F20"/>
          <w:spacing w:val="-4"/>
          <w:sz w:val="16"/>
        </w:rPr>
        <w:t>v. Van </w:t>
      </w:r>
      <w:r>
        <w:rPr>
          <w:i/>
          <w:color w:val="231F20"/>
          <w:sz w:val="16"/>
        </w:rPr>
        <w:t>Gorkom </w:t>
      </w:r>
      <w:r>
        <w:rPr>
          <w:color w:val="231F20"/>
          <w:sz w:val="16"/>
        </w:rPr>
        <w:t>488 A.2d 858, 3 EXC 112, Del. 1985). More </w:t>
      </w:r>
      <w:r>
        <w:rPr>
          <w:color w:val="231F20"/>
          <w:spacing w:val="-3"/>
          <w:sz w:val="16"/>
        </w:rPr>
        <w:t>recently, </w:t>
      </w:r>
      <w:r>
        <w:rPr>
          <w:color w:val="231F20"/>
          <w:sz w:val="16"/>
        </w:rPr>
        <w:t>directors of Enron</w:t>
      </w:r>
      <w:r>
        <w:rPr>
          <w:color w:val="231F20"/>
          <w:spacing w:val="-10"/>
          <w:sz w:val="16"/>
        </w:rPr>
        <w:t> </w:t>
      </w:r>
      <w:r>
        <w:rPr>
          <w:color w:val="231F20"/>
          <w:sz w:val="16"/>
        </w:rPr>
        <w:t>and</w:t>
      </w:r>
      <w:r>
        <w:rPr>
          <w:color w:val="231F20"/>
          <w:spacing w:val="-10"/>
          <w:sz w:val="16"/>
        </w:rPr>
        <w:t> </w:t>
      </w:r>
      <w:r>
        <w:rPr>
          <w:color w:val="231F20"/>
          <w:sz w:val="16"/>
        </w:rPr>
        <w:t>Worldcom</w:t>
      </w:r>
      <w:r>
        <w:rPr>
          <w:color w:val="231F20"/>
          <w:spacing w:val="-10"/>
          <w:sz w:val="16"/>
        </w:rPr>
        <w:t> </w:t>
      </w:r>
      <w:r>
        <w:rPr>
          <w:color w:val="231F20"/>
          <w:sz w:val="16"/>
        </w:rPr>
        <w:t>paid</w:t>
      </w:r>
      <w:r>
        <w:rPr>
          <w:color w:val="231F20"/>
          <w:spacing w:val="-10"/>
          <w:sz w:val="16"/>
        </w:rPr>
        <w:t> </w:t>
      </w:r>
      <w:r>
        <w:rPr>
          <w:color w:val="231F20"/>
          <w:sz w:val="16"/>
        </w:rPr>
        <w:t>out</w:t>
      </w:r>
      <w:r>
        <w:rPr>
          <w:color w:val="231F20"/>
          <w:spacing w:val="-10"/>
          <w:sz w:val="16"/>
        </w:rPr>
        <w:t> </w:t>
      </w:r>
      <w:r>
        <w:rPr>
          <w:color w:val="231F20"/>
          <w:sz w:val="16"/>
        </w:rPr>
        <w:t>of</w:t>
      </w:r>
      <w:r>
        <w:rPr>
          <w:color w:val="231F20"/>
          <w:spacing w:val="-10"/>
          <w:sz w:val="16"/>
        </w:rPr>
        <w:t> </w:t>
      </w:r>
      <w:r>
        <w:rPr>
          <w:color w:val="231F20"/>
          <w:sz w:val="16"/>
        </w:rPr>
        <w:t>their</w:t>
      </w:r>
      <w:r>
        <w:rPr>
          <w:color w:val="231F20"/>
          <w:spacing w:val="-10"/>
          <w:sz w:val="16"/>
        </w:rPr>
        <w:t> </w:t>
      </w:r>
      <w:r>
        <w:rPr>
          <w:color w:val="231F20"/>
          <w:sz w:val="16"/>
        </w:rPr>
        <w:t>pockets</w:t>
      </w:r>
      <w:r>
        <w:rPr>
          <w:color w:val="231F20"/>
          <w:spacing w:val="-10"/>
          <w:sz w:val="16"/>
        </w:rPr>
        <w:t> </w:t>
      </w:r>
      <w:r>
        <w:rPr>
          <w:color w:val="231F20"/>
          <w:sz w:val="16"/>
        </w:rPr>
        <w:t>as</w:t>
      </w:r>
      <w:r>
        <w:rPr>
          <w:color w:val="231F20"/>
          <w:spacing w:val="-10"/>
          <w:sz w:val="16"/>
        </w:rPr>
        <w:t> </w:t>
      </w:r>
      <w:r>
        <w:rPr>
          <w:color w:val="231F20"/>
          <w:sz w:val="16"/>
        </w:rPr>
        <w:t>part</w:t>
      </w:r>
      <w:r>
        <w:rPr>
          <w:color w:val="231F20"/>
          <w:spacing w:val="-10"/>
          <w:sz w:val="16"/>
        </w:rPr>
        <w:t> </w:t>
      </w:r>
      <w:r>
        <w:rPr>
          <w:color w:val="231F20"/>
          <w:sz w:val="16"/>
        </w:rPr>
        <w:t>of</w:t>
      </w:r>
      <w:r>
        <w:rPr>
          <w:color w:val="231F20"/>
          <w:spacing w:val="-10"/>
          <w:sz w:val="16"/>
        </w:rPr>
        <w:t> </w:t>
      </w:r>
      <w:r>
        <w:rPr>
          <w:color w:val="231F20"/>
          <w:sz w:val="16"/>
        </w:rPr>
        <w:t>the</w:t>
      </w:r>
      <w:r>
        <w:rPr>
          <w:color w:val="231F20"/>
          <w:spacing w:val="-10"/>
          <w:sz w:val="16"/>
        </w:rPr>
        <w:t> </w:t>
      </w:r>
      <w:r>
        <w:rPr>
          <w:color w:val="231F20"/>
          <w:sz w:val="16"/>
        </w:rPr>
        <w:t>settlement</w:t>
      </w:r>
      <w:r>
        <w:rPr>
          <w:color w:val="231F20"/>
          <w:spacing w:val="-10"/>
          <w:sz w:val="16"/>
        </w:rPr>
        <w:t> </w:t>
      </w:r>
      <w:r>
        <w:rPr>
          <w:color w:val="231F20"/>
          <w:sz w:val="16"/>
        </w:rPr>
        <w:t>(see</w:t>
      </w:r>
      <w:r>
        <w:rPr>
          <w:color w:val="231F20"/>
          <w:spacing w:val="-11"/>
          <w:sz w:val="16"/>
        </w:rPr>
        <w:t> </w:t>
      </w:r>
      <w:r>
        <w:rPr>
          <w:i/>
          <w:color w:val="231F20"/>
          <w:sz w:val="16"/>
        </w:rPr>
        <w:t>In</w:t>
      </w:r>
      <w:r>
        <w:rPr>
          <w:i/>
          <w:color w:val="231F20"/>
          <w:spacing w:val="-10"/>
          <w:sz w:val="16"/>
        </w:rPr>
        <w:t> </w:t>
      </w:r>
      <w:r>
        <w:rPr>
          <w:i/>
          <w:color w:val="231F20"/>
          <w:sz w:val="16"/>
        </w:rPr>
        <w:t>re</w:t>
      </w:r>
      <w:r>
        <w:rPr>
          <w:i/>
          <w:color w:val="231F20"/>
          <w:spacing w:val="-10"/>
          <w:sz w:val="16"/>
        </w:rPr>
        <w:t> </w:t>
      </w:r>
      <w:r>
        <w:rPr>
          <w:i/>
          <w:color w:val="231F20"/>
          <w:sz w:val="16"/>
        </w:rPr>
        <w:t>Enron</w:t>
      </w:r>
      <w:r>
        <w:rPr>
          <w:i/>
          <w:color w:val="231F20"/>
          <w:spacing w:val="-10"/>
          <w:sz w:val="16"/>
        </w:rPr>
        <w:t> </w:t>
      </w:r>
      <w:r>
        <w:rPr>
          <w:i/>
          <w:color w:val="231F20"/>
          <w:sz w:val="16"/>
        </w:rPr>
        <w:t>Corp., </w:t>
      </w:r>
      <w:r>
        <w:rPr>
          <w:color w:val="231F20"/>
          <w:sz w:val="16"/>
        </w:rPr>
        <w:t>Sec., Derivative &amp; ERISA Litig., 391 </w:t>
      </w:r>
      <w:r>
        <w:rPr>
          <w:color w:val="231F20"/>
          <w:spacing w:val="-8"/>
          <w:sz w:val="16"/>
        </w:rPr>
        <w:t>F. </w:t>
      </w:r>
      <w:r>
        <w:rPr>
          <w:color w:val="231F20"/>
          <w:sz w:val="16"/>
        </w:rPr>
        <w:t>Supp. 2d 541, S.D. </w:t>
      </w:r>
      <w:r>
        <w:rPr>
          <w:color w:val="231F20"/>
          <w:spacing w:val="-5"/>
          <w:sz w:val="16"/>
        </w:rPr>
        <w:t>Tex. </w:t>
      </w:r>
      <w:r>
        <w:rPr>
          <w:color w:val="231F20"/>
          <w:sz w:val="16"/>
        </w:rPr>
        <w:t>2005 and </w:t>
      </w:r>
      <w:r>
        <w:rPr>
          <w:i/>
          <w:color w:val="231F20"/>
          <w:sz w:val="16"/>
        </w:rPr>
        <w:t>In re WorldCom, Inc. </w:t>
      </w:r>
      <w:r>
        <w:rPr>
          <w:color w:val="231F20"/>
          <w:sz w:val="16"/>
        </w:rPr>
        <w:t>Sec. Litig., 388 </w:t>
      </w:r>
      <w:r>
        <w:rPr>
          <w:color w:val="231F20"/>
          <w:spacing w:val="-8"/>
          <w:sz w:val="16"/>
        </w:rPr>
        <w:t>F. </w:t>
      </w:r>
      <w:r>
        <w:rPr>
          <w:color w:val="231F20"/>
          <w:sz w:val="16"/>
        </w:rPr>
        <w:t>Supp. 2d 319, S.D. </w:t>
      </w:r>
      <w:r>
        <w:rPr>
          <w:color w:val="231F20"/>
          <w:spacing w:val="-5"/>
          <w:sz w:val="16"/>
        </w:rPr>
        <w:t>N.Y.</w:t>
      </w:r>
      <w:r>
        <w:rPr>
          <w:color w:val="231F20"/>
          <w:spacing w:val="13"/>
          <w:sz w:val="16"/>
        </w:rPr>
        <w:t> </w:t>
      </w:r>
      <w:r>
        <w:rPr>
          <w:color w:val="231F20"/>
          <w:sz w:val="16"/>
        </w:rPr>
        <w:t>2005).</w:t>
      </w:r>
    </w:p>
    <w:p>
      <w:pPr>
        <w:spacing w:after="0"/>
        <w:jc w:val="both"/>
        <w:rPr>
          <w:sz w:val="16"/>
        </w:rPr>
        <w:sectPr>
          <w:pgSz w:w="9720" w:h="14400"/>
          <w:pgMar w:header="1057" w:footer="0" w:top="1300" w:bottom="280" w:left="1280" w:right="1300"/>
        </w:sectPr>
      </w:pPr>
    </w:p>
    <w:p>
      <w:pPr>
        <w:pStyle w:val="BodyText"/>
        <w:spacing w:line="230" w:lineRule="auto" w:before="186"/>
        <w:ind w:left="162" w:right="519"/>
        <w:jc w:val="both"/>
      </w:pPr>
      <w:r>
        <w:rPr/>
        <w:t>monitoring financial reporting decisions (Ahmed and Duellman [2007], Krishnan and Visvanathan [2008], Cohen et al. [2014]).</w:t>
      </w:r>
      <w:r>
        <w:rPr>
          <w:color w:val="231F20"/>
          <w:position w:val="7"/>
          <w:sz w:val="14"/>
        </w:rPr>
        <w:t>11 </w:t>
      </w:r>
      <w:r>
        <w:rPr/>
        <w:t>Therefore, if the observed</w:t>
      </w:r>
      <w:r>
        <w:rPr>
          <w:spacing w:val="-26"/>
        </w:rPr>
        <w:t> </w:t>
      </w:r>
      <w:r>
        <w:rPr/>
        <w:t>changes</w:t>
      </w:r>
      <w:r>
        <w:rPr>
          <w:spacing w:val="-26"/>
        </w:rPr>
        <w:t> </w:t>
      </w:r>
      <w:r>
        <w:rPr/>
        <w:t>in</w:t>
      </w:r>
      <w:r>
        <w:rPr>
          <w:spacing w:val="-26"/>
        </w:rPr>
        <w:t> </w:t>
      </w:r>
      <w:r>
        <w:rPr/>
        <w:t>conservatism</w:t>
      </w:r>
      <w:r>
        <w:rPr>
          <w:spacing w:val="-26"/>
        </w:rPr>
        <w:t> </w:t>
      </w:r>
      <w:r>
        <w:rPr/>
        <w:t>in</w:t>
      </w:r>
      <w:r>
        <w:rPr>
          <w:spacing w:val="-26"/>
        </w:rPr>
        <w:t> </w:t>
      </w:r>
      <w:r>
        <w:rPr/>
        <w:t>near</w:t>
      </w:r>
      <w:r>
        <w:rPr>
          <w:spacing w:val="-26"/>
        </w:rPr>
        <w:t> </w:t>
      </w:r>
      <w:r>
        <w:rPr/>
        <w:t>insolvent</w:t>
      </w:r>
      <w:r>
        <w:rPr>
          <w:spacing w:val="-26"/>
        </w:rPr>
        <w:t> </w:t>
      </w:r>
      <w:r>
        <w:rPr/>
        <w:t>Delaware</w:t>
      </w:r>
      <w:r>
        <w:rPr>
          <w:spacing w:val="-26"/>
        </w:rPr>
        <w:t> </w:t>
      </w:r>
      <w:r>
        <w:rPr/>
        <w:t>firms</w:t>
      </w:r>
      <w:r>
        <w:rPr>
          <w:spacing w:val="-26"/>
        </w:rPr>
        <w:t> </w:t>
      </w:r>
      <w:r>
        <w:rPr/>
        <w:t>are</w:t>
      </w:r>
      <w:r>
        <w:rPr>
          <w:spacing w:val="-26"/>
        </w:rPr>
        <w:t> </w:t>
      </w:r>
      <w:r>
        <w:rPr/>
        <w:t>due to the effects of the court ruling, we expect firms with stronger boards to be more likely to respond to the expanded fiduciary obligations implied by</w:t>
      </w:r>
      <w:r>
        <w:rPr>
          <w:spacing w:val="-5"/>
        </w:rPr>
        <w:t> </w:t>
      </w:r>
      <w:r>
        <w:rPr/>
        <w:t>the</w:t>
      </w:r>
      <w:r>
        <w:rPr>
          <w:spacing w:val="-5"/>
        </w:rPr>
        <w:t> </w:t>
      </w:r>
      <w:r>
        <w:rPr/>
        <w:t>court</w:t>
      </w:r>
      <w:r>
        <w:rPr>
          <w:spacing w:val="-5"/>
        </w:rPr>
        <w:t> </w:t>
      </w:r>
      <w:r>
        <w:rPr/>
        <w:t>ruling</w:t>
      </w:r>
      <w:r>
        <w:rPr>
          <w:spacing w:val="-5"/>
        </w:rPr>
        <w:t> </w:t>
      </w:r>
      <w:r>
        <w:rPr/>
        <w:t>and</w:t>
      </w:r>
      <w:r>
        <w:rPr>
          <w:spacing w:val="-5"/>
        </w:rPr>
        <w:t> </w:t>
      </w:r>
      <w:r>
        <w:rPr/>
        <w:t>pay</w:t>
      </w:r>
      <w:r>
        <w:rPr>
          <w:spacing w:val="-5"/>
        </w:rPr>
        <w:t> </w:t>
      </w:r>
      <w:r>
        <w:rPr/>
        <w:t>more</w:t>
      </w:r>
      <w:r>
        <w:rPr>
          <w:spacing w:val="-5"/>
        </w:rPr>
        <w:t> </w:t>
      </w:r>
      <w:r>
        <w:rPr/>
        <w:t>attention</w:t>
      </w:r>
      <w:r>
        <w:rPr>
          <w:spacing w:val="-5"/>
        </w:rPr>
        <w:t> </w:t>
      </w:r>
      <w:r>
        <w:rPr/>
        <w:t>to</w:t>
      </w:r>
      <w:r>
        <w:rPr>
          <w:spacing w:val="-5"/>
        </w:rPr>
        <w:t> </w:t>
      </w:r>
      <w:r>
        <w:rPr/>
        <w:t>debtholder</w:t>
      </w:r>
      <w:r>
        <w:rPr>
          <w:spacing w:val="-5"/>
        </w:rPr>
        <w:t> </w:t>
      </w:r>
      <w:r>
        <w:rPr/>
        <w:t>interests,</w:t>
      </w:r>
      <w:r>
        <w:rPr>
          <w:spacing w:val="-5"/>
        </w:rPr>
        <w:t> </w:t>
      </w:r>
      <w:r>
        <w:rPr/>
        <w:t>which would result in a more pronounced change in conservatism among near insolvent Delaware firms with stronger</w:t>
      </w:r>
      <w:r>
        <w:rPr>
          <w:spacing w:val="-12"/>
        </w:rPr>
        <w:t> </w:t>
      </w:r>
      <w:r>
        <w:rPr/>
        <w:t>boards.</w:t>
      </w:r>
    </w:p>
    <w:p>
      <w:pPr>
        <w:pStyle w:val="BodyText"/>
        <w:spacing w:before="11"/>
        <w:rPr>
          <w:sz w:val="21"/>
        </w:rPr>
      </w:pPr>
    </w:p>
    <w:p>
      <w:pPr>
        <w:pStyle w:val="Heading1"/>
        <w:numPr>
          <w:ilvl w:val="0"/>
          <w:numId w:val="1"/>
        </w:numPr>
        <w:tabs>
          <w:tab w:pos="474" w:val="left" w:leader="none"/>
        </w:tabs>
        <w:spacing w:line="240" w:lineRule="auto" w:before="0" w:after="0"/>
        <w:ind w:left="473" w:right="0" w:hanging="311"/>
        <w:jc w:val="left"/>
        <w:rPr>
          <w:i/>
        </w:rPr>
      </w:pPr>
      <w:r>
        <w:rPr>
          <w:i/>
        </w:rPr>
        <w:t>Research Design</w:t>
      </w:r>
    </w:p>
    <w:p>
      <w:pPr>
        <w:pStyle w:val="BodyText"/>
        <w:spacing w:line="230" w:lineRule="auto" w:before="147"/>
        <w:ind w:left="162" w:right="519" w:firstLine="199"/>
        <w:jc w:val="both"/>
      </w:pPr>
      <w:r>
        <w:rPr/>
        <w:t>This</w:t>
      </w:r>
      <w:r>
        <w:rPr>
          <w:spacing w:val="-16"/>
        </w:rPr>
        <w:t> </w:t>
      </w:r>
      <w:r>
        <w:rPr/>
        <w:t>section</w:t>
      </w:r>
      <w:r>
        <w:rPr>
          <w:spacing w:val="-16"/>
        </w:rPr>
        <w:t> </w:t>
      </w:r>
      <w:r>
        <w:rPr/>
        <w:t>presents</w:t>
      </w:r>
      <w:r>
        <w:rPr>
          <w:spacing w:val="-16"/>
        </w:rPr>
        <w:t> </w:t>
      </w:r>
      <w:r>
        <w:rPr/>
        <w:t>the</w:t>
      </w:r>
      <w:r>
        <w:rPr>
          <w:spacing w:val="-16"/>
        </w:rPr>
        <w:t> </w:t>
      </w:r>
      <w:r>
        <w:rPr/>
        <w:t>discussion</w:t>
      </w:r>
      <w:r>
        <w:rPr>
          <w:spacing w:val="-16"/>
        </w:rPr>
        <w:t> </w:t>
      </w:r>
      <w:r>
        <w:rPr/>
        <w:t>on</w:t>
      </w:r>
      <w:r>
        <w:rPr>
          <w:spacing w:val="-16"/>
        </w:rPr>
        <w:t> </w:t>
      </w:r>
      <w:r>
        <w:rPr/>
        <w:t>variable</w:t>
      </w:r>
      <w:r>
        <w:rPr>
          <w:spacing w:val="-16"/>
        </w:rPr>
        <w:t> </w:t>
      </w:r>
      <w:r>
        <w:rPr/>
        <w:t>measurement,</w:t>
      </w:r>
      <w:r>
        <w:rPr>
          <w:spacing w:val="-16"/>
        </w:rPr>
        <w:t> </w:t>
      </w:r>
      <w:r>
        <w:rPr/>
        <w:t>empirical model specifications, and estimation methods. Detailed definitions of all key variables are given in the</w:t>
      </w:r>
      <w:r>
        <w:rPr>
          <w:spacing w:val="-8"/>
        </w:rPr>
        <w:t> </w:t>
      </w:r>
      <w:r>
        <w:rPr/>
        <w:t>appendix.</w:t>
      </w:r>
    </w:p>
    <w:p>
      <w:pPr>
        <w:pStyle w:val="ListParagraph"/>
        <w:numPr>
          <w:ilvl w:val="1"/>
          <w:numId w:val="1"/>
        </w:numPr>
        <w:tabs>
          <w:tab w:pos="540" w:val="left" w:leader="none"/>
        </w:tabs>
        <w:spacing w:line="240" w:lineRule="auto" w:before="144" w:after="0"/>
        <w:ind w:left="532" w:right="0" w:hanging="370"/>
        <w:jc w:val="left"/>
        <w:rPr>
          <w:sz w:val="16"/>
        </w:rPr>
      </w:pPr>
      <w:r>
        <w:rPr>
          <w:w w:val="105"/>
          <w:sz w:val="16"/>
        </w:rPr>
        <w:t>EFFECT OF THE COURT RULING ON ACCOUNTING</w:t>
      </w:r>
      <w:r>
        <w:rPr>
          <w:spacing w:val="13"/>
          <w:w w:val="105"/>
          <w:sz w:val="16"/>
        </w:rPr>
        <w:t> </w:t>
      </w:r>
      <w:r>
        <w:rPr>
          <w:w w:val="105"/>
          <w:sz w:val="16"/>
        </w:rPr>
        <w:t>CONSERVATISM</w:t>
      </w:r>
    </w:p>
    <w:p>
      <w:pPr>
        <w:pStyle w:val="BodyText"/>
        <w:spacing w:line="230" w:lineRule="auto" w:before="75"/>
        <w:ind w:left="162" w:right="518" w:firstLine="199"/>
        <w:jc w:val="both"/>
      </w:pPr>
      <w:r>
        <w:rPr>
          <w:spacing w:val="-6"/>
        </w:rPr>
        <w:t>We</w:t>
      </w:r>
      <w:r>
        <w:rPr>
          <w:spacing w:val="-17"/>
        </w:rPr>
        <w:t> </w:t>
      </w:r>
      <w:r>
        <w:rPr/>
        <w:t>follow</w:t>
      </w:r>
      <w:r>
        <w:rPr>
          <w:spacing w:val="-17"/>
        </w:rPr>
        <w:t> </w:t>
      </w:r>
      <w:r>
        <w:rPr/>
        <w:t>a</w:t>
      </w:r>
      <w:r>
        <w:rPr>
          <w:spacing w:val="-17"/>
        </w:rPr>
        <w:t> </w:t>
      </w:r>
      <w:r>
        <w:rPr/>
        <w:t>difference-in-differences</w:t>
      </w:r>
      <w:r>
        <w:rPr>
          <w:spacing w:val="-17"/>
        </w:rPr>
        <w:t> </w:t>
      </w:r>
      <w:r>
        <w:rPr/>
        <w:t>approach</w:t>
      </w:r>
      <w:r>
        <w:rPr>
          <w:spacing w:val="-17"/>
        </w:rPr>
        <w:t> </w:t>
      </w:r>
      <w:r>
        <w:rPr/>
        <w:t>across</w:t>
      </w:r>
      <w:r>
        <w:rPr>
          <w:spacing w:val="-17"/>
        </w:rPr>
        <w:t> </w:t>
      </w:r>
      <w:r>
        <w:rPr/>
        <w:t>three</w:t>
      </w:r>
      <w:r>
        <w:rPr>
          <w:spacing w:val="-17"/>
        </w:rPr>
        <w:t> </w:t>
      </w:r>
      <w:r>
        <w:rPr/>
        <w:t>dimensions, </w:t>
      </w:r>
      <w:r>
        <w:rPr>
          <w:spacing w:val="-3"/>
        </w:rPr>
        <w:t>namely,</w:t>
      </w:r>
      <w:r>
        <w:rPr>
          <w:spacing w:val="-16"/>
        </w:rPr>
        <w:t> </w:t>
      </w:r>
      <w:r>
        <w:rPr/>
        <w:t>state</w:t>
      </w:r>
      <w:r>
        <w:rPr>
          <w:spacing w:val="-16"/>
        </w:rPr>
        <w:t> </w:t>
      </w:r>
      <w:r>
        <w:rPr/>
        <w:t>of</w:t>
      </w:r>
      <w:r>
        <w:rPr>
          <w:spacing w:val="-16"/>
        </w:rPr>
        <w:t> </w:t>
      </w:r>
      <w:r>
        <w:rPr/>
        <w:t>incorporation,</w:t>
      </w:r>
      <w:r>
        <w:rPr>
          <w:spacing w:val="-16"/>
        </w:rPr>
        <w:t> </w:t>
      </w:r>
      <w:r>
        <w:rPr/>
        <w:t>near</w:t>
      </w:r>
      <w:r>
        <w:rPr>
          <w:spacing w:val="-16"/>
        </w:rPr>
        <w:t> </w:t>
      </w:r>
      <w:r>
        <w:rPr/>
        <w:t>insolvency</w:t>
      </w:r>
      <w:r>
        <w:rPr>
          <w:spacing w:val="-16"/>
        </w:rPr>
        <w:t> </w:t>
      </w:r>
      <w:r>
        <w:rPr/>
        <w:t>status,</w:t>
      </w:r>
      <w:r>
        <w:rPr>
          <w:spacing w:val="-16"/>
        </w:rPr>
        <w:t> </w:t>
      </w:r>
      <w:r>
        <w:rPr/>
        <w:t>and</w:t>
      </w:r>
      <w:r>
        <w:rPr>
          <w:spacing w:val="-16"/>
        </w:rPr>
        <w:t> </w:t>
      </w:r>
      <w:r>
        <w:rPr/>
        <w:t>court</w:t>
      </w:r>
      <w:r>
        <w:rPr>
          <w:spacing w:val="-16"/>
        </w:rPr>
        <w:t> </w:t>
      </w:r>
      <w:r>
        <w:rPr/>
        <w:t>ruling</w:t>
      </w:r>
      <w:r>
        <w:rPr>
          <w:spacing w:val="-16"/>
        </w:rPr>
        <w:t> </w:t>
      </w:r>
      <w:r>
        <w:rPr/>
        <w:t>pe- riod</w:t>
      </w:r>
      <w:r>
        <w:rPr>
          <w:spacing w:val="-7"/>
        </w:rPr>
        <w:t> </w:t>
      </w:r>
      <w:r>
        <w:rPr/>
        <w:t>to</w:t>
      </w:r>
      <w:r>
        <w:rPr>
          <w:spacing w:val="-6"/>
        </w:rPr>
        <w:t> </w:t>
      </w:r>
      <w:r>
        <w:rPr/>
        <w:t>explore</w:t>
      </w:r>
      <w:r>
        <w:rPr>
          <w:spacing w:val="-6"/>
        </w:rPr>
        <w:t> </w:t>
      </w:r>
      <w:r>
        <w:rPr/>
        <w:t>the</w:t>
      </w:r>
      <w:r>
        <w:rPr>
          <w:spacing w:val="-6"/>
        </w:rPr>
        <w:t> </w:t>
      </w:r>
      <w:r>
        <w:rPr/>
        <w:t>differential</w:t>
      </w:r>
      <w:r>
        <w:rPr>
          <w:spacing w:val="-6"/>
        </w:rPr>
        <w:t> </w:t>
      </w:r>
      <w:r>
        <w:rPr/>
        <w:t>post-ruling</w:t>
      </w:r>
      <w:r>
        <w:rPr>
          <w:spacing w:val="-6"/>
        </w:rPr>
        <w:t> </w:t>
      </w:r>
      <w:r>
        <w:rPr/>
        <w:t>changes</w:t>
      </w:r>
      <w:r>
        <w:rPr>
          <w:spacing w:val="-6"/>
        </w:rPr>
        <w:t> </w:t>
      </w:r>
      <w:r>
        <w:rPr/>
        <w:t>in</w:t>
      </w:r>
      <w:r>
        <w:rPr>
          <w:spacing w:val="-6"/>
        </w:rPr>
        <w:t> </w:t>
      </w:r>
      <w:r>
        <w:rPr/>
        <w:t>conservatism</w:t>
      </w:r>
      <w:r>
        <w:rPr>
          <w:spacing w:val="-6"/>
        </w:rPr>
        <w:t> </w:t>
      </w:r>
      <w:r>
        <w:rPr/>
        <w:t>across treatment and control groups. Specifically, we first examine (i) the pre– post</w:t>
      </w:r>
      <w:r>
        <w:rPr>
          <w:spacing w:val="-13"/>
        </w:rPr>
        <w:t> </w:t>
      </w:r>
      <w:r>
        <w:rPr/>
        <w:t>difference</w:t>
      </w:r>
      <w:r>
        <w:rPr>
          <w:spacing w:val="-13"/>
        </w:rPr>
        <w:t> </w:t>
      </w:r>
      <w:r>
        <w:rPr/>
        <w:t>in</w:t>
      </w:r>
      <w:r>
        <w:rPr>
          <w:spacing w:val="-13"/>
        </w:rPr>
        <w:t> </w:t>
      </w:r>
      <w:r>
        <w:rPr/>
        <w:t>conservatism</w:t>
      </w:r>
      <w:r>
        <w:rPr>
          <w:spacing w:val="-13"/>
        </w:rPr>
        <w:t> </w:t>
      </w:r>
      <w:r>
        <w:rPr/>
        <w:t>for</w:t>
      </w:r>
      <w:r>
        <w:rPr>
          <w:spacing w:val="-13"/>
        </w:rPr>
        <w:t> </w:t>
      </w:r>
      <w:r>
        <w:rPr/>
        <w:t>near</w:t>
      </w:r>
      <w:r>
        <w:rPr>
          <w:spacing w:val="-13"/>
        </w:rPr>
        <w:t> </w:t>
      </w:r>
      <w:r>
        <w:rPr/>
        <w:t>insolvency</w:t>
      </w:r>
      <w:r>
        <w:rPr>
          <w:spacing w:val="-13"/>
        </w:rPr>
        <w:t> </w:t>
      </w:r>
      <w:r>
        <w:rPr/>
        <w:t>firms</w:t>
      </w:r>
      <w:r>
        <w:rPr>
          <w:spacing w:val="-13"/>
        </w:rPr>
        <w:t> </w:t>
      </w:r>
      <w:r>
        <w:rPr/>
        <w:t>in</w:t>
      </w:r>
      <w:r>
        <w:rPr>
          <w:spacing w:val="-13"/>
        </w:rPr>
        <w:t> </w:t>
      </w:r>
      <w:r>
        <w:rPr/>
        <w:t>Delaware</w:t>
      </w:r>
      <w:r>
        <w:rPr>
          <w:spacing w:val="-13"/>
        </w:rPr>
        <w:t> </w:t>
      </w:r>
      <w:r>
        <w:rPr/>
        <w:t>ver- sus in other states and (ii) the pre–post difference in conservatism for Delaware</w:t>
      </w:r>
      <w:r>
        <w:rPr>
          <w:spacing w:val="-26"/>
        </w:rPr>
        <w:t> </w:t>
      </w:r>
      <w:r>
        <w:rPr/>
        <w:t>near</w:t>
      </w:r>
      <w:r>
        <w:rPr>
          <w:spacing w:val="-26"/>
        </w:rPr>
        <w:t> </w:t>
      </w:r>
      <w:r>
        <w:rPr/>
        <w:t>insolvent</w:t>
      </w:r>
      <w:r>
        <w:rPr>
          <w:spacing w:val="-27"/>
        </w:rPr>
        <w:t> </w:t>
      </w:r>
      <w:r>
        <w:rPr/>
        <w:t>versus</w:t>
      </w:r>
      <w:r>
        <w:rPr>
          <w:spacing w:val="-27"/>
        </w:rPr>
        <w:t> </w:t>
      </w:r>
      <w:r>
        <w:rPr/>
        <w:t>Delaware</w:t>
      </w:r>
      <w:r>
        <w:rPr>
          <w:spacing w:val="-26"/>
        </w:rPr>
        <w:t> </w:t>
      </w:r>
      <w:r>
        <w:rPr/>
        <w:t>non-near</w:t>
      </w:r>
      <w:r>
        <w:rPr>
          <w:spacing w:val="-26"/>
        </w:rPr>
        <w:t> </w:t>
      </w:r>
      <w:r>
        <w:rPr/>
        <w:t>insolvent</w:t>
      </w:r>
      <w:r>
        <w:rPr>
          <w:spacing w:val="-27"/>
        </w:rPr>
        <w:t> </w:t>
      </w:r>
      <w:r>
        <w:rPr/>
        <w:t>firms;</w:t>
      </w:r>
      <w:r>
        <w:rPr>
          <w:spacing w:val="-27"/>
        </w:rPr>
        <w:t> </w:t>
      </w:r>
      <w:r>
        <w:rPr/>
        <w:t>and</w:t>
      </w:r>
      <w:r>
        <w:rPr>
          <w:spacing w:val="-26"/>
        </w:rPr>
        <w:t> </w:t>
      </w:r>
      <w:r>
        <w:rPr/>
        <w:t>we then</w:t>
      </w:r>
      <w:r>
        <w:rPr>
          <w:spacing w:val="-9"/>
        </w:rPr>
        <w:t> </w:t>
      </w:r>
      <w:r>
        <w:rPr/>
        <w:t>(iii)</w:t>
      </w:r>
      <w:r>
        <w:rPr>
          <w:spacing w:val="-9"/>
        </w:rPr>
        <w:t> </w:t>
      </w:r>
      <w:r>
        <w:rPr/>
        <w:t>combine</w:t>
      </w:r>
      <w:r>
        <w:rPr>
          <w:spacing w:val="-9"/>
        </w:rPr>
        <w:t> </w:t>
      </w:r>
      <w:r>
        <w:rPr/>
        <w:t>the</w:t>
      </w:r>
      <w:r>
        <w:rPr>
          <w:spacing w:val="-9"/>
        </w:rPr>
        <w:t> </w:t>
      </w:r>
      <w:r>
        <w:rPr/>
        <w:t>two</w:t>
      </w:r>
      <w:r>
        <w:rPr>
          <w:spacing w:val="-9"/>
        </w:rPr>
        <w:t> </w:t>
      </w:r>
      <w:r>
        <w:rPr/>
        <w:t>approaches</w:t>
      </w:r>
      <w:r>
        <w:rPr>
          <w:spacing w:val="-9"/>
        </w:rPr>
        <w:t> </w:t>
      </w:r>
      <w:r>
        <w:rPr/>
        <w:t>(both</w:t>
      </w:r>
      <w:r>
        <w:rPr>
          <w:spacing w:val="-9"/>
        </w:rPr>
        <w:t> </w:t>
      </w:r>
      <w:r>
        <w:rPr/>
        <w:t>of</w:t>
      </w:r>
      <w:r>
        <w:rPr>
          <w:spacing w:val="-9"/>
        </w:rPr>
        <w:t> </w:t>
      </w:r>
      <w:r>
        <w:rPr/>
        <w:t>which</w:t>
      </w:r>
      <w:r>
        <w:rPr>
          <w:spacing w:val="-9"/>
        </w:rPr>
        <w:t> </w:t>
      </w:r>
      <w:r>
        <w:rPr/>
        <w:t>are</w:t>
      </w:r>
      <w:r>
        <w:rPr>
          <w:spacing w:val="-9"/>
        </w:rPr>
        <w:t> </w:t>
      </w:r>
      <w:r>
        <w:rPr/>
        <w:t>imperfect</w:t>
      </w:r>
      <w:r>
        <w:rPr>
          <w:spacing w:val="-9"/>
        </w:rPr>
        <w:t> </w:t>
      </w:r>
      <w:r>
        <w:rPr/>
        <w:t>due</w:t>
      </w:r>
      <w:r>
        <w:rPr>
          <w:spacing w:val="-9"/>
        </w:rPr>
        <w:t> </w:t>
      </w:r>
      <w:r>
        <w:rPr/>
        <w:t>to nonrandomness of treatment/control group assignment) and perform a double</w:t>
      </w:r>
      <w:r>
        <w:rPr>
          <w:spacing w:val="-20"/>
        </w:rPr>
        <w:t> </w:t>
      </w:r>
      <w:r>
        <w:rPr/>
        <w:t>difference-in-differences</w:t>
      </w:r>
      <w:r>
        <w:rPr>
          <w:spacing w:val="-19"/>
        </w:rPr>
        <w:t> </w:t>
      </w:r>
      <w:r>
        <w:rPr/>
        <w:t>test,</w:t>
      </w:r>
      <w:r>
        <w:rPr>
          <w:spacing w:val="-20"/>
        </w:rPr>
        <w:t> </w:t>
      </w:r>
      <w:r>
        <w:rPr/>
        <w:t>whereby</w:t>
      </w:r>
      <w:r>
        <w:rPr>
          <w:spacing w:val="-20"/>
        </w:rPr>
        <w:t> </w:t>
      </w:r>
      <w:r>
        <w:rPr/>
        <w:t>we</w:t>
      </w:r>
      <w:r>
        <w:rPr>
          <w:spacing w:val="-20"/>
        </w:rPr>
        <w:t> </w:t>
      </w:r>
      <w:r>
        <w:rPr/>
        <w:t>allow</w:t>
      </w:r>
      <w:r>
        <w:rPr>
          <w:spacing w:val="-20"/>
        </w:rPr>
        <w:t> </w:t>
      </w:r>
      <w:r>
        <w:rPr/>
        <w:t>for</w:t>
      </w:r>
      <w:r>
        <w:rPr>
          <w:spacing w:val="-20"/>
        </w:rPr>
        <w:t> </w:t>
      </w:r>
      <w:r>
        <w:rPr/>
        <w:t>cross-sectional variations</w:t>
      </w:r>
      <w:r>
        <w:rPr>
          <w:spacing w:val="-19"/>
        </w:rPr>
        <w:t> </w:t>
      </w:r>
      <w:r>
        <w:rPr/>
        <w:t>in</w:t>
      </w:r>
      <w:r>
        <w:rPr>
          <w:spacing w:val="-19"/>
        </w:rPr>
        <w:t> </w:t>
      </w:r>
      <w:r>
        <w:rPr/>
        <w:t>both</w:t>
      </w:r>
      <w:r>
        <w:rPr>
          <w:spacing w:val="-19"/>
        </w:rPr>
        <w:t> </w:t>
      </w:r>
      <w:r>
        <w:rPr/>
        <w:t>a</w:t>
      </w:r>
      <w:r>
        <w:rPr>
          <w:spacing w:val="-19"/>
        </w:rPr>
        <w:t> </w:t>
      </w:r>
      <w:r>
        <w:rPr>
          <w:spacing w:val="-2"/>
        </w:rPr>
        <w:t>firm’s</w:t>
      </w:r>
      <w:r>
        <w:rPr>
          <w:spacing w:val="-19"/>
        </w:rPr>
        <w:t> </w:t>
      </w:r>
      <w:r>
        <w:rPr/>
        <w:t>Delaware</w:t>
      </w:r>
      <w:r>
        <w:rPr>
          <w:spacing w:val="-19"/>
        </w:rPr>
        <w:t> </w:t>
      </w:r>
      <w:r>
        <w:rPr/>
        <w:t>incorporation</w:t>
      </w:r>
      <w:r>
        <w:rPr>
          <w:spacing w:val="-19"/>
        </w:rPr>
        <w:t> </w:t>
      </w:r>
      <w:r>
        <w:rPr/>
        <w:t>status</w:t>
      </w:r>
      <w:r>
        <w:rPr>
          <w:spacing w:val="-19"/>
        </w:rPr>
        <w:t> </w:t>
      </w:r>
      <w:r>
        <w:rPr/>
        <w:t>and</w:t>
      </w:r>
      <w:r>
        <w:rPr>
          <w:spacing w:val="-19"/>
        </w:rPr>
        <w:t> </w:t>
      </w:r>
      <w:r>
        <w:rPr/>
        <w:t>its</w:t>
      </w:r>
      <w:r>
        <w:rPr>
          <w:spacing w:val="-19"/>
        </w:rPr>
        <w:t> </w:t>
      </w:r>
      <w:r>
        <w:rPr/>
        <w:t>near</w:t>
      </w:r>
      <w:r>
        <w:rPr>
          <w:spacing w:val="-19"/>
        </w:rPr>
        <w:t> </w:t>
      </w:r>
      <w:r>
        <w:rPr/>
        <w:t>insol- vency</w:t>
      </w:r>
      <w:r>
        <w:rPr>
          <w:spacing w:val="-17"/>
        </w:rPr>
        <w:t> </w:t>
      </w:r>
      <w:r>
        <w:rPr/>
        <w:t>status.</w:t>
      </w:r>
      <w:r>
        <w:rPr>
          <w:spacing w:val="-17"/>
        </w:rPr>
        <w:t> </w:t>
      </w:r>
      <w:r>
        <w:rPr/>
        <w:t>This</w:t>
      </w:r>
      <w:r>
        <w:rPr>
          <w:spacing w:val="-17"/>
        </w:rPr>
        <w:t> </w:t>
      </w:r>
      <w:r>
        <w:rPr/>
        <w:t>empirical</w:t>
      </w:r>
      <w:r>
        <w:rPr>
          <w:spacing w:val="-17"/>
        </w:rPr>
        <w:t> </w:t>
      </w:r>
      <w:r>
        <w:rPr/>
        <w:t>design</w:t>
      </w:r>
      <w:r>
        <w:rPr>
          <w:spacing w:val="-17"/>
        </w:rPr>
        <w:t> </w:t>
      </w:r>
      <w:r>
        <w:rPr/>
        <w:t>is</w:t>
      </w:r>
      <w:r>
        <w:rPr>
          <w:spacing w:val="-17"/>
        </w:rPr>
        <w:t> </w:t>
      </w:r>
      <w:r>
        <w:rPr/>
        <w:t>equivalent</w:t>
      </w:r>
      <w:r>
        <w:rPr>
          <w:spacing w:val="-16"/>
        </w:rPr>
        <w:t> </w:t>
      </w:r>
      <w:r>
        <w:rPr/>
        <w:t>to</w:t>
      </w:r>
      <w:r>
        <w:rPr>
          <w:spacing w:val="-17"/>
        </w:rPr>
        <w:t> </w:t>
      </w:r>
      <w:r>
        <w:rPr/>
        <w:t>teasing</w:t>
      </w:r>
      <w:r>
        <w:rPr>
          <w:spacing w:val="-17"/>
        </w:rPr>
        <w:t> </w:t>
      </w:r>
      <w:r>
        <w:rPr/>
        <w:t>out</w:t>
      </w:r>
      <w:r>
        <w:rPr>
          <w:spacing w:val="-17"/>
        </w:rPr>
        <w:t> </w:t>
      </w:r>
      <w:r>
        <w:rPr/>
        <w:t>the</w:t>
      </w:r>
      <w:r>
        <w:rPr>
          <w:spacing w:val="-17"/>
        </w:rPr>
        <w:t> </w:t>
      </w:r>
      <w:r>
        <w:rPr/>
        <w:t>effect</w:t>
      </w:r>
      <w:r>
        <w:rPr>
          <w:spacing w:val="-16"/>
        </w:rPr>
        <w:t> </w:t>
      </w:r>
      <w:r>
        <w:rPr/>
        <w:t>of the court ruling in two steps: isolating the effect of the ruling on conser- vatism</w:t>
      </w:r>
      <w:r>
        <w:rPr>
          <w:spacing w:val="-8"/>
        </w:rPr>
        <w:t> </w:t>
      </w:r>
      <w:r>
        <w:rPr/>
        <w:t>attributable</w:t>
      </w:r>
      <w:r>
        <w:rPr>
          <w:spacing w:val="-8"/>
        </w:rPr>
        <w:t> </w:t>
      </w:r>
      <w:r>
        <w:rPr/>
        <w:t>to</w:t>
      </w:r>
      <w:r>
        <w:rPr>
          <w:spacing w:val="-8"/>
        </w:rPr>
        <w:t> </w:t>
      </w:r>
      <w:r>
        <w:rPr/>
        <w:t>state</w:t>
      </w:r>
      <w:r>
        <w:rPr>
          <w:spacing w:val="-8"/>
        </w:rPr>
        <w:t> </w:t>
      </w:r>
      <w:r>
        <w:rPr/>
        <w:t>of</w:t>
      </w:r>
      <w:r>
        <w:rPr>
          <w:spacing w:val="-8"/>
        </w:rPr>
        <w:t> </w:t>
      </w:r>
      <w:r>
        <w:rPr/>
        <w:t>incorporation</w:t>
      </w:r>
      <w:r>
        <w:rPr>
          <w:spacing w:val="-8"/>
        </w:rPr>
        <w:t> </w:t>
      </w:r>
      <w:r>
        <w:rPr/>
        <w:t>and</w:t>
      </w:r>
      <w:r>
        <w:rPr>
          <w:spacing w:val="-8"/>
        </w:rPr>
        <w:t> </w:t>
      </w:r>
      <w:r>
        <w:rPr/>
        <w:t>to</w:t>
      </w:r>
      <w:r>
        <w:rPr>
          <w:spacing w:val="-8"/>
        </w:rPr>
        <w:t> </w:t>
      </w:r>
      <w:r>
        <w:rPr/>
        <w:t>near</w:t>
      </w:r>
      <w:r>
        <w:rPr>
          <w:spacing w:val="-8"/>
        </w:rPr>
        <w:t> </w:t>
      </w:r>
      <w:r>
        <w:rPr/>
        <w:t>insolvency</w:t>
      </w:r>
      <w:r>
        <w:rPr>
          <w:spacing w:val="-8"/>
        </w:rPr>
        <w:t> </w:t>
      </w:r>
      <w:r>
        <w:rPr/>
        <w:t>status, and</w:t>
      </w:r>
      <w:r>
        <w:rPr>
          <w:spacing w:val="-5"/>
        </w:rPr>
        <w:t> </w:t>
      </w:r>
      <w:r>
        <w:rPr/>
        <w:t>comparing</w:t>
      </w:r>
      <w:r>
        <w:rPr>
          <w:spacing w:val="-5"/>
        </w:rPr>
        <w:t> </w:t>
      </w:r>
      <w:r>
        <w:rPr/>
        <w:t>this</w:t>
      </w:r>
      <w:r>
        <w:rPr>
          <w:spacing w:val="-5"/>
        </w:rPr>
        <w:t> </w:t>
      </w:r>
      <w:r>
        <w:rPr/>
        <w:t>effect</w:t>
      </w:r>
      <w:r>
        <w:rPr>
          <w:spacing w:val="-5"/>
        </w:rPr>
        <w:t> </w:t>
      </w:r>
      <w:r>
        <w:rPr/>
        <w:t>in</w:t>
      </w:r>
      <w:r>
        <w:rPr>
          <w:spacing w:val="-5"/>
        </w:rPr>
        <w:t> </w:t>
      </w:r>
      <w:r>
        <w:rPr/>
        <w:t>pre–</w:t>
      </w:r>
      <w:r>
        <w:rPr>
          <w:spacing w:val="-5"/>
        </w:rPr>
        <w:t> </w:t>
      </w:r>
      <w:r>
        <w:rPr/>
        <w:t>and</w:t>
      </w:r>
      <w:r>
        <w:rPr>
          <w:spacing w:val="-5"/>
        </w:rPr>
        <w:t> </w:t>
      </w:r>
      <w:r>
        <w:rPr/>
        <w:t>post–court-ruling</w:t>
      </w:r>
      <w:r>
        <w:rPr>
          <w:spacing w:val="-5"/>
        </w:rPr>
        <w:t> </w:t>
      </w:r>
      <w:r>
        <w:rPr/>
        <w:t>periods.</w:t>
      </w:r>
    </w:p>
    <w:p>
      <w:pPr>
        <w:pStyle w:val="BodyText"/>
        <w:spacing w:line="230" w:lineRule="auto" w:before="8"/>
        <w:ind w:left="162" w:right="519" w:firstLine="199"/>
        <w:jc w:val="both"/>
      </w:pPr>
      <w:r>
        <w:rPr/>
        <w:t>Our primary dependent variable is an estimate of firm-year level con- servatism score similar to that of </w:t>
      </w:r>
      <w:r>
        <w:rPr>
          <w:spacing w:val="-3"/>
        </w:rPr>
        <w:t>Beatty, </w:t>
      </w:r>
      <w:r>
        <w:rPr>
          <w:spacing w:val="-6"/>
        </w:rPr>
        <w:t>Weber, </w:t>
      </w:r>
      <w:r>
        <w:rPr/>
        <w:t>and </w:t>
      </w:r>
      <w:r>
        <w:rPr>
          <w:spacing w:val="-4"/>
        </w:rPr>
        <w:t>Yu </w:t>
      </w:r>
      <w:r>
        <w:rPr/>
        <w:t>[2008] and Zhang [2008]. </w:t>
      </w:r>
      <w:r>
        <w:rPr>
          <w:spacing w:val="-6"/>
        </w:rPr>
        <w:t>We </w:t>
      </w:r>
      <w:r>
        <w:rPr/>
        <w:t>focus on a composite measure since accounting conservatism is multifaceted (Ryan [2006]) and litigation risk induces both conditional and unconditional conservatism (Beaver and Ryan [2005], Qiang [2007]). A</w:t>
      </w:r>
      <w:r>
        <w:rPr>
          <w:spacing w:val="-31"/>
        </w:rPr>
        <w:t> </w:t>
      </w:r>
      <w:r>
        <w:rPr/>
        <w:t>composite</w:t>
      </w:r>
      <w:r>
        <w:rPr>
          <w:spacing w:val="-31"/>
        </w:rPr>
        <w:t> </w:t>
      </w:r>
      <w:r>
        <w:rPr/>
        <w:t>measure</w:t>
      </w:r>
      <w:r>
        <w:rPr>
          <w:spacing w:val="-31"/>
        </w:rPr>
        <w:t> </w:t>
      </w:r>
      <w:r>
        <w:rPr/>
        <w:t>also</w:t>
      </w:r>
      <w:r>
        <w:rPr>
          <w:spacing w:val="-31"/>
        </w:rPr>
        <w:t> </w:t>
      </w:r>
      <w:r>
        <w:rPr/>
        <w:t>helps</w:t>
      </w:r>
      <w:r>
        <w:rPr>
          <w:spacing w:val="-31"/>
        </w:rPr>
        <w:t> </w:t>
      </w:r>
      <w:r>
        <w:rPr/>
        <w:t>avoid</w:t>
      </w:r>
      <w:r>
        <w:rPr>
          <w:spacing w:val="-31"/>
        </w:rPr>
        <w:t> </w:t>
      </w:r>
      <w:r>
        <w:rPr/>
        <w:t>generalizability</w:t>
      </w:r>
      <w:r>
        <w:rPr>
          <w:spacing w:val="-31"/>
        </w:rPr>
        <w:t> </w:t>
      </w:r>
      <w:r>
        <w:rPr/>
        <w:t>and</w:t>
      </w:r>
      <w:r>
        <w:rPr>
          <w:spacing w:val="-31"/>
        </w:rPr>
        <w:t> </w:t>
      </w:r>
      <w:r>
        <w:rPr/>
        <w:t>estimation</w:t>
      </w:r>
      <w:r>
        <w:rPr>
          <w:spacing w:val="-31"/>
        </w:rPr>
        <w:t> </w:t>
      </w:r>
      <w:r>
        <w:rPr/>
        <w:t>prob- lems</w:t>
      </w:r>
      <w:r>
        <w:rPr>
          <w:spacing w:val="-6"/>
        </w:rPr>
        <w:t> </w:t>
      </w:r>
      <w:r>
        <w:rPr/>
        <w:t>associated</w:t>
      </w:r>
      <w:r>
        <w:rPr>
          <w:spacing w:val="-5"/>
        </w:rPr>
        <w:t> </w:t>
      </w:r>
      <w:r>
        <w:rPr/>
        <w:t>with</w:t>
      </w:r>
      <w:r>
        <w:rPr>
          <w:spacing w:val="-6"/>
        </w:rPr>
        <w:t> </w:t>
      </w:r>
      <w:r>
        <w:rPr/>
        <w:t>any</w:t>
      </w:r>
      <w:r>
        <w:rPr>
          <w:spacing w:val="-6"/>
        </w:rPr>
        <w:t> </w:t>
      </w:r>
      <w:r>
        <w:rPr/>
        <w:t>single</w:t>
      </w:r>
      <w:r>
        <w:rPr>
          <w:spacing w:val="-6"/>
        </w:rPr>
        <w:t> </w:t>
      </w:r>
      <w:r>
        <w:rPr/>
        <w:t>measure</w:t>
      </w:r>
      <w:r>
        <w:rPr>
          <w:spacing w:val="-6"/>
        </w:rPr>
        <w:t> </w:t>
      </w:r>
      <w:r>
        <w:rPr/>
        <w:t>of</w:t>
      </w:r>
      <w:r>
        <w:rPr>
          <w:spacing w:val="-6"/>
        </w:rPr>
        <w:t> </w:t>
      </w:r>
      <w:r>
        <w:rPr/>
        <w:t>conservatism.</w:t>
      </w:r>
    </w:p>
    <w:p>
      <w:pPr>
        <w:pStyle w:val="BodyText"/>
        <w:spacing w:line="230" w:lineRule="auto" w:before="3"/>
        <w:ind w:left="162" w:right="519" w:firstLine="199"/>
        <w:jc w:val="both"/>
      </w:pPr>
      <w:r>
        <w:rPr>
          <w:spacing w:val="-9"/>
        </w:rPr>
        <w:t>To</w:t>
      </w:r>
      <w:r>
        <w:rPr>
          <w:spacing w:val="-20"/>
        </w:rPr>
        <w:t> </w:t>
      </w:r>
      <w:r>
        <w:rPr/>
        <w:t>test</w:t>
      </w:r>
      <w:r>
        <w:rPr>
          <w:spacing w:val="-20"/>
        </w:rPr>
        <w:t> </w:t>
      </w:r>
      <w:r>
        <w:rPr/>
        <w:t>our</w:t>
      </w:r>
      <w:r>
        <w:rPr>
          <w:spacing w:val="-20"/>
        </w:rPr>
        <w:t> </w:t>
      </w:r>
      <w:r>
        <w:rPr/>
        <w:t>hypothesis,</w:t>
      </w:r>
      <w:r>
        <w:rPr>
          <w:spacing w:val="-20"/>
        </w:rPr>
        <w:t> </w:t>
      </w:r>
      <w:r>
        <w:rPr/>
        <w:t>we</w:t>
      </w:r>
      <w:r>
        <w:rPr>
          <w:spacing w:val="-20"/>
        </w:rPr>
        <w:t> </w:t>
      </w:r>
      <w:r>
        <w:rPr/>
        <w:t>estimate</w:t>
      </w:r>
      <w:r>
        <w:rPr>
          <w:spacing w:val="-20"/>
        </w:rPr>
        <w:t> </w:t>
      </w:r>
      <w:r>
        <w:rPr/>
        <w:t>the</w:t>
      </w:r>
      <w:r>
        <w:rPr>
          <w:spacing w:val="-20"/>
        </w:rPr>
        <w:t> </w:t>
      </w:r>
      <w:r>
        <w:rPr/>
        <w:t>following</w:t>
      </w:r>
      <w:r>
        <w:rPr>
          <w:spacing w:val="-20"/>
        </w:rPr>
        <w:t> </w:t>
      </w:r>
      <w:r>
        <w:rPr/>
        <w:t>regression</w:t>
      </w:r>
      <w:r>
        <w:rPr>
          <w:spacing w:val="-20"/>
        </w:rPr>
        <w:t> </w:t>
      </w:r>
      <w:r>
        <w:rPr/>
        <w:t>model</w:t>
      </w:r>
      <w:r>
        <w:rPr>
          <w:spacing w:val="-20"/>
        </w:rPr>
        <w:t> </w:t>
      </w:r>
      <w:r>
        <w:rPr/>
        <w:t>using the firm-year–specific conservatism</w:t>
      </w:r>
      <w:r>
        <w:rPr>
          <w:spacing w:val="-4"/>
        </w:rPr>
        <w:t> </w:t>
      </w:r>
      <w:r>
        <w:rPr/>
        <w:t>score:</w:t>
      </w:r>
    </w:p>
    <w:p>
      <w:pPr>
        <w:pStyle w:val="BodyText"/>
      </w:pPr>
    </w:p>
    <w:p>
      <w:pPr>
        <w:pStyle w:val="BodyText"/>
      </w:pPr>
    </w:p>
    <w:p>
      <w:pPr>
        <w:pStyle w:val="BodyText"/>
        <w:rPr>
          <w:sz w:val="12"/>
        </w:rPr>
      </w:pPr>
      <w:r>
        <w:rPr/>
        <w:pict>
          <v:line style="position:absolute;mso-position-horizontal-relative:page;mso-position-vertical-relative:paragraph;z-index:1240;mso-wrap-distance-left:0;mso-wrap-distance-right:0" from="72.125999pt,9.724845pt" to="107.999999pt,9.724845pt" stroked="true" strokeweight=".504pt" strokecolor="#000000">
            <v:stroke dashstyle="solid"/>
            <w10:wrap type="topAndBottom"/>
          </v:line>
        </w:pict>
      </w:r>
    </w:p>
    <w:p>
      <w:pPr>
        <w:spacing w:before="73"/>
        <w:ind w:left="162" w:right="519" w:firstLine="179"/>
        <w:jc w:val="both"/>
        <w:rPr>
          <w:sz w:val="16"/>
        </w:rPr>
      </w:pPr>
      <w:r>
        <w:rPr>
          <w:color w:val="231F20"/>
          <w:position w:val="6"/>
          <w:sz w:val="12"/>
        </w:rPr>
        <w:t>11 </w:t>
      </w:r>
      <w:r>
        <w:rPr>
          <w:color w:val="231F20"/>
          <w:sz w:val="16"/>
        </w:rPr>
        <w:t>Ahmed and Duellman [2007] state that “Because stronger boards are likely to be more proficient</w:t>
      </w:r>
      <w:r>
        <w:rPr>
          <w:color w:val="231F20"/>
          <w:spacing w:val="-11"/>
          <w:sz w:val="16"/>
        </w:rPr>
        <w:t> </w:t>
      </w:r>
      <w:r>
        <w:rPr>
          <w:color w:val="231F20"/>
          <w:sz w:val="16"/>
        </w:rPr>
        <w:t>at</w:t>
      </w:r>
      <w:r>
        <w:rPr>
          <w:color w:val="231F20"/>
          <w:spacing w:val="-11"/>
          <w:sz w:val="16"/>
        </w:rPr>
        <w:t> </w:t>
      </w:r>
      <w:r>
        <w:rPr>
          <w:color w:val="231F20"/>
          <w:sz w:val="16"/>
        </w:rPr>
        <w:t>efficient</w:t>
      </w:r>
      <w:r>
        <w:rPr>
          <w:color w:val="231F20"/>
          <w:spacing w:val="-11"/>
          <w:sz w:val="16"/>
        </w:rPr>
        <w:t> </w:t>
      </w:r>
      <w:r>
        <w:rPr>
          <w:color w:val="231F20"/>
          <w:sz w:val="16"/>
        </w:rPr>
        <w:t>contracting</w:t>
      </w:r>
      <w:r>
        <w:rPr>
          <w:color w:val="231F20"/>
          <w:spacing w:val="-11"/>
          <w:sz w:val="16"/>
        </w:rPr>
        <w:t> </w:t>
      </w:r>
      <w:r>
        <w:rPr>
          <w:color w:val="231F20"/>
          <w:sz w:val="16"/>
        </w:rPr>
        <w:t>and</w:t>
      </w:r>
      <w:r>
        <w:rPr>
          <w:color w:val="231F20"/>
          <w:spacing w:val="-11"/>
          <w:sz w:val="16"/>
        </w:rPr>
        <w:t> </w:t>
      </w:r>
      <w:r>
        <w:rPr>
          <w:color w:val="231F20"/>
          <w:sz w:val="16"/>
        </w:rPr>
        <w:t>understand</w:t>
      </w:r>
      <w:r>
        <w:rPr>
          <w:color w:val="231F20"/>
          <w:spacing w:val="-11"/>
          <w:sz w:val="16"/>
        </w:rPr>
        <w:t> </w:t>
      </w:r>
      <w:r>
        <w:rPr>
          <w:color w:val="231F20"/>
          <w:sz w:val="16"/>
        </w:rPr>
        <w:t>the</w:t>
      </w:r>
      <w:r>
        <w:rPr>
          <w:color w:val="231F20"/>
          <w:spacing w:val="-11"/>
          <w:sz w:val="16"/>
        </w:rPr>
        <w:t> </w:t>
      </w:r>
      <w:r>
        <w:rPr>
          <w:color w:val="231F20"/>
          <w:sz w:val="16"/>
        </w:rPr>
        <w:t>benefits</w:t>
      </w:r>
      <w:r>
        <w:rPr>
          <w:color w:val="231F20"/>
          <w:spacing w:val="-11"/>
          <w:sz w:val="16"/>
        </w:rPr>
        <w:t> </w:t>
      </w:r>
      <w:r>
        <w:rPr>
          <w:color w:val="231F20"/>
          <w:sz w:val="16"/>
        </w:rPr>
        <w:t>of</w:t>
      </w:r>
      <w:r>
        <w:rPr>
          <w:color w:val="231F20"/>
          <w:spacing w:val="-11"/>
          <w:sz w:val="16"/>
        </w:rPr>
        <w:t> </w:t>
      </w:r>
      <w:r>
        <w:rPr>
          <w:color w:val="231F20"/>
          <w:sz w:val="16"/>
        </w:rPr>
        <w:t>conservatism</w:t>
      </w:r>
      <w:r>
        <w:rPr>
          <w:color w:val="231F20"/>
          <w:spacing w:val="-11"/>
          <w:sz w:val="16"/>
        </w:rPr>
        <w:t> </w:t>
      </w:r>
      <w:r>
        <w:rPr>
          <w:color w:val="231F20"/>
          <w:sz w:val="16"/>
        </w:rPr>
        <w:t>they</w:t>
      </w:r>
      <w:r>
        <w:rPr>
          <w:color w:val="231F20"/>
          <w:spacing w:val="-11"/>
          <w:sz w:val="16"/>
        </w:rPr>
        <w:t> </w:t>
      </w:r>
      <w:r>
        <w:rPr>
          <w:color w:val="231F20"/>
          <w:sz w:val="16"/>
        </w:rPr>
        <w:t>are</w:t>
      </w:r>
      <w:r>
        <w:rPr>
          <w:color w:val="231F20"/>
          <w:spacing w:val="-11"/>
          <w:sz w:val="16"/>
        </w:rPr>
        <w:t> </w:t>
      </w:r>
      <w:r>
        <w:rPr>
          <w:color w:val="231F20"/>
          <w:sz w:val="16"/>
        </w:rPr>
        <w:t>likely to demand more conservative accounting” (p.</w:t>
      </w:r>
      <w:r>
        <w:rPr>
          <w:color w:val="231F20"/>
          <w:spacing w:val="1"/>
          <w:sz w:val="16"/>
        </w:rPr>
        <w:t> </w:t>
      </w:r>
      <w:r>
        <w:rPr>
          <w:color w:val="231F20"/>
          <w:sz w:val="16"/>
        </w:rPr>
        <w:t>415).</w:t>
      </w:r>
    </w:p>
    <w:p>
      <w:pPr>
        <w:spacing w:after="0"/>
        <w:jc w:val="both"/>
        <w:rPr>
          <w:sz w:val="16"/>
        </w:rPr>
        <w:sectPr>
          <w:pgSz w:w="9720" w:h="14400"/>
          <w:pgMar w:header="1054" w:footer="0" w:top="1300" w:bottom="280" w:left="1280" w:right="1300"/>
        </w:sectPr>
      </w:pPr>
    </w:p>
    <w:p>
      <w:pPr>
        <w:spacing w:before="143"/>
        <w:ind w:left="795" w:right="0" w:firstLine="0"/>
        <w:jc w:val="left"/>
        <w:rPr>
          <w:i/>
          <w:sz w:val="20"/>
        </w:rPr>
      </w:pPr>
      <w:r>
        <w:rPr/>
        <w:pict>
          <v:line style="position:absolute;mso-position-horizontal-relative:page;mso-position-vertical-relative:paragraph;z-index:-70432" from="138.087006pt,17.915331pt" to="141.084006pt,17.915331pt" stroked="true" strokeweight=".405pt" strokecolor="#000000">
            <v:stroke dashstyle="solid"/>
            <w10:wrap type="none"/>
          </v:line>
        </w:pict>
      </w:r>
      <w:r>
        <w:rPr>
          <w:i/>
          <w:sz w:val="20"/>
        </w:rPr>
        <w:t>CRANK ALL </w:t>
      </w:r>
      <w:r>
        <w:rPr>
          <w:rFonts w:ascii="Lucida Sans Unicode" w:hAnsi="Lucida Sans Unicode"/>
          <w:sz w:val="20"/>
        </w:rPr>
        <w:t>= </w:t>
      </w:r>
      <w:r>
        <w:rPr>
          <w:rFonts w:ascii="Verdana" w:hAnsi="Verdana"/>
          <w:i/>
          <w:sz w:val="20"/>
        </w:rPr>
        <w:t>β</w:t>
      </w:r>
      <w:r>
        <w:rPr>
          <w:i/>
          <w:color w:val="231F20"/>
          <w:sz w:val="20"/>
          <w:vertAlign w:val="subscript"/>
        </w:rPr>
        <w:t>0</w:t>
      </w:r>
      <w:r>
        <w:rPr>
          <w:i/>
          <w:color w:val="231F20"/>
          <w:sz w:val="20"/>
          <w:vertAlign w:val="baseline"/>
        </w:rPr>
        <w: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1</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2</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3</w:t>
      </w:r>
      <w:r>
        <w:rPr>
          <w:i/>
          <w:sz w:val="20"/>
          <w:vertAlign w:val="baseline"/>
        </w:rPr>
        <w:t>DEL </w:t>
      </w:r>
      <w:r>
        <w:rPr>
          <w:rFonts w:ascii="Lucida Sans Unicode" w:hAnsi="Lucida Sans Unicode"/>
          <w:sz w:val="20"/>
          <w:vertAlign w:val="baseline"/>
        </w:rPr>
        <w:t>× </w:t>
      </w:r>
      <w:r>
        <w:rPr>
          <w:i/>
          <w:sz w:val="20"/>
          <w:vertAlign w:val="baseline"/>
        </w:rPr>
        <w:t>HEDF93</w:t>
      </w:r>
    </w:p>
    <w:p>
      <w:pPr>
        <w:spacing w:before="51"/>
        <w:ind w:left="2200"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4</w:t>
      </w:r>
      <w:r>
        <w:rPr>
          <w:i/>
          <w:sz w:val="20"/>
          <w:vertAlign w:val="baseline"/>
        </w:rPr>
        <w:t>POST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5</w:t>
      </w:r>
      <w:r>
        <w:rPr>
          <w:i/>
          <w:sz w:val="20"/>
          <w:vertAlign w:val="baseline"/>
        </w:rPr>
        <w:t>POST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6</w:t>
      </w:r>
      <w:r>
        <w:rPr>
          <w:i/>
          <w:sz w:val="20"/>
          <w:vertAlign w:val="baseline"/>
        </w:rPr>
        <w:t>POST </w:t>
      </w:r>
      <w:r>
        <w:rPr>
          <w:rFonts w:ascii="Lucida Sans Unicode" w:hAnsi="Lucida Sans Unicode"/>
          <w:sz w:val="20"/>
          <w:vertAlign w:val="baseline"/>
        </w:rPr>
        <w:t>× </w:t>
      </w:r>
      <w:r>
        <w:rPr>
          <w:i/>
          <w:sz w:val="20"/>
          <w:vertAlign w:val="baseline"/>
        </w:rPr>
        <w:t>HEDF93</w:t>
      </w:r>
    </w:p>
    <w:p>
      <w:pPr>
        <w:spacing w:before="52"/>
        <w:ind w:left="2200"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7</w:t>
      </w:r>
      <w:r>
        <w:rPr>
          <w:i/>
          <w:sz w:val="20"/>
          <w:vertAlign w:val="baseline"/>
        </w:rPr>
        <w:t>POST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8</w:t>
      </w:r>
      <w:r>
        <w:rPr>
          <w:rFonts w:ascii="Lucida Sans Unicode" w:hAnsi="Lucida Sans Unicode"/>
          <w:color w:val="231F20"/>
          <w:sz w:val="20"/>
          <w:vertAlign w:val="subscript"/>
        </w:rPr>
        <w:t>−</w:t>
      </w:r>
      <w:r>
        <w:rPr>
          <w:i/>
          <w:color w:val="231F20"/>
          <w:sz w:val="20"/>
          <w:vertAlign w:val="subscript"/>
        </w:rPr>
        <w:t>13</w:t>
      </w:r>
      <w:r>
        <w:rPr>
          <w:i/>
          <w:sz w:val="20"/>
          <w:vertAlign w:val="baseline"/>
        </w:rPr>
        <w:t>Control Variables</w:t>
      </w:r>
    </w:p>
    <w:p>
      <w:pPr>
        <w:tabs>
          <w:tab w:pos="6709" w:val="left" w:leader="none"/>
        </w:tabs>
        <w:spacing w:before="38"/>
        <w:ind w:left="2200" w:right="0" w:firstLine="0"/>
        <w:jc w:val="left"/>
        <w:rPr>
          <w:sz w:val="20"/>
        </w:rPr>
      </w:pPr>
      <w:r>
        <w:rPr>
          <w:rFonts w:ascii="Lucida Sans Unicode"/>
          <w:sz w:val="20"/>
        </w:rPr>
        <w:t>+</w:t>
      </w:r>
      <w:r>
        <w:rPr>
          <w:rFonts w:ascii="Lucida Sans Unicode"/>
          <w:spacing w:val="-37"/>
          <w:sz w:val="20"/>
        </w:rPr>
        <w:t> </w:t>
      </w:r>
      <w:r>
        <w:rPr>
          <w:i/>
          <w:sz w:val="20"/>
        </w:rPr>
        <w:t>Industry</w:t>
      </w:r>
      <w:r>
        <w:rPr>
          <w:i/>
          <w:spacing w:val="-32"/>
          <w:sz w:val="20"/>
        </w:rPr>
        <w:t> </w:t>
      </w:r>
      <w:r>
        <w:rPr>
          <w:i/>
          <w:sz w:val="20"/>
        </w:rPr>
        <w:t>Dummies</w:t>
      </w:r>
      <w:r>
        <w:rPr>
          <w:i/>
          <w:spacing w:val="-23"/>
          <w:sz w:val="20"/>
        </w:rPr>
        <w:t> </w:t>
      </w:r>
      <w:r>
        <w:rPr>
          <w:rFonts w:ascii="Lucida Sans Unicode"/>
          <w:sz w:val="20"/>
        </w:rPr>
        <w:t>+</w:t>
      </w:r>
      <w:r>
        <w:rPr>
          <w:rFonts w:ascii="Lucida Sans Unicode"/>
          <w:spacing w:val="-41"/>
          <w:sz w:val="20"/>
        </w:rPr>
        <w:t> </w:t>
      </w:r>
      <w:r>
        <w:rPr>
          <w:i/>
          <w:spacing w:val="-6"/>
          <w:sz w:val="20"/>
        </w:rPr>
        <w:t>Year</w:t>
      </w:r>
      <w:r>
        <w:rPr>
          <w:i/>
          <w:spacing w:val="-22"/>
          <w:sz w:val="20"/>
        </w:rPr>
        <w:t> </w:t>
      </w:r>
      <w:r>
        <w:rPr>
          <w:i/>
          <w:sz w:val="20"/>
        </w:rPr>
        <w:t>Dummies</w:t>
      </w:r>
      <w:r>
        <w:rPr>
          <w:i/>
          <w:spacing w:val="-23"/>
          <w:sz w:val="20"/>
        </w:rPr>
        <w:t> </w:t>
      </w:r>
      <w:r>
        <w:rPr>
          <w:rFonts w:ascii="Lucida Sans Unicode"/>
          <w:sz w:val="20"/>
        </w:rPr>
        <w:t>+</w:t>
      </w:r>
      <w:r>
        <w:rPr>
          <w:rFonts w:ascii="Lucida Sans Unicode"/>
          <w:spacing w:val="-41"/>
          <w:sz w:val="20"/>
        </w:rPr>
        <w:t> </w:t>
      </w:r>
      <w:r>
        <w:rPr>
          <w:i/>
          <w:sz w:val="20"/>
        </w:rPr>
        <w:t>e</w:t>
      </w:r>
      <w:r>
        <w:rPr>
          <w:i/>
          <w:spacing w:val="-38"/>
          <w:sz w:val="20"/>
        </w:rPr>
        <w:t> </w:t>
      </w:r>
      <w:r>
        <w:rPr>
          <w:rFonts w:ascii="Verdana"/>
          <w:i/>
          <w:sz w:val="20"/>
        </w:rPr>
        <w:t>,</w:t>
        <w:tab/>
      </w:r>
      <w:r>
        <w:rPr>
          <w:position w:val="4"/>
          <w:sz w:val="20"/>
        </w:rPr>
        <w:t>(1)</w:t>
      </w:r>
    </w:p>
    <w:p>
      <w:pPr>
        <w:pStyle w:val="BodyText"/>
        <w:spacing w:line="230" w:lineRule="auto" w:before="133"/>
        <w:ind w:left="532" w:right="136"/>
      </w:pPr>
      <w:r>
        <w:rPr/>
        <w:pict>
          <v:line style="position:absolute;mso-position-horizontal-relative:page;mso-position-vertical-relative:paragraph;z-index:-70408" from="152.675995pt,15.667745pt" to="155.672995pt,15.667745pt" stroked="true" strokeweight=".405pt" strokecolor="#000000">
            <v:stroke dashstyle="solid"/>
            <w10:wrap type="none"/>
          </v:line>
        </w:pict>
      </w:r>
      <w:r>
        <w:rPr/>
        <w:t>where</w:t>
      </w:r>
      <w:r>
        <w:rPr>
          <w:spacing w:val="-19"/>
        </w:rPr>
        <w:t> </w:t>
      </w:r>
      <w:r>
        <w:rPr>
          <w:i/>
        </w:rPr>
        <w:t>CRANK</w:t>
      </w:r>
      <w:r>
        <w:rPr>
          <w:i/>
          <w:spacing w:val="-8"/>
        </w:rPr>
        <w:t> </w:t>
      </w:r>
      <w:r>
        <w:rPr>
          <w:i/>
        </w:rPr>
        <w:t>ALL</w:t>
      </w:r>
      <w:r>
        <w:rPr>
          <w:i/>
          <w:spacing w:val="-19"/>
        </w:rPr>
        <w:t> </w:t>
      </w:r>
      <w:r>
        <w:rPr/>
        <w:t>is</w:t>
      </w:r>
      <w:r>
        <w:rPr>
          <w:spacing w:val="-19"/>
        </w:rPr>
        <w:t> </w:t>
      </w:r>
      <w:r>
        <w:rPr/>
        <w:t>a</w:t>
      </w:r>
      <w:r>
        <w:rPr>
          <w:spacing w:val="-19"/>
        </w:rPr>
        <w:t> </w:t>
      </w:r>
      <w:r>
        <w:rPr/>
        <w:t>composite</w:t>
      </w:r>
      <w:r>
        <w:rPr>
          <w:spacing w:val="-19"/>
        </w:rPr>
        <w:t> </w:t>
      </w:r>
      <w:r>
        <w:rPr/>
        <w:t>conservatism</w:t>
      </w:r>
      <w:r>
        <w:rPr>
          <w:spacing w:val="-19"/>
        </w:rPr>
        <w:t> </w:t>
      </w:r>
      <w:r>
        <w:rPr/>
        <w:t>measure</w:t>
      </w:r>
      <w:r>
        <w:rPr>
          <w:spacing w:val="-19"/>
        </w:rPr>
        <w:t> </w:t>
      </w:r>
      <w:r>
        <w:rPr/>
        <w:t>equal</w:t>
      </w:r>
      <w:r>
        <w:rPr>
          <w:spacing w:val="-19"/>
        </w:rPr>
        <w:t> </w:t>
      </w:r>
      <w:r>
        <w:rPr/>
        <w:t>to</w:t>
      </w:r>
      <w:r>
        <w:rPr>
          <w:spacing w:val="-19"/>
        </w:rPr>
        <w:t> </w:t>
      </w:r>
      <w:r>
        <w:rPr/>
        <w:t>the</w:t>
      </w:r>
      <w:r>
        <w:rPr>
          <w:spacing w:val="-19"/>
        </w:rPr>
        <w:t> </w:t>
      </w:r>
      <w:r>
        <w:rPr/>
        <w:t>aver- age decile ranks of three conservatism proxies identified in prior</w:t>
      </w:r>
      <w:r>
        <w:rPr>
          <w:spacing w:val="22"/>
        </w:rPr>
        <w:t> </w:t>
      </w:r>
      <w:r>
        <w:rPr/>
        <w:t>studies:</w:t>
      </w:r>
    </w:p>
    <w:p>
      <w:pPr>
        <w:pStyle w:val="ListParagraph"/>
        <w:numPr>
          <w:ilvl w:val="2"/>
          <w:numId w:val="1"/>
        </w:numPr>
        <w:tabs>
          <w:tab w:pos="824" w:val="left" w:leader="none"/>
        </w:tabs>
        <w:spacing w:line="230" w:lineRule="auto" w:before="2" w:after="0"/>
        <w:ind w:left="532" w:right="149" w:firstLine="0"/>
        <w:jc w:val="left"/>
        <w:rPr>
          <w:sz w:val="20"/>
        </w:rPr>
      </w:pPr>
      <w:r>
        <w:rPr/>
        <w:pict>
          <v:line style="position:absolute;mso-position-horizontal-relative:page;mso-position-vertical-relative:paragraph;z-index:-70384" from="111.959999pt,9.117109pt" to="114.956999pt,9.117109pt" stroked="true" strokeweight=".405pt" strokecolor="#000000">
            <v:stroke dashstyle="solid"/>
            <w10:wrap type="none"/>
          </v:line>
        </w:pict>
      </w:r>
      <w:r>
        <w:rPr/>
        <w:pict>
          <v:shape style="position:absolute;margin-left:385.274506pt;margin-top:1.38988pt;width:28.2pt;height:17.45pt;mso-position-horizontal-relative:page;mso-position-vertical-relative:paragraph;z-index:-70216" type="#_x0000_t202" filled="false" stroked="false">
            <v:textbox inset="0,0,0,0">
              <w:txbxContent>
                <w:p>
                  <w:pPr>
                    <w:pStyle w:val="BodyText"/>
                    <w:tabs>
                      <w:tab w:pos="406"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w w:val="105"/>
          <w:sz w:val="20"/>
        </w:rPr>
        <w:t>C</w:t>
      </w:r>
      <w:r>
        <w:rPr>
          <w:i/>
          <w:spacing w:val="-15"/>
          <w:w w:val="105"/>
          <w:sz w:val="20"/>
        </w:rPr>
        <w:t> </w:t>
      </w:r>
      <w:r>
        <w:rPr>
          <w:i/>
          <w:w w:val="105"/>
          <w:sz w:val="20"/>
        </w:rPr>
        <w:t>ACCR</w:t>
      </w:r>
      <w:r>
        <w:rPr>
          <w:w w:val="105"/>
          <w:sz w:val="20"/>
        </w:rPr>
        <w:t>,</w:t>
      </w:r>
      <w:r>
        <w:rPr>
          <w:spacing w:val="-21"/>
          <w:w w:val="105"/>
          <w:sz w:val="20"/>
        </w:rPr>
        <w:t> </w:t>
      </w:r>
      <w:r>
        <w:rPr>
          <w:w w:val="105"/>
          <w:sz w:val="20"/>
        </w:rPr>
        <w:t>that</w:t>
      </w:r>
      <w:r>
        <w:rPr>
          <w:spacing w:val="-21"/>
          <w:w w:val="105"/>
          <w:sz w:val="20"/>
        </w:rPr>
        <w:t> </w:t>
      </w:r>
      <w:r>
        <w:rPr>
          <w:w w:val="105"/>
          <w:sz w:val="20"/>
        </w:rPr>
        <w:t>is,</w:t>
      </w:r>
      <w:r>
        <w:rPr>
          <w:spacing w:val="-21"/>
          <w:w w:val="105"/>
          <w:sz w:val="20"/>
        </w:rPr>
        <w:t> </w:t>
      </w:r>
      <w:r>
        <w:rPr>
          <w:w w:val="105"/>
          <w:sz w:val="20"/>
        </w:rPr>
        <w:t>negative</w:t>
      </w:r>
      <w:r>
        <w:rPr>
          <w:spacing w:val="-21"/>
          <w:w w:val="105"/>
          <w:sz w:val="20"/>
        </w:rPr>
        <w:t> </w:t>
      </w:r>
      <w:r>
        <w:rPr>
          <w:w w:val="105"/>
          <w:sz w:val="20"/>
        </w:rPr>
        <w:t>non-operating</w:t>
      </w:r>
      <w:r>
        <w:rPr>
          <w:spacing w:val="-21"/>
          <w:w w:val="105"/>
          <w:sz w:val="20"/>
        </w:rPr>
        <w:t> </w:t>
      </w:r>
      <w:r>
        <w:rPr>
          <w:w w:val="105"/>
          <w:sz w:val="20"/>
        </w:rPr>
        <w:t>accruals,</w:t>
      </w:r>
      <w:r>
        <w:rPr>
          <w:spacing w:val="-21"/>
          <w:w w:val="105"/>
          <w:sz w:val="20"/>
        </w:rPr>
        <w:t> </w:t>
      </w:r>
      <w:r>
        <w:rPr>
          <w:w w:val="105"/>
          <w:sz w:val="20"/>
        </w:rPr>
        <w:t>calculated</w:t>
      </w:r>
      <w:r>
        <w:rPr>
          <w:spacing w:val="-21"/>
          <w:w w:val="105"/>
          <w:sz w:val="20"/>
        </w:rPr>
        <w:t> </w:t>
      </w:r>
      <w:r>
        <w:rPr>
          <w:w w:val="105"/>
          <w:sz w:val="20"/>
        </w:rPr>
        <w:t>as</w:t>
      </w:r>
      <w:r>
        <w:rPr>
          <w:spacing w:val="-21"/>
          <w:w w:val="105"/>
          <w:sz w:val="20"/>
        </w:rPr>
        <w:t> </w:t>
      </w:r>
      <w:r>
        <w:rPr>
          <w:w w:val="105"/>
          <w:sz w:val="20"/>
        </w:rPr>
        <w:t>(</w:t>
      </w:r>
      <w:r>
        <w:rPr>
          <w:spacing w:val="30"/>
          <w:w w:val="105"/>
          <w:sz w:val="20"/>
        </w:rPr>
        <w:t> </w:t>
      </w:r>
      <w:r>
        <w:rPr>
          <w:w w:val="105"/>
          <w:sz w:val="20"/>
        </w:rPr>
        <w:t>1) </w:t>
      </w:r>
      <w:r>
        <w:rPr>
          <w:sz w:val="20"/>
        </w:rPr>
        <w:t>the</w:t>
      </w:r>
      <w:r>
        <w:rPr>
          <w:spacing w:val="-21"/>
          <w:sz w:val="20"/>
        </w:rPr>
        <w:t> </w:t>
      </w:r>
      <w:r>
        <w:rPr>
          <w:sz w:val="20"/>
        </w:rPr>
        <w:t>average</w:t>
      </w:r>
      <w:r>
        <w:rPr>
          <w:spacing w:val="-21"/>
          <w:sz w:val="20"/>
        </w:rPr>
        <w:t> </w:t>
      </w:r>
      <w:r>
        <w:rPr>
          <w:sz w:val="20"/>
        </w:rPr>
        <w:t>of</w:t>
      </w:r>
      <w:r>
        <w:rPr>
          <w:spacing w:val="-21"/>
          <w:sz w:val="20"/>
        </w:rPr>
        <w:t> </w:t>
      </w:r>
      <w:r>
        <w:rPr>
          <w:sz w:val="20"/>
        </w:rPr>
        <w:t>non-operating</w:t>
      </w:r>
      <w:r>
        <w:rPr>
          <w:spacing w:val="-21"/>
          <w:sz w:val="20"/>
        </w:rPr>
        <w:t> </w:t>
      </w:r>
      <w:r>
        <w:rPr>
          <w:sz w:val="20"/>
        </w:rPr>
        <w:t>accruals</w:t>
      </w:r>
      <w:r>
        <w:rPr>
          <w:spacing w:val="-21"/>
          <w:sz w:val="20"/>
        </w:rPr>
        <w:t> </w:t>
      </w:r>
      <w:r>
        <w:rPr>
          <w:sz w:val="20"/>
        </w:rPr>
        <w:t>scaled</w:t>
      </w:r>
      <w:r>
        <w:rPr>
          <w:spacing w:val="-21"/>
          <w:sz w:val="20"/>
        </w:rPr>
        <w:t> </w:t>
      </w:r>
      <w:r>
        <w:rPr>
          <w:sz w:val="20"/>
        </w:rPr>
        <w:t>by</w:t>
      </w:r>
      <w:r>
        <w:rPr>
          <w:spacing w:val="-21"/>
          <w:sz w:val="20"/>
        </w:rPr>
        <w:t> </w:t>
      </w:r>
      <w:r>
        <w:rPr>
          <w:sz w:val="20"/>
        </w:rPr>
        <w:t>total</w:t>
      </w:r>
      <w:r>
        <w:rPr>
          <w:spacing w:val="-21"/>
          <w:sz w:val="20"/>
        </w:rPr>
        <w:t> </w:t>
      </w:r>
      <w:r>
        <w:rPr>
          <w:sz w:val="20"/>
        </w:rPr>
        <w:t>assets</w:t>
      </w:r>
      <w:r>
        <w:rPr>
          <w:spacing w:val="-21"/>
          <w:sz w:val="20"/>
        </w:rPr>
        <w:t> </w:t>
      </w:r>
      <w:r>
        <w:rPr>
          <w:sz w:val="20"/>
        </w:rPr>
        <w:t>over</w:t>
      </w:r>
      <w:r>
        <w:rPr>
          <w:spacing w:val="-21"/>
          <w:sz w:val="20"/>
        </w:rPr>
        <w:t> </w:t>
      </w:r>
      <w:r>
        <w:rPr>
          <w:sz w:val="20"/>
        </w:rPr>
        <w:t>a</w:t>
      </w:r>
      <w:r>
        <w:rPr>
          <w:spacing w:val="-21"/>
          <w:sz w:val="20"/>
        </w:rPr>
        <w:t> </w:t>
      </w:r>
      <w:r>
        <w:rPr>
          <w:sz w:val="20"/>
        </w:rPr>
        <w:t>five-year window</w:t>
      </w:r>
      <w:r>
        <w:rPr>
          <w:spacing w:val="-17"/>
          <w:sz w:val="20"/>
        </w:rPr>
        <w:t> </w:t>
      </w:r>
      <w:r>
        <w:rPr>
          <w:sz w:val="20"/>
        </w:rPr>
        <w:t>(with</w:t>
      </w:r>
      <w:r>
        <w:rPr>
          <w:spacing w:val="-17"/>
          <w:sz w:val="20"/>
        </w:rPr>
        <w:t> </w:t>
      </w:r>
      <w:r>
        <w:rPr>
          <w:sz w:val="20"/>
        </w:rPr>
        <w:t>a</w:t>
      </w:r>
      <w:r>
        <w:rPr>
          <w:spacing w:val="-17"/>
          <w:sz w:val="20"/>
        </w:rPr>
        <w:t> </w:t>
      </w:r>
      <w:r>
        <w:rPr>
          <w:sz w:val="20"/>
        </w:rPr>
        <w:t>minimum</w:t>
      </w:r>
      <w:r>
        <w:rPr>
          <w:spacing w:val="-17"/>
          <w:sz w:val="20"/>
        </w:rPr>
        <w:t> </w:t>
      </w:r>
      <w:r>
        <w:rPr>
          <w:sz w:val="20"/>
        </w:rPr>
        <w:t>of</w:t>
      </w:r>
      <w:r>
        <w:rPr>
          <w:spacing w:val="-17"/>
          <w:sz w:val="20"/>
        </w:rPr>
        <w:t> </w:t>
      </w:r>
      <w:r>
        <w:rPr>
          <w:sz w:val="20"/>
        </w:rPr>
        <w:t>two</w:t>
      </w:r>
      <w:r>
        <w:rPr>
          <w:spacing w:val="-17"/>
          <w:sz w:val="20"/>
        </w:rPr>
        <w:t> </w:t>
      </w:r>
      <w:r>
        <w:rPr>
          <w:sz w:val="20"/>
        </w:rPr>
        <w:t>years)</w:t>
      </w:r>
      <w:r>
        <w:rPr>
          <w:spacing w:val="-17"/>
          <w:sz w:val="20"/>
        </w:rPr>
        <w:t> </w:t>
      </w:r>
      <w:r>
        <w:rPr>
          <w:sz w:val="20"/>
        </w:rPr>
        <w:t>centered</w:t>
      </w:r>
      <w:r>
        <w:rPr>
          <w:spacing w:val="-17"/>
          <w:sz w:val="20"/>
        </w:rPr>
        <w:t> </w:t>
      </w:r>
      <w:r>
        <w:rPr>
          <w:sz w:val="20"/>
        </w:rPr>
        <w:t>in</w:t>
      </w:r>
      <w:r>
        <w:rPr>
          <w:spacing w:val="-17"/>
          <w:sz w:val="20"/>
        </w:rPr>
        <w:t> </w:t>
      </w:r>
      <w:r>
        <w:rPr>
          <w:sz w:val="20"/>
        </w:rPr>
        <w:t>the</w:t>
      </w:r>
      <w:r>
        <w:rPr>
          <w:spacing w:val="-17"/>
          <w:sz w:val="20"/>
        </w:rPr>
        <w:t> </w:t>
      </w:r>
      <w:r>
        <w:rPr>
          <w:sz w:val="20"/>
        </w:rPr>
        <w:t>observation</w:t>
      </w:r>
      <w:r>
        <w:rPr>
          <w:spacing w:val="-17"/>
          <w:sz w:val="20"/>
        </w:rPr>
        <w:t> </w:t>
      </w:r>
      <w:r>
        <w:rPr>
          <w:sz w:val="20"/>
        </w:rPr>
        <w:t>year</w:t>
      </w:r>
      <w:r>
        <w:rPr>
          <w:spacing w:val="-17"/>
          <w:sz w:val="20"/>
        </w:rPr>
        <w:t> </w:t>
      </w:r>
      <w:r>
        <w:rPr>
          <w:i/>
          <w:sz w:val="20"/>
        </w:rPr>
        <w:t>t</w:t>
      </w:r>
      <w:r>
        <w:rPr>
          <w:sz w:val="20"/>
        </w:rPr>
        <w:t>,</w:t>
      </w:r>
    </w:p>
    <w:p>
      <w:pPr>
        <w:pStyle w:val="ListParagraph"/>
        <w:numPr>
          <w:ilvl w:val="2"/>
          <w:numId w:val="1"/>
        </w:numPr>
        <w:tabs>
          <w:tab w:pos="872" w:val="left" w:leader="none"/>
        </w:tabs>
        <w:spacing w:line="228" w:lineRule="auto" w:before="3" w:after="0"/>
        <w:ind w:left="532" w:right="149" w:firstLine="0"/>
        <w:jc w:val="both"/>
        <w:rPr>
          <w:sz w:val="20"/>
        </w:rPr>
      </w:pPr>
      <w:r>
        <w:rPr/>
        <w:pict>
          <v:line style="position:absolute;mso-position-horizontal-relative:page;mso-position-vertical-relative:paragraph;z-index:-70360" from="114.335999pt,9.070922pt" to="117.332999pt,9.070922pt" stroked="true" strokeweight=".405pt" strokecolor="#000000">
            <v:stroke dashstyle="solid"/>
            <w10:wrap type="none"/>
          </v:line>
        </w:pict>
      </w:r>
      <w:r>
        <w:rPr/>
        <w:pict>
          <v:line style="position:absolute;mso-position-horizontal-relative:page;mso-position-vertical-relative:paragraph;z-index:-70336" from="227.052002pt,44.935921pt" to="230.049002pt,44.935921pt" stroked="true" strokeweight=".405pt" strokecolor="#000000">
            <v:stroke dashstyle="solid"/>
            <w10:wrap type="none"/>
          </v:line>
        </w:pict>
      </w:r>
      <w:r>
        <w:rPr/>
        <w:pict>
          <v:line style="position:absolute;mso-position-horizontal-relative:page;mso-position-vertical-relative:paragraph;z-index:-70312" from="166.283997pt,68.848923pt" to="169.280997pt,68.848923pt" stroked="true" strokeweight=".405pt" strokecolor="#000000">
            <v:stroke dashstyle="solid"/>
            <w10:wrap type="none"/>
          </v:line>
        </w:pict>
      </w:r>
      <w:r>
        <w:rPr/>
        <w:pict>
          <v:shape style="position:absolute;margin-left:130.508835pt;margin-top:13.304692pt;width:27.95pt;height:17.45pt;mso-position-horizontal-relative:page;mso-position-vertical-relative:paragraph;z-index:-70192" type="#_x0000_t202" filled="false" stroked="false">
            <v:textbox inset="0,0,0,0">
              <w:txbxContent>
                <w:p>
                  <w:pPr>
                    <w:pStyle w:val="BodyText"/>
                    <w:tabs>
                      <w:tab w:pos="402"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sz w:val="20"/>
        </w:rPr>
        <w:t>C</w:t>
      </w:r>
      <w:r>
        <w:rPr>
          <w:i/>
          <w:spacing w:val="-24"/>
          <w:sz w:val="20"/>
        </w:rPr>
        <w:t> </w:t>
      </w:r>
      <w:r>
        <w:rPr>
          <w:i/>
          <w:sz w:val="20"/>
        </w:rPr>
        <w:t>SKEW</w:t>
      </w:r>
      <w:r>
        <w:rPr>
          <w:sz w:val="20"/>
        </w:rPr>
        <w:t>,</w:t>
      </w:r>
      <w:r>
        <w:rPr>
          <w:spacing w:val="-32"/>
          <w:sz w:val="20"/>
        </w:rPr>
        <w:t> </w:t>
      </w:r>
      <w:r>
        <w:rPr>
          <w:sz w:val="20"/>
        </w:rPr>
        <w:t>which</w:t>
      </w:r>
      <w:r>
        <w:rPr>
          <w:spacing w:val="-32"/>
          <w:sz w:val="20"/>
        </w:rPr>
        <w:t> </w:t>
      </w:r>
      <w:r>
        <w:rPr>
          <w:sz w:val="20"/>
        </w:rPr>
        <w:t>is</w:t>
      </w:r>
      <w:r>
        <w:rPr>
          <w:spacing w:val="-32"/>
          <w:sz w:val="20"/>
        </w:rPr>
        <w:t> </w:t>
      </w:r>
      <w:r>
        <w:rPr>
          <w:sz w:val="20"/>
        </w:rPr>
        <w:t>relative</w:t>
      </w:r>
      <w:r>
        <w:rPr>
          <w:spacing w:val="-32"/>
          <w:sz w:val="20"/>
        </w:rPr>
        <w:t> </w:t>
      </w:r>
      <w:r>
        <w:rPr>
          <w:sz w:val="20"/>
        </w:rPr>
        <w:t>skewness</w:t>
      </w:r>
      <w:r>
        <w:rPr>
          <w:spacing w:val="-32"/>
          <w:sz w:val="20"/>
        </w:rPr>
        <w:t> </w:t>
      </w:r>
      <w:r>
        <w:rPr>
          <w:sz w:val="20"/>
        </w:rPr>
        <w:t>of</w:t>
      </w:r>
      <w:r>
        <w:rPr>
          <w:spacing w:val="-32"/>
          <w:sz w:val="20"/>
        </w:rPr>
        <w:t> </w:t>
      </w:r>
      <w:r>
        <w:rPr>
          <w:sz w:val="20"/>
        </w:rPr>
        <w:t>earnings</w:t>
      </w:r>
      <w:r>
        <w:rPr>
          <w:spacing w:val="-32"/>
          <w:sz w:val="20"/>
        </w:rPr>
        <w:t> </w:t>
      </w:r>
      <w:r>
        <w:rPr>
          <w:sz w:val="20"/>
        </w:rPr>
        <w:t>versus</w:t>
      </w:r>
      <w:r>
        <w:rPr>
          <w:spacing w:val="-32"/>
          <w:sz w:val="20"/>
        </w:rPr>
        <w:t> </w:t>
      </w:r>
      <w:r>
        <w:rPr>
          <w:sz w:val="20"/>
        </w:rPr>
        <w:t>cash</w:t>
      </w:r>
      <w:r>
        <w:rPr>
          <w:spacing w:val="-32"/>
          <w:sz w:val="20"/>
        </w:rPr>
        <w:t> </w:t>
      </w:r>
      <w:r>
        <w:rPr>
          <w:sz w:val="20"/>
        </w:rPr>
        <w:t>flows,</w:t>
      </w:r>
      <w:r>
        <w:rPr>
          <w:spacing w:val="-32"/>
          <w:sz w:val="20"/>
        </w:rPr>
        <w:t> </w:t>
      </w:r>
      <w:r>
        <w:rPr>
          <w:sz w:val="20"/>
        </w:rPr>
        <w:t>calcu- lated as ( 1)</w:t>
      </w:r>
      <w:r>
        <w:rPr>
          <w:spacing w:val="28"/>
          <w:sz w:val="20"/>
        </w:rPr>
        <w:t> </w:t>
      </w:r>
      <w:r>
        <w:rPr>
          <w:sz w:val="20"/>
        </w:rPr>
        <w:t>skewness of earnings scaled by skewness of cash flows over a</w:t>
      </w:r>
      <w:r>
        <w:rPr>
          <w:spacing w:val="-18"/>
          <w:sz w:val="20"/>
        </w:rPr>
        <w:t> </w:t>
      </w:r>
      <w:r>
        <w:rPr>
          <w:sz w:val="20"/>
        </w:rPr>
        <w:t>20-quarter</w:t>
      </w:r>
      <w:r>
        <w:rPr>
          <w:spacing w:val="-18"/>
          <w:sz w:val="20"/>
        </w:rPr>
        <w:t> </w:t>
      </w:r>
      <w:r>
        <w:rPr>
          <w:sz w:val="20"/>
        </w:rPr>
        <w:t>window</w:t>
      </w:r>
      <w:r>
        <w:rPr>
          <w:spacing w:val="-17"/>
          <w:sz w:val="20"/>
        </w:rPr>
        <w:t> </w:t>
      </w:r>
      <w:r>
        <w:rPr>
          <w:sz w:val="20"/>
        </w:rPr>
        <w:t>(with</w:t>
      </w:r>
      <w:r>
        <w:rPr>
          <w:spacing w:val="-18"/>
          <w:sz w:val="20"/>
        </w:rPr>
        <w:t> </w:t>
      </w:r>
      <w:r>
        <w:rPr>
          <w:sz w:val="20"/>
        </w:rPr>
        <w:t>a</w:t>
      </w:r>
      <w:r>
        <w:rPr>
          <w:spacing w:val="-18"/>
          <w:sz w:val="20"/>
        </w:rPr>
        <w:t> </w:t>
      </w:r>
      <w:r>
        <w:rPr>
          <w:sz w:val="20"/>
        </w:rPr>
        <w:t>minimum</w:t>
      </w:r>
      <w:r>
        <w:rPr>
          <w:spacing w:val="-18"/>
          <w:sz w:val="20"/>
        </w:rPr>
        <w:t> </w:t>
      </w:r>
      <w:r>
        <w:rPr>
          <w:sz w:val="20"/>
        </w:rPr>
        <w:t>of</w:t>
      </w:r>
      <w:r>
        <w:rPr>
          <w:spacing w:val="-18"/>
          <w:sz w:val="20"/>
        </w:rPr>
        <w:t> </w:t>
      </w:r>
      <w:r>
        <w:rPr>
          <w:sz w:val="20"/>
        </w:rPr>
        <w:t>five</w:t>
      </w:r>
      <w:r>
        <w:rPr>
          <w:spacing w:val="-18"/>
          <w:sz w:val="20"/>
        </w:rPr>
        <w:t> </w:t>
      </w:r>
      <w:r>
        <w:rPr>
          <w:sz w:val="20"/>
        </w:rPr>
        <w:t>quarters)</w:t>
      </w:r>
      <w:r>
        <w:rPr>
          <w:spacing w:val="-18"/>
          <w:sz w:val="20"/>
        </w:rPr>
        <w:t> </w:t>
      </w:r>
      <w:r>
        <w:rPr>
          <w:sz w:val="20"/>
        </w:rPr>
        <w:t>centered</w:t>
      </w:r>
      <w:r>
        <w:rPr>
          <w:spacing w:val="-17"/>
          <w:sz w:val="20"/>
        </w:rPr>
        <w:t> </w:t>
      </w:r>
      <w:r>
        <w:rPr>
          <w:sz w:val="20"/>
        </w:rPr>
        <w:t>in</w:t>
      </w:r>
      <w:r>
        <w:rPr>
          <w:spacing w:val="-18"/>
          <w:sz w:val="20"/>
        </w:rPr>
        <w:t> </w:t>
      </w:r>
      <w:r>
        <w:rPr>
          <w:sz w:val="20"/>
        </w:rPr>
        <w:t>the</w:t>
      </w:r>
      <w:r>
        <w:rPr>
          <w:spacing w:val="-18"/>
          <w:sz w:val="20"/>
        </w:rPr>
        <w:t> </w:t>
      </w:r>
      <w:r>
        <w:rPr>
          <w:sz w:val="20"/>
        </w:rPr>
        <w:t>ob- servation</w:t>
      </w:r>
      <w:r>
        <w:rPr>
          <w:spacing w:val="-9"/>
          <w:sz w:val="20"/>
        </w:rPr>
        <w:t> </w:t>
      </w:r>
      <w:r>
        <w:rPr>
          <w:sz w:val="20"/>
        </w:rPr>
        <w:t>year</w:t>
      </w:r>
      <w:r>
        <w:rPr>
          <w:spacing w:val="-9"/>
          <w:sz w:val="20"/>
        </w:rPr>
        <w:t> </w:t>
      </w:r>
      <w:r>
        <w:rPr>
          <w:i/>
          <w:sz w:val="20"/>
        </w:rPr>
        <w:t>t</w:t>
      </w:r>
      <w:r>
        <w:rPr>
          <w:sz w:val="20"/>
        </w:rPr>
        <w:t>,</w:t>
      </w:r>
      <w:r>
        <w:rPr>
          <w:spacing w:val="-9"/>
          <w:sz w:val="20"/>
        </w:rPr>
        <w:t> </w:t>
      </w:r>
      <w:r>
        <w:rPr>
          <w:color w:val="231F20"/>
          <w:spacing w:val="2"/>
          <w:position w:val="7"/>
          <w:sz w:val="14"/>
        </w:rPr>
        <w:t>12,13</w:t>
      </w:r>
      <w:r>
        <w:rPr>
          <w:color w:val="231F20"/>
          <w:spacing w:val="-1"/>
          <w:position w:val="7"/>
          <w:sz w:val="14"/>
        </w:rPr>
        <w:t> </w:t>
      </w:r>
      <w:r>
        <w:rPr>
          <w:sz w:val="20"/>
        </w:rPr>
        <w:t>and</w:t>
      </w:r>
      <w:r>
        <w:rPr>
          <w:spacing w:val="-9"/>
          <w:sz w:val="20"/>
        </w:rPr>
        <w:t> </w:t>
      </w:r>
      <w:r>
        <w:rPr>
          <w:sz w:val="20"/>
        </w:rPr>
        <w:t>(iii)</w:t>
      </w:r>
      <w:r>
        <w:rPr>
          <w:spacing w:val="-9"/>
          <w:sz w:val="20"/>
        </w:rPr>
        <w:t> </w:t>
      </w:r>
      <w:r>
        <w:rPr>
          <w:i/>
          <w:sz w:val="20"/>
        </w:rPr>
        <w:t>C</w:t>
      </w:r>
      <w:r>
        <w:rPr>
          <w:i/>
          <w:spacing w:val="6"/>
          <w:sz w:val="20"/>
        </w:rPr>
        <w:t> </w:t>
      </w:r>
      <w:r>
        <w:rPr>
          <w:i/>
          <w:sz w:val="20"/>
        </w:rPr>
        <w:t>PZ</w:t>
      </w:r>
      <w:r>
        <w:rPr>
          <w:i/>
          <w:spacing w:val="-9"/>
          <w:sz w:val="20"/>
        </w:rPr>
        <w:t> </w:t>
      </w:r>
      <w:r>
        <w:rPr>
          <w:sz w:val="20"/>
        </w:rPr>
        <w:t>for</w:t>
      </w:r>
      <w:r>
        <w:rPr>
          <w:spacing w:val="-9"/>
          <w:sz w:val="20"/>
        </w:rPr>
        <w:t> </w:t>
      </w:r>
      <w:r>
        <w:rPr>
          <w:sz w:val="20"/>
        </w:rPr>
        <w:t>the</w:t>
      </w:r>
      <w:r>
        <w:rPr>
          <w:spacing w:val="-9"/>
          <w:sz w:val="20"/>
        </w:rPr>
        <w:t> </w:t>
      </w:r>
      <w:r>
        <w:rPr>
          <w:sz w:val="20"/>
        </w:rPr>
        <w:t>unrecorded</w:t>
      </w:r>
      <w:r>
        <w:rPr>
          <w:spacing w:val="-9"/>
          <w:sz w:val="20"/>
        </w:rPr>
        <w:t> </w:t>
      </w:r>
      <w:r>
        <w:rPr>
          <w:sz w:val="20"/>
        </w:rPr>
        <w:t>reserves</w:t>
      </w:r>
      <w:r>
        <w:rPr>
          <w:spacing w:val="-9"/>
          <w:sz w:val="20"/>
        </w:rPr>
        <w:t> </w:t>
      </w:r>
      <w:r>
        <w:rPr>
          <w:sz w:val="20"/>
        </w:rPr>
        <w:t>on</w:t>
      </w:r>
      <w:r>
        <w:rPr>
          <w:spacing w:val="-9"/>
          <w:sz w:val="20"/>
        </w:rPr>
        <w:t> </w:t>
      </w:r>
      <w:r>
        <w:rPr>
          <w:sz w:val="20"/>
        </w:rPr>
        <w:t>the</w:t>
      </w:r>
      <w:r>
        <w:rPr>
          <w:spacing w:val="-9"/>
          <w:sz w:val="20"/>
        </w:rPr>
        <w:t> </w:t>
      </w:r>
      <w:r>
        <w:rPr>
          <w:sz w:val="20"/>
        </w:rPr>
        <w:t>bal- ance</w:t>
      </w:r>
      <w:r>
        <w:rPr>
          <w:spacing w:val="-10"/>
          <w:sz w:val="20"/>
        </w:rPr>
        <w:t> </w:t>
      </w:r>
      <w:r>
        <w:rPr>
          <w:sz w:val="20"/>
        </w:rPr>
        <w:t>sheet</w:t>
      </w:r>
      <w:r>
        <w:rPr>
          <w:spacing w:val="-10"/>
          <w:sz w:val="20"/>
        </w:rPr>
        <w:t> </w:t>
      </w:r>
      <w:r>
        <w:rPr>
          <w:sz w:val="20"/>
        </w:rPr>
        <w:t>at</w:t>
      </w:r>
      <w:r>
        <w:rPr>
          <w:spacing w:val="-10"/>
          <w:sz w:val="20"/>
        </w:rPr>
        <w:t> </w:t>
      </w:r>
      <w:r>
        <w:rPr>
          <w:sz w:val="20"/>
        </w:rPr>
        <w:t>the</w:t>
      </w:r>
      <w:r>
        <w:rPr>
          <w:spacing w:val="-10"/>
          <w:sz w:val="20"/>
        </w:rPr>
        <w:t> </w:t>
      </w:r>
      <w:r>
        <w:rPr>
          <w:sz w:val="20"/>
        </w:rPr>
        <w:t>end</w:t>
      </w:r>
      <w:r>
        <w:rPr>
          <w:spacing w:val="-10"/>
          <w:sz w:val="20"/>
        </w:rPr>
        <w:t> </w:t>
      </w:r>
      <w:r>
        <w:rPr>
          <w:sz w:val="20"/>
        </w:rPr>
        <w:t>of</w:t>
      </w:r>
      <w:r>
        <w:rPr>
          <w:spacing w:val="-10"/>
          <w:sz w:val="20"/>
        </w:rPr>
        <w:t> </w:t>
      </w:r>
      <w:r>
        <w:rPr>
          <w:sz w:val="20"/>
        </w:rPr>
        <w:t>the</w:t>
      </w:r>
      <w:r>
        <w:rPr>
          <w:spacing w:val="-10"/>
          <w:sz w:val="20"/>
        </w:rPr>
        <w:t> </w:t>
      </w:r>
      <w:r>
        <w:rPr>
          <w:sz w:val="20"/>
        </w:rPr>
        <w:t>observation</w:t>
      </w:r>
      <w:r>
        <w:rPr>
          <w:spacing w:val="-10"/>
          <w:sz w:val="20"/>
        </w:rPr>
        <w:t> </w:t>
      </w:r>
      <w:r>
        <w:rPr>
          <w:sz w:val="20"/>
        </w:rPr>
        <w:t>year</w:t>
      </w:r>
      <w:r>
        <w:rPr>
          <w:spacing w:val="-10"/>
          <w:sz w:val="20"/>
        </w:rPr>
        <w:t> </w:t>
      </w:r>
      <w:r>
        <w:rPr>
          <w:sz w:val="20"/>
        </w:rPr>
        <w:t>based</w:t>
      </w:r>
      <w:r>
        <w:rPr>
          <w:spacing w:val="-10"/>
          <w:sz w:val="20"/>
        </w:rPr>
        <w:t> </w:t>
      </w:r>
      <w:r>
        <w:rPr>
          <w:sz w:val="20"/>
        </w:rPr>
        <w:t>on</w:t>
      </w:r>
      <w:r>
        <w:rPr>
          <w:spacing w:val="-10"/>
          <w:sz w:val="20"/>
        </w:rPr>
        <w:t> </w:t>
      </w:r>
      <w:r>
        <w:rPr>
          <w:sz w:val="20"/>
        </w:rPr>
        <w:t>Penman</w:t>
      </w:r>
      <w:r>
        <w:rPr>
          <w:spacing w:val="-10"/>
          <w:sz w:val="20"/>
        </w:rPr>
        <w:t> </w:t>
      </w:r>
      <w:r>
        <w:rPr>
          <w:sz w:val="20"/>
        </w:rPr>
        <w:t>and</w:t>
      </w:r>
      <w:r>
        <w:rPr>
          <w:spacing w:val="-10"/>
          <w:sz w:val="20"/>
        </w:rPr>
        <w:t> </w:t>
      </w:r>
      <w:r>
        <w:rPr>
          <w:sz w:val="20"/>
        </w:rPr>
        <w:t>Zhang [2002].</w:t>
      </w:r>
      <w:r>
        <w:rPr>
          <w:color w:val="231F20"/>
          <w:position w:val="7"/>
          <w:sz w:val="14"/>
        </w:rPr>
        <w:t>14</w:t>
      </w:r>
      <w:r>
        <w:rPr>
          <w:color w:val="231F20"/>
          <w:spacing w:val="-3"/>
          <w:position w:val="7"/>
          <w:sz w:val="14"/>
        </w:rPr>
        <w:t> </w:t>
      </w:r>
      <w:r>
        <w:rPr>
          <w:i/>
          <w:sz w:val="20"/>
        </w:rPr>
        <w:t>CRANK</w:t>
      </w:r>
      <w:r>
        <w:rPr>
          <w:i/>
          <w:spacing w:val="0"/>
          <w:sz w:val="20"/>
        </w:rPr>
        <w:t> </w:t>
      </w:r>
      <w:r>
        <w:rPr>
          <w:i/>
          <w:sz w:val="20"/>
        </w:rPr>
        <w:t>ALL</w:t>
      </w:r>
      <w:r>
        <w:rPr>
          <w:i/>
          <w:spacing w:val="-10"/>
          <w:sz w:val="20"/>
        </w:rPr>
        <w:t> </w:t>
      </w:r>
      <w:r>
        <w:rPr>
          <w:sz w:val="20"/>
        </w:rPr>
        <w:t>incorporates</w:t>
      </w:r>
      <w:r>
        <w:rPr>
          <w:spacing w:val="-10"/>
          <w:sz w:val="20"/>
        </w:rPr>
        <w:t> </w:t>
      </w:r>
      <w:r>
        <w:rPr>
          <w:sz w:val="20"/>
        </w:rPr>
        <w:t>different</w:t>
      </w:r>
      <w:r>
        <w:rPr>
          <w:spacing w:val="-10"/>
          <w:sz w:val="20"/>
        </w:rPr>
        <w:t> </w:t>
      </w:r>
      <w:r>
        <w:rPr>
          <w:sz w:val="20"/>
        </w:rPr>
        <w:t>aspects</w:t>
      </w:r>
      <w:r>
        <w:rPr>
          <w:spacing w:val="-10"/>
          <w:sz w:val="20"/>
        </w:rPr>
        <w:t> </w:t>
      </w:r>
      <w:r>
        <w:rPr>
          <w:sz w:val="20"/>
        </w:rPr>
        <w:t>of</w:t>
      </w:r>
      <w:r>
        <w:rPr>
          <w:spacing w:val="-10"/>
          <w:sz w:val="20"/>
        </w:rPr>
        <w:t> </w:t>
      </w:r>
      <w:r>
        <w:rPr>
          <w:sz w:val="20"/>
        </w:rPr>
        <w:t>conservatism:</w:t>
      </w:r>
      <w:r>
        <w:rPr>
          <w:spacing w:val="-10"/>
          <w:sz w:val="20"/>
        </w:rPr>
        <w:t> </w:t>
      </w:r>
      <w:r>
        <w:rPr>
          <w:sz w:val="20"/>
        </w:rPr>
        <w:t>con- ditional</w:t>
      </w:r>
      <w:r>
        <w:rPr>
          <w:spacing w:val="-16"/>
          <w:sz w:val="20"/>
        </w:rPr>
        <w:t> </w:t>
      </w:r>
      <w:r>
        <w:rPr>
          <w:sz w:val="20"/>
        </w:rPr>
        <w:t>conservatism</w:t>
      </w:r>
      <w:r>
        <w:rPr>
          <w:spacing w:val="-16"/>
          <w:sz w:val="20"/>
        </w:rPr>
        <w:t> </w:t>
      </w:r>
      <w:r>
        <w:rPr>
          <w:sz w:val="20"/>
        </w:rPr>
        <w:t>proxied</w:t>
      </w:r>
      <w:r>
        <w:rPr>
          <w:spacing w:val="-16"/>
          <w:sz w:val="20"/>
        </w:rPr>
        <w:t> </w:t>
      </w:r>
      <w:r>
        <w:rPr>
          <w:sz w:val="20"/>
        </w:rPr>
        <w:t>by</w:t>
      </w:r>
      <w:r>
        <w:rPr>
          <w:spacing w:val="-16"/>
          <w:sz w:val="20"/>
        </w:rPr>
        <w:t> </w:t>
      </w:r>
      <w:r>
        <w:rPr>
          <w:sz w:val="20"/>
        </w:rPr>
        <w:t>negative</w:t>
      </w:r>
      <w:r>
        <w:rPr>
          <w:spacing w:val="-16"/>
          <w:sz w:val="20"/>
        </w:rPr>
        <w:t> </w:t>
      </w:r>
      <w:r>
        <w:rPr>
          <w:sz w:val="20"/>
        </w:rPr>
        <w:t>non-operating</w:t>
      </w:r>
      <w:r>
        <w:rPr>
          <w:spacing w:val="-16"/>
          <w:sz w:val="20"/>
        </w:rPr>
        <w:t> </w:t>
      </w:r>
      <w:r>
        <w:rPr>
          <w:sz w:val="20"/>
        </w:rPr>
        <w:t>accruals</w:t>
      </w:r>
      <w:r>
        <w:rPr>
          <w:spacing w:val="-16"/>
          <w:sz w:val="20"/>
        </w:rPr>
        <w:t> </w:t>
      </w:r>
      <w:r>
        <w:rPr>
          <w:sz w:val="20"/>
        </w:rPr>
        <w:t>and</w:t>
      </w:r>
      <w:r>
        <w:rPr>
          <w:spacing w:val="-16"/>
          <w:sz w:val="20"/>
        </w:rPr>
        <w:t> </w:t>
      </w:r>
      <w:r>
        <w:rPr>
          <w:sz w:val="20"/>
        </w:rPr>
        <w:t>rel- ative</w:t>
      </w:r>
      <w:r>
        <w:rPr>
          <w:spacing w:val="-7"/>
          <w:sz w:val="20"/>
        </w:rPr>
        <w:t> </w:t>
      </w:r>
      <w:r>
        <w:rPr>
          <w:sz w:val="20"/>
        </w:rPr>
        <w:t>skewness</w:t>
      </w:r>
      <w:r>
        <w:rPr>
          <w:spacing w:val="-7"/>
          <w:sz w:val="20"/>
        </w:rPr>
        <w:t> </w:t>
      </w:r>
      <w:r>
        <w:rPr>
          <w:sz w:val="20"/>
        </w:rPr>
        <w:t>measure,</w:t>
      </w:r>
      <w:r>
        <w:rPr>
          <w:spacing w:val="-7"/>
          <w:sz w:val="20"/>
        </w:rPr>
        <w:t> </w:t>
      </w:r>
      <w:r>
        <w:rPr>
          <w:sz w:val="20"/>
        </w:rPr>
        <w:t>as</w:t>
      </w:r>
      <w:r>
        <w:rPr>
          <w:spacing w:val="-7"/>
          <w:sz w:val="20"/>
        </w:rPr>
        <w:t> </w:t>
      </w:r>
      <w:r>
        <w:rPr>
          <w:sz w:val="20"/>
        </w:rPr>
        <w:t>well</w:t>
      </w:r>
      <w:r>
        <w:rPr>
          <w:spacing w:val="-7"/>
          <w:sz w:val="20"/>
        </w:rPr>
        <w:t> </w:t>
      </w:r>
      <w:r>
        <w:rPr>
          <w:sz w:val="20"/>
        </w:rPr>
        <w:t>as</w:t>
      </w:r>
      <w:r>
        <w:rPr>
          <w:spacing w:val="-7"/>
          <w:sz w:val="20"/>
        </w:rPr>
        <w:t> </w:t>
      </w:r>
      <w:r>
        <w:rPr>
          <w:sz w:val="20"/>
        </w:rPr>
        <w:t>adoption</w:t>
      </w:r>
      <w:r>
        <w:rPr>
          <w:spacing w:val="-7"/>
          <w:sz w:val="20"/>
        </w:rPr>
        <w:t> </w:t>
      </w:r>
      <w:r>
        <w:rPr>
          <w:sz w:val="20"/>
        </w:rPr>
        <w:t>of</w:t>
      </w:r>
      <w:r>
        <w:rPr>
          <w:spacing w:val="-7"/>
          <w:sz w:val="20"/>
        </w:rPr>
        <w:t> </w:t>
      </w:r>
      <w:r>
        <w:rPr>
          <w:sz w:val="20"/>
        </w:rPr>
        <w:t>unconditional</w:t>
      </w:r>
      <w:r>
        <w:rPr>
          <w:spacing w:val="-7"/>
          <w:sz w:val="20"/>
        </w:rPr>
        <w:t> </w:t>
      </w:r>
      <w:r>
        <w:rPr>
          <w:sz w:val="20"/>
        </w:rPr>
        <w:t>accounting</w:t>
      </w:r>
    </w:p>
    <w:p>
      <w:pPr>
        <w:pStyle w:val="BodyText"/>
      </w:pPr>
    </w:p>
    <w:p>
      <w:pPr>
        <w:pStyle w:val="BodyText"/>
      </w:pPr>
    </w:p>
    <w:p>
      <w:pPr>
        <w:pStyle w:val="BodyText"/>
        <w:spacing w:before="9"/>
        <w:rPr>
          <w:sz w:val="11"/>
        </w:rPr>
      </w:pPr>
      <w:r>
        <w:rPr/>
        <w:pict>
          <v:line style="position:absolute;mso-position-horizontal-relative:page;mso-position-vertical-relative:paragraph;z-index:1264;mso-wrap-distance-left:0;mso-wrap-distance-right:0" from="90.629997pt,9.556907pt" to="126.503997pt,9.556907pt" stroked="true" strokeweight=".504pt" strokecolor="#000000">
            <v:stroke dashstyle="solid"/>
            <w10:wrap type="topAndBottom"/>
          </v:line>
        </w:pict>
      </w:r>
    </w:p>
    <w:p>
      <w:pPr>
        <w:tabs>
          <w:tab w:pos="786" w:val="left" w:leader="none"/>
          <w:tab w:pos="1137" w:val="left" w:leader="none"/>
        </w:tabs>
        <w:spacing w:before="73"/>
        <w:ind w:left="532" w:right="99" w:firstLine="179"/>
        <w:jc w:val="left"/>
        <w:rPr>
          <w:sz w:val="16"/>
        </w:rPr>
      </w:pPr>
      <w:r>
        <w:rPr>
          <w:color w:val="231F20"/>
          <w:position w:val="6"/>
          <w:sz w:val="12"/>
        </w:rPr>
        <w:t>12 </w:t>
      </w:r>
      <w:r>
        <w:rPr>
          <w:color w:val="231F20"/>
          <w:sz w:val="16"/>
        </w:rPr>
        <w:t>Conservatism results in persistently negative accruals, while the rate of accumulation of negative non-operating accruals indicates the degree of conservatism (Givoly and Hayn [2000]).</w:t>
      </w:r>
      <w:r>
        <w:rPr>
          <w:color w:val="231F20"/>
          <w:spacing w:val="-6"/>
          <w:sz w:val="16"/>
        </w:rPr>
        <w:t> </w:t>
      </w:r>
      <w:r>
        <w:rPr>
          <w:color w:val="231F20"/>
          <w:sz w:val="16"/>
        </w:rPr>
        <w:t>Averaging</w:t>
      </w:r>
      <w:r>
        <w:rPr>
          <w:color w:val="231F20"/>
          <w:spacing w:val="-6"/>
          <w:sz w:val="16"/>
        </w:rPr>
        <w:t> </w:t>
      </w:r>
      <w:r>
        <w:rPr>
          <w:color w:val="231F20"/>
          <w:sz w:val="16"/>
        </w:rPr>
        <w:t>over</w:t>
      </w:r>
      <w:r>
        <w:rPr>
          <w:color w:val="231F20"/>
          <w:spacing w:val="-6"/>
          <w:sz w:val="16"/>
        </w:rPr>
        <w:t> </w:t>
      </w:r>
      <w:r>
        <w:rPr>
          <w:color w:val="231F20"/>
          <w:sz w:val="16"/>
        </w:rPr>
        <w:t>a</w:t>
      </w:r>
      <w:r>
        <w:rPr>
          <w:color w:val="231F20"/>
          <w:spacing w:val="-6"/>
          <w:sz w:val="16"/>
        </w:rPr>
        <w:t> </w:t>
      </w:r>
      <w:r>
        <w:rPr>
          <w:color w:val="231F20"/>
          <w:sz w:val="16"/>
        </w:rPr>
        <w:t>number</w:t>
      </w:r>
      <w:r>
        <w:rPr>
          <w:color w:val="231F20"/>
          <w:spacing w:val="-7"/>
          <w:sz w:val="16"/>
        </w:rPr>
        <w:t> </w:t>
      </w:r>
      <w:r>
        <w:rPr>
          <w:color w:val="231F20"/>
          <w:sz w:val="16"/>
        </w:rPr>
        <w:t>of</w:t>
      </w:r>
      <w:r>
        <w:rPr>
          <w:color w:val="231F20"/>
          <w:spacing w:val="-6"/>
          <w:sz w:val="16"/>
        </w:rPr>
        <w:t> </w:t>
      </w:r>
      <w:r>
        <w:rPr>
          <w:color w:val="231F20"/>
          <w:sz w:val="16"/>
        </w:rPr>
        <w:t>periods</w:t>
      </w:r>
      <w:r>
        <w:rPr>
          <w:color w:val="231F20"/>
          <w:spacing w:val="-7"/>
          <w:sz w:val="16"/>
        </w:rPr>
        <w:t> </w:t>
      </w:r>
      <w:r>
        <w:rPr>
          <w:color w:val="231F20"/>
          <w:sz w:val="16"/>
        </w:rPr>
        <w:t>mitigates</w:t>
      </w:r>
      <w:r>
        <w:rPr>
          <w:color w:val="231F20"/>
          <w:spacing w:val="-6"/>
          <w:sz w:val="16"/>
        </w:rPr>
        <w:t> </w:t>
      </w:r>
      <w:r>
        <w:rPr>
          <w:color w:val="231F20"/>
          <w:sz w:val="16"/>
        </w:rPr>
        <w:t>the</w:t>
      </w:r>
      <w:r>
        <w:rPr>
          <w:color w:val="231F20"/>
          <w:spacing w:val="-6"/>
          <w:sz w:val="16"/>
        </w:rPr>
        <w:t> </w:t>
      </w:r>
      <w:r>
        <w:rPr>
          <w:color w:val="231F20"/>
          <w:sz w:val="16"/>
        </w:rPr>
        <w:t>impact</w:t>
      </w:r>
      <w:r>
        <w:rPr>
          <w:color w:val="231F20"/>
          <w:spacing w:val="-6"/>
          <w:sz w:val="16"/>
        </w:rPr>
        <w:t> </w:t>
      </w:r>
      <w:r>
        <w:rPr>
          <w:color w:val="231F20"/>
          <w:sz w:val="16"/>
        </w:rPr>
        <w:t>of</w:t>
      </w:r>
      <w:r>
        <w:rPr>
          <w:color w:val="231F20"/>
          <w:spacing w:val="-6"/>
          <w:sz w:val="16"/>
        </w:rPr>
        <w:t> </w:t>
      </w:r>
      <w:r>
        <w:rPr>
          <w:color w:val="231F20"/>
          <w:sz w:val="16"/>
        </w:rPr>
        <w:t>any</w:t>
      </w:r>
      <w:r>
        <w:rPr>
          <w:color w:val="231F20"/>
          <w:spacing w:val="-6"/>
          <w:sz w:val="16"/>
        </w:rPr>
        <w:t> </w:t>
      </w:r>
      <w:r>
        <w:rPr>
          <w:color w:val="231F20"/>
          <w:sz w:val="16"/>
        </w:rPr>
        <w:t>temporary</w:t>
      </w:r>
      <w:r>
        <w:rPr>
          <w:color w:val="231F20"/>
          <w:spacing w:val="-7"/>
          <w:sz w:val="16"/>
        </w:rPr>
        <w:t> </w:t>
      </w:r>
      <w:r>
        <w:rPr>
          <w:color w:val="231F20"/>
          <w:sz w:val="16"/>
        </w:rPr>
        <w:t>large</w:t>
      </w:r>
      <w:r>
        <w:rPr>
          <w:color w:val="231F20"/>
          <w:spacing w:val="-6"/>
          <w:sz w:val="16"/>
        </w:rPr>
        <w:t> </w:t>
      </w:r>
      <w:r>
        <w:rPr>
          <w:color w:val="231F20"/>
          <w:sz w:val="16"/>
        </w:rPr>
        <w:t>ac- cruals</w:t>
      </w:r>
      <w:r>
        <w:rPr>
          <w:color w:val="231F20"/>
          <w:spacing w:val="-19"/>
          <w:sz w:val="16"/>
        </w:rPr>
        <w:t> </w:t>
      </w:r>
      <w:r>
        <w:rPr>
          <w:color w:val="231F20"/>
          <w:sz w:val="16"/>
        </w:rPr>
        <w:t>on</w:t>
      </w:r>
      <w:r>
        <w:rPr>
          <w:color w:val="231F20"/>
          <w:spacing w:val="-19"/>
          <w:sz w:val="16"/>
        </w:rPr>
        <w:t> </w:t>
      </w:r>
      <w:r>
        <w:rPr>
          <w:color w:val="231F20"/>
          <w:sz w:val="16"/>
        </w:rPr>
        <w:t>conservatism</w:t>
      </w:r>
      <w:r>
        <w:rPr>
          <w:color w:val="231F20"/>
          <w:spacing w:val="-19"/>
          <w:sz w:val="16"/>
        </w:rPr>
        <w:t> </w:t>
      </w:r>
      <w:r>
        <w:rPr>
          <w:color w:val="231F20"/>
          <w:sz w:val="16"/>
        </w:rPr>
        <w:t>measurement,</w:t>
      </w:r>
      <w:r>
        <w:rPr>
          <w:color w:val="231F20"/>
          <w:spacing w:val="-19"/>
          <w:sz w:val="16"/>
        </w:rPr>
        <w:t> </w:t>
      </w:r>
      <w:r>
        <w:rPr>
          <w:color w:val="231F20"/>
          <w:sz w:val="16"/>
        </w:rPr>
        <w:t>as</w:t>
      </w:r>
      <w:r>
        <w:rPr>
          <w:color w:val="231F20"/>
          <w:spacing w:val="-19"/>
          <w:sz w:val="16"/>
        </w:rPr>
        <w:t> </w:t>
      </w:r>
      <w:r>
        <w:rPr>
          <w:color w:val="231F20"/>
          <w:sz w:val="16"/>
        </w:rPr>
        <w:t>accruals</w:t>
      </w:r>
      <w:r>
        <w:rPr>
          <w:color w:val="231F20"/>
          <w:spacing w:val="-19"/>
          <w:sz w:val="16"/>
        </w:rPr>
        <w:t> </w:t>
      </w:r>
      <w:r>
        <w:rPr>
          <w:color w:val="231F20"/>
          <w:sz w:val="16"/>
        </w:rPr>
        <w:t>tend</w:t>
      </w:r>
      <w:r>
        <w:rPr>
          <w:color w:val="231F20"/>
          <w:spacing w:val="-19"/>
          <w:sz w:val="16"/>
        </w:rPr>
        <w:t> </w:t>
      </w:r>
      <w:r>
        <w:rPr>
          <w:color w:val="231F20"/>
          <w:sz w:val="16"/>
        </w:rPr>
        <w:t>to</w:t>
      </w:r>
      <w:r>
        <w:rPr>
          <w:color w:val="231F20"/>
          <w:spacing w:val="-19"/>
          <w:sz w:val="16"/>
        </w:rPr>
        <w:t> </w:t>
      </w:r>
      <w:r>
        <w:rPr>
          <w:color w:val="231F20"/>
          <w:sz w:val="16"/>
        </w:rPr>
        <w:t>reverse</w:t>
      </w:r>
      <w:r>
        <w:rPr>
          <w:color w:val="231F20"/>
          <w:spacing w:val="-19"/>
          <w:sz w:val="16"/>
        </w:rPr>
        <w:t> </w:t>
      </w:r>
      <w:r>
        <w:rPr>
          <w:color w:val="231F20"/>
          <w:sz w:val="16"/>
        </w:rPr>
        <w:t>within</w:t>
      </w:r>
      <w:r>
        <w:rPr>
          <w:color w:val="231F20"/>
          <w:spacing w:val="-19"/>
          <w:sz w:val="16"/>
        </w:rPr>
        <w:t> </w:t>
      </w:r>
      <w:r>
        <w:rPr>
          <w:color w:val="231F20"/>
          <w:sz w:val="16"/>
        </w:rPr>
        <w:t>two</w:t>
      </w:r>
      <w:r>
        <w:rPr>
          <w:color w:val="231F20"/>
          <w:spacing w:val="-19"/>
          <w:sz w:val="16"/>
        </w:rPr>
        <w:t> </w:t>
      </w:r>
      <w:r>
        <w:rPr>
          <w:color w:val="231F20"/>
          <w:sz w:val="16"/>
        </w:rPr>
        <w:t>years</w:t>
      </w:r>
      <w:r>
        <w:rPr>
          <w:color w:val="231F20"/>
          <w:spacing w:val="-19"/>
          <w:sz w:val="16"/>
        </w:rPr>
        <w:t> </w:t>
      </w:r>
      <w:r>
        <w:rPr>
          <w:color w:val="231F20"/>
          <w:sz w:val="16"/>
        </w:rPr>
        <w:t>(Richardson et</w:t>
      </w:r>
      <w:r>
        <w:rPr>
          <w:color w:val="231F20"/>
          <w:spacing w:val="-5"/>
          <w:sz w:val="16"/>
        </w:rPr>
        <w:t> </w:t>
      </w:r>
      <w:r>
        <w:rPr>
          <w:color w:val="231F20"/>
          <w:sz w:val="16"/>
        </w:rPr>
        <w:t>al.</w:t>
      </w:r>
      <w:r>
        <w:rPr>
          <w:color w:val="231F20"/>
          <w:spacing w:val="-5"/>
          <w:sz w:val="16"/>
        </w:rPr>
        <w:t> </w:t>
      </w:r>
      <w:r>
        <w:rPr>
          <w:color w:val="231F20"/>
          <w:sz w:val="16"/>
        </w:rPr>
        <w:t>[2005]).</w:t>
      </w:r>
      <w:r>
        <w:rPr>
          <w:color w:val="231F20"/>
          <w:spacing w:val="-5"/>
          <w:sz w:val="16"/>
        </w:rPr>
        <w:t> </w:t>
      </w:r>
      <w:r>
        <w:rPr>
          <w:color w:val="231F20"/>
          <w:sz w:val="16"/>
        </w:rPr>
        <w:t>In</w:t>
      </w:r>
      <w:r>
        <w:rPr>
          <w:color w:val="231F20"/>
          <w:spacing w:val="-5"/>
          <w:sz w:val="16"/>
        </w:rPr>
        <w:t> </w:t>
      </w:r>
      <w:r>
        <w:rPr>
          <w:color w:val="231F20"/>
          <w:sz w:val="16"/>
        </w:rPr>
        <w:t>addition,</w:t>
      </w:r>
      <w:r>
        <w:rPr>
          <w:color w:val="231F20"/>
          <w:spacing w:val="-5"/>
          <w:sz w:val="16"/>
        </w:rPr>
        <w:t> </w:t>
      </w:r>
      <w:r>
        <w:rPr>
          <w:color w:val="231F20"/>
          <w:sz w:val="16"/>
        </w:rPr>
        <w:t>measuring</w:t>
      </w:r>
      <w:r>
        <w:rPr>
          <w:color w:val="231F20"/>
          <w:spacing w:val="-5"/>
          <w:sz w:val="16"/>
        </w:rPr>
        <w:t> </w:t>
      </w:r>
      <w:r>
        <w:rPr>
          <w:color w:val="231F20"/>
          <w:sz w:val="16"/>
        </w:rPr>
        <w:t>over</w:t>
      </w:r>
      <w:r>
        <w:rPr>
          <w:color w:val="231F20"/>
          <w:spacing w:val="-5"/>
          <w:sz w:val="16"/>
        </w:rPr>
        <w:t> </w:t>
      </w:r>
      <w:r>
        <w:rPr>
          <w:color w:val="231F20"/>
          <w:sz w:val="16"/>
        </w:rPr>
        <w:t>a</w:t>
      </w:r>
      <w:r>
        <w:rPr>
          <w:color w:val="231F20"/>
          <w:spacing w:val="-5"/>
          <w:sz w:val="16"/>
        </w:rPr>
        <w:t> </w:t>
      </w:r>
      <w:r>
        <w:rPr>
          <w:color w:val="231F20"/>
          <w:sz w:val="16"/>
        </w:rPr>
        <w:t>five-year</w:t>
      </w:r>
      <w:r>
        <w:rPr>
          <w:color w:val="231F20"/>
          <w:spacing w:val="-5"/>
          <w:sz w:val="16"/>
        </w:rPr>
        <w:t> </w:t>
      </w:r>
      <w:r>
        <w:rPr>
          <w:color w:val="231F20"/>
          <w:sz w:val="16"/>
        </w:rPr>
        <w:t>window</w:t>
      </w:r>
      <w:r>
        <w:rPr>
          <w:color w:val="231F20"/>
          <w:spacing w:val="-5"/>
          <w:sz w:val="16"/>
        </w:rPr>
        <w:t> </w:t>
      </w:r>
      <w:r>
        <w:rPr>
          <w:color w:val="231F20"/>
          <w:sz w:val="16"/>
        </w:rPr>
        <w:t>centered</w:t>
      </w:r>
      <w:r>
        <w:rPr>
          <w:color w:val="231F20"/>
          <w:spacing w:val="-5"/>
          <w:sz w:val="16"/>
        </w:rPr>
        <w:t> </w:t>
      </w:r>
      <w:r>
        <w:rPr>
          <w:color w:val="231F20"/>
          <w:sz w:val="16"/>
        </w:rPr>
        <w:t>in</w:t>
      </w:r>
      <w:r>
        <w:rPr>
          <w:color w:val="231F20"/>
          <w:spacing w:val="-5"/>
          <w:sz w:val="16"/>
        </w:rPr>
        <w:t> </w:t>
      </w:r>
      <w:r>
        <w:rPr>
          <w:color w:val="231F20"/>
          <w:sz w:val="16"/>
        </w:rPr>
        <w:t>year</w:t>
      </w:r>
      <w:r>
        <w:rPr>
          <w:color w:val="231F20"/>
          <w:spacing w:val="-5"/>
          <w:sz w:val="16"/>
        </w:rPr>
        <w:t> </w:t>
      </w:r>
      <w:r>
        <w:rPr>
          <w:i/>
          <w:color w:val="231F20"/>
          <w:sz w:val="16"/>
        </w:rPr>
        <w:t>t</w:t>
      </w:r>
      <w:r>
        <w:rPr>
          <w:color w:val="231F20"/>
          <w:sz w:val="16"/>
        </w:rPr>
        <w:t>,</w:t>
      </w:r>
      <w:r>
        <w:rPr>
          <w:color w:val="231F20"/>
          <w:spacing w:val="-5"/>
          <w:sz w:val="16"/>
        </w:rPr>
        <w:t> </w:t>
      </w:r>
      <w:r>
        <w:rPr>
          <w:color w:val="231F20"/>
          <w:sz w:val="16"/>
        </w:rPr>
        <w:t>that</w:t>
      </w:r>
      <w:r>
        <w:rPr>
          <w:color w:val="231F20"/>
          <w:spacing w:val="-5"/>
          <w:sz w:val="16"/>
        </w:rPr>
        <w:t> </w:t>
      </w:r>
      <w:r>
        <w:rPr>
          <w:color w:val="231F20"/>
          <w:sz w:val="16"/>
        </w:rPr>
        <w:t>is</w:t>
      </w:r>
      <w:r>
        <w:rPr>
          <w:color w:val="231F20"/>
          <w:spacing w:val="-5"/>
          <w:sz w:val="16"/>
        </w:rPr>
        <w:t> </w:t>
      </w:r>
      <w:r>
        <w:rPr>
          <w:color w:val="231F20"/>
          <w:sz w:val="16"/>
        </w:rPr>
        <w:t>[</w:t>
      </w:r>
      <w:r>
        <w:rPr>
          <w:i/>
          <w:color w:val="231F20"/>
          <w:sz w:val="16"/>
        </w:rPr>
        <w:t>t</w:t>
      </w:r>
      <w:r>
        <w:rPr>
          <w:i/>
          <w:color w:val="231F20"/>
          <w:spacing w:val="-5"/>
          <w:sz w:val="16"/>
        </w:rPr>
        <w:t> </w:t>
      </w:r>
      <w:r>
        <w:rPr>
          <w:color w:val="231F20"/>
          <w:sz w:val="16"/>
        </w:rPr>
        <w:t>–</w:t>
      </w:r>
      <w:r>
        <w:rPr>
          <w:color w:val="231F20"/>
          <w:spacing w:val="-5"/>
          <w:sz w:val="16"/>
        </w:rPr>
        <w:t> </w:t>
      </w:r>
      <w:r>
        <w:rPr>
          <w:color w:val="231F20"/>
          <w:sz w:val="16"/>
        </w:rPr>
        <w:t>2, </w:t>
      </w:r>
      <w:r>
        <w:rPr>
          <w:i/>
          <w:color w:val="231F20"/>
          <w:sz w:val="16"/>
        </w:rPr>
        <w:t>t</w:t>
        <w:tab/>
      </w:r>
      <w:r>
        <w:rPr>
          <w:color w:val="231F20"/>
          <w:sz w:val="16"/>
        </w:rPr>
        <w:t>2],</w:t>
      </w:r>
      <w:r>
        <w:rPr>
          <w:color w:val="231F20"/>
          <w:spacing w:val="-11"/>
          <w:sz w:val="16"/>
        </w:rPr>
        <w:t> </w:t>
      </w:r>
      <w:r>
        <w:rPr>
          <w:color w:val="231F20"/>
          <w:sz w:val="16"/>
        </w:rPr>
        <w:t>ensures</w:t>
      </w:r>
      <w:r>
        <w:rPr>
          <w:color w:val="231F20"/>
          <w:spacing w:val="-11"/>
          <w:sz w:val="16"/>
        </w:rPr>
        <w:t> </w:t>
      </w:r>
      <w:r>
        <w:rPr>
          <w:color w:val="231F20"/>
          <w:sz w:val="16"/>
        </w:rPr>
        <w:t>that</w:t>
      </w:r>
      <w:r>
        <w:rPr>
          <w:color w:val="231F20"/>
          <w:spacing w:val="-11"/>
          <w:sz w:val="16"/>
        </w:rPr>
        <w:t> </w:t>
      </w:r>
      <w:r>
        <w:rPr>
          <w:color w:val="231F20"/>
          <w:sz w:val="16"/>
        </w:rPr>
        <w:t>the</w:t>
      </w:r>
      <w:r>
        <w:rPr>
          <w:color w:val="231F20"/>
          <w:spacing w:val="-11"/>
          <w:sz w:val="16"/>
        </w:rPr>
        <w:t> </w:t>
      </w:r>
      <w:r>
        <w:rPr>
          <w:color w:val="231F20"/>
          <w:sz w:val="16"/>
        </w:rPr>
        <w:t>transitory</w:t>
      </w:r>
      <w:r>
        <w:rPr>
          <w:color w:val="231F20"/>
          <w:spacing w:val="-11"/>
          <w:sz w:val="16"/>
        </w:rPr>
        <w:t> </w:t>
      </w:r>
      <w:r>
        <w:rPr>
          <w:color w:val="231F20"/>
          <w:sz w:val="16"/>
        </w:rPr>
        <w:t>component</w:t>
      </w:r>
      <w:r>
        <w:rPr>
          <w:color w:val="231F20"/>
          <w:spacing w:val="-11"/>
          <w:sz w:val="16"/>
        </w:rPr>
        <w:t> </w:t>
      </w:r>
      <w:r>
        <w:rPr>
          <w:color w:val="231F20"/>
          <w:sz w:val="16"/>
        </w:rPr>
        <w:t>in</w:t>
      </w:r>
      <w:r>
        <w:rPr>
          <w:color w:val="231F20"/>
          <w:spacing w:val="-11"/>
          <w:sz w:val="16"/>
        </w:rPr>
        <w:t> </w:t>
      </w:r>
      <w:r>
        <w:rPr>
          <w:color w:val="231F20"/>
          <w:sz w:val="16"/>
        </w:rPr>
        <w:t>year</w:t>
      </w:r>
      <w:r>
        <w:rPr>
          <w:color w:val="231F20"/>
          <w:spacing w:val="-11"/>
          <w:sz w:val="16"/>
        </w:rPr>
        <w:t> </w:t>
      </w:r>
      <w:r>
        <w:rPr>
          <w:i/>
          <w:color w:val="231F20"/>
          <w:spacing w:val="-3"/>
          <w:sz w:val="16"/>
        </w:rPr>
        <w:t>t</w:t>
      </w:r>
      <w:r>
        <w:rPr>
          <w:color w:val="231F20"/>
          <w:spacing w:val="-3"/>
          <w:sz w:val="16"/>
        </w:rPr>
        <w:t>’s</w:t>
      </w:r>
      <w:r>
        <w:rPr>
          <w:color w:val="231F20"/>
          <w:spacing w:val="-11"/>
          <w:sz w:val="16"/>
        </w:rPr>
        <w:t> </w:t>
      </w:r>
      <w:r>
        <w:rPr>
          <w:color w:val="231F20"/>
          <w:sz w:val="16"/>
        </w:rPr>
        <w:t>non-operating</w:t>
      </w:r>
      <w:r>
        <w:rPr>
          <w:color w:val="231F20"/>
          <w:spacing w:val="-11"/>
          <w:sz w:val="16"/>
        </w:rPr>
        <w:t> </w:t>
      </w:r>
      <w:r>
        <w:rPr>
          <w:color w:val="231F20"/>
          <w:sz w:val="16"/>
        </w:rPr>
        <w:t>accruals</w:t>
      </w:r>
      <w:r>
        <w:rPr>
          <w:color w:val="231F20"/>
          <w:spacing w:val="-11"/>
          <w:sz w:val="16"/>
        </w:rPr>
        <w:t> </w:t>
      </w:r>
      <w:r>
        <w:rPr>
          <w:color w:val="231F20"/>
          <w:sz w:val="16"/>
        </w:rPr>
        <w:t>is</w:t>
      </w:r>
      <w:r>
        <w:rPr>
          <w:color w:val="231F20"/>
          <w:spacing w:val="-11"/>
          <w:sz w:val="16"/>
        </w:rPr>
        <w:t> </w:t>
      </w:r>
      <w:r>
        <w:rPr>
          <w:color w:val="231F20"/>
          <w:sz w:val="16"/>
        </w:rPr>
        <w:t>reversed</w:t>
      </w:r>
      <w:r>
        <w:rPr>
          <w:color w:val="231F20"/>
          <w:spacing w:val="-11"/>
          <w:sz w:val="16"/>
        </w:rPr>
        <w:t> </w:t>
      </w:r>
      <w:r>
        <w:rPr>
          <w:color w:val="231F20"/>
          <w:sz w:val="16"/>
        </w:rPr>
        <w:t>by year</w:t>
      </w:r>
      <w:r>
        <w:rPr>
          <w:color w:val="231F20"/>
          <w:spacing w:val="-2"/>
          <w:sz w:val="16"/>
        </w:rPr>
        <w:t> </w:t>
      </w:r>
      <w:r>
        <w:rPr>
          <w:i/>
          <w:color w:val="231F20"/>
          <w:sz w:val="16"/>
        </w:rPr>
        <w:t>t</w:t>
        <w:tab/>
      </w:r>
      <w:r>
        <w:rPr>
          <w:color w:val="231F20"/>
          <w:sz w:val="16"/>
        </w:rPr>
        <w:t>2, while the noise with reversal of temporary large accruals from </w:t>
      </w:r>
      <w:r>
        <w:rPr>
          <w:i/>
          <w:color w:val="231F20"/>
          <w:sz w:val="16"/>
        </w:rPr>
        <w:t>t </w:t>
      </w:r>
      <w:r>
        <w:rPr>
          <w:color w:val="231F20"/>
          <w:sz w:val="16"/>
        </w:rPr>
        <w:t>– 2 through </w:t>
      </w:r>
      <w:r>
        <w:rPr>
          <w:i/>
          <w:color w:val="231F20"/>
          <w:sz w:val="16"/>
        </w:rPr>
        <w:t>t </w:t>
      </w:r>
      <w:r>
        <w:rPr>
          <w:color w:val="231F20"/>
          <w:spacing w:val="7"/>
          <w:sz w:val="16"/>
        </w:rPr>
        <w:t>– </w:t>
      </w:r>
      <w:r>
        <w:rPr>
          <w:color w:val="231F20"/>
          <w:sz w:val="16"/>
        </w:rPr>
        <w:t>1 can</w:t>
      </w:r>
      <w:r>
        <w:rPr>
          <w:color w:val="231F20"/>
          <w:spacing w:val="-16"/>
          <w:sz w:val="16"/>
        </w:rPr>
        <w:t> </w:t>
      </w:r>
      <w:r>
        <w:rPr>
          <w:color w:val="231F20"/>
          <w:sz w:val="16"/>
        </w:rPr>
        <w:t>also</w:t>
      </w:r>
      <w:r>
        <w:rPr>
          <w:color w:val="231F20"/>
          <w:spacing w:val="-17"/>
          <w:sz w:val="16"/>
        </w:rPr>
        <w:t> </w:t>
      </w:r>
      <w:r>
        <w:rPr>
          <w:color w:val="231F20"/>
          <w:sz w:val="16"/>
        </w:rPr>
        <w:t>be</w:t>
      </w:r>
      <w:r>
        <w:rPr>
          <w:color w:val="231F20"/>
          <w:spacing w:val="-16"/>
          <w:sz w:val="16"/>
        </w:rPr>
        <w:t> </w:t>
      </w:r>
      <w:r>
        <w:rPr>
          <w:color w:val="231F20"/>
          <w:sz w:val="16"/>
        </w:rPr>
        <w:t>removed.</w:t>
      </w:r>
      <w:r>
        <w:rPr>
          <w:color w:val="231F20"/>
          <w:spacing w:val="-17"/>
          <w:sz w:val="16"/>
        </w:rPr>
        <w:t> </w:t>
      </w:r>
      <w:r>
        <w:rPr>
          <w:color w:val="231F20"/>
          <w:sz w:val="16"/>
        </w:rPr>
        <w:t>Last,</w:t>
      </w:r>
      <w:r>
        <w:rPr>
          <w:color w:val="231F20"/>
          <w:spacing w:val="-16"/>
          <w:sz w:val="16"/>
        </w:rPr>
        <w:t> </w:t>
      </w:r>
      <w:r>
        <w:rPr>
          <w:color w:val="231F20"/>
          <w:sz w:val="16"/>
        </w:rPr>
        <w:t>choosing</w:t>
      </w:r>
      <w:r>
        <w:rPr>
          <w:color w:val="231F20"/>
          <w:spacing w:val="-16"/>
          <w:sz w:val="16"/>
        </w:rPr>
        <w:t> </w:t>
      </w:r>
      <w:r>
        <w:rPr>
          <w:color w:val="231F20"/>
          <w:sz w:val="16"/>
        </w:rPr>
        <w:t>the</w:t>
      </w:r>
      <w:r>
        <w:rPr>
          <w:color w:val="231F20"/>
          <w:spacing w:val="-16"/>
          <w:sz w:val="16"/>
        </w:rPr>
        <w:t> </w:t>
      </w:r>
      <w:r>
        <w:rPr>
          <w:color w:val="231F20"/>
          <w:sz w:val="16"/>
        </w:rPr>
        <w:t>measurement</w:t>
      </w:r>
      <w:r>
        <w:rPr>
          <w:color w:val="231F20"/>
          <w:spacing w:val="-17"/>
          <w:sz w:val="16"/>
        </w:rPr>
        <w:t> </w:t>
      </w:r>
      <w:r>
        <w:rPr>
          <w:color w:val="231F20"/>
          <w:sz w:val="16"/>
        </w:rPr>
        <w:t>window</w:t>
      </w:r>
      <w:r>
        <w:rPr>
          <w:color w:val="231F20"/>
          <w:spacing w:val="-17"/>
          <w:sz w:val="16"/>
        </w:rPr>
        <w:t> </w:t>
      </w:r>
      <w:r>
        <w:rPr>
          <w:color w:val="231F20"/>
          <w:sz w:val="16"/>
        </w:rPr>
        <w:t>centered</w:t>
      </w:r>
      <w:r>
        <w:rPr>
          <w:color w:val="231F20"/>
          <w:spacing w:val="-16"/>
          <w:sz w:val="16"/>
        </w:rPr>
        <w:t> </w:t>
      </w:r>
      <w:r>
        <w:rPr>
          <w:color w:val="231F20"/>
          <w:sz w:val="16"/>
        </w:rPr>
        <w:t>in</w:t>
      </w:r>
      <w:r>
        <w:rPr>
          <w:color w:val="231F20"/>
          <w:spacing w:val="-16"/>
          <w:sz w:val="16"/>
        </w:rPr>
        <w:t> </w:t>
      </w:r>
      <w:r>
        <w:rPr>
          <w:color w:val="231F20"/>
          <w:sz w:val="16"/>
        </w:rPr>
        <w:t>year</w:t>
      </w:r>
      <w:r>
        <w:rPr>
          <w:color w:val="231F20"/>
          <w:spacing w:val="-17"/>
          <w:sz w:val="16"/>
        </w:rPr>
        <w:t> </w:t>
      </w:r>
      <w:r>
        <w:rPr>
          <w:i/>
          <w:color w:val="231F20"/>
          <w:sz w:val="16"/>
        </w:rPr>
        <w:t>t</w:t>
      </w:r>
      <w:r>
        <w:rPr>
          <w:i/>
          <w:color w:val="231F20"/>
          <w:spacing w:val="-16"/>
          <w:sz w:val="16"/>
        </w:rPr>
        <w:t> </w:t>
      </w:r>
      <w:r>
        <w:rPr>
          <w:color w:val="231F20"/>
          <w:sz w:val="16"/>
        </w:rPr>
        <w:t>(as</w:t>
      </w:r>
      <w:r>
        <w:rPr>
          <w:color w:val="231F20"/>
          <w:spacing w:val="-16"/>
          <w:sz w:val="16"/>
        </w:rPr>
        <w:t> </w:t>
      </w:r>
      <w:r>
        <w:rPr>
          <w:color w:val="231F20"/>
          <w:sz w:val="16"/>
        </w:rPr>
        <w:t>in</w:t>
      </w:r>
      <w:r>
        <w:rPr>
          <w:color w:val="231F20"/>
          <w:spacing w:val="-16"/>
          <w:sz w:val="16"/>
        </w:rPr>
        <w:t> </w:t>
      </w:r>
      <w:r>
        <w:rPr>
          <w:color w:val="231F20"/>
          <w:sz w:val="16"/>
        </w:rPr>
        <w:t>Ahmed and Duellman [2007], Krishnan and Visvanathan [2008]) instead of up to year </w:t>
      </w:r>
      <w:r>
        <w:rPr>
          <w:i/>
          <w:color w:val="231F20"/>
          <w:sz w:val="16"/>
        </w:rPr>
        <w:t>t </w:t>
      </w:r>
      <w:r>
        <w:rPr>
          <w:color w:val="231F20"/>
          <w:sz w:val="16"/>
        </w:rPr>
        <w:t>(as in Zhang [2008], Beatty, </w:t>
      </w:r>
      <w:r>
        <w:rPr>
          <w:color w:val="231F20"/>
          <w:spacing w:val="-4"/>
          <w:sz w:val="16"/>
        </w:rPr>
        <w:t>Weber, </w:t>
      </w:r>
      <w:r>
        <w:rPr>
          <w:color w:val="231F20"/>
          <w:sz w:val="16"/>
        </w:rPr>
        <w:t>and </w:t>
      </w:r>
      <w:r>
        <w:rPr>
          <w:color w:val="231F20"/>
          <w:spacing w:val="-4"/>
          <w:sz w:val="16"/>
        </w:rPr>
        <w:t>Yu </w:t>
      </w:r>
      <w:r>
        <w:rPr>
          <w:color w:val="231F20"/>
          <w:sz w:val="16"/>
        </w:rPr>
        <w:t>[2008]), facilitates the appropriate lead-lag model specification since we measure the determinants of conservatism in year </w:t>
      </w:r>
      <w:r>
        <w:rPr>
          <w:i/>
          <w:color w:val="231F20"/>
          <w:sz w:val="16"/>
        </w:rPr>
        <w:t>t </w:t>
      </w:r>
      <w:r>
        <w:rPr>
          <w:color w:val="231F20"/>
          <w:sz w:val="16"/>
        </w:rPr>
        <w:t>–</w:t>
      </w:r>
      <w:r>
        <w:rPr>
          <w:color w:val="231F20"/>
          <w:spacing w:val="-13"/>
          <w:sz w:val="16"/>
        </w:rPr>
        <w:t> </w:t>
      </w:r>
      <w:r>
        <w:rPr>
          <w:color w:val="231F20"/>
          <w:sz w:val="16"/>
        </w:rPr>
        <w:t>1.</w:t>
      </w:r>
    </w:p>
    <w:p>
      <w:pPr>
        <w:spacing w:line="203" w:lineRule="exact" w:before="0"/>
        <w:ind w:left="711" w:right="0" w:firstLine="0"/>
        <w:jc w:val="left"/>
        <w:rPr>
          <w:sz w:val="16"/>
        </w:rPr>
      </w:pPr>
      <w:r>
        <w:rPr/>
        <w:pict>
          <v:line style="position:absolute;mso-position-horizontal-relative:page;mso-position-vertical-relative:paragraph;z-index:-70288" from="237.095993pt,7.709133pt" to="239.489993pt,7.709133pt" stroked="true" strokeweight=".405pt" strokecolor="#000000">
            <v:stroke dashstyle="solid"/>
            <w10:wrap type="none"/>
          </v:line>
        </w:pict>
      </w:r>
      <w:r>
        <w:rPr/>
        <w:pict>
          <v:line style="position:absolute;mso-position-horizontal-relative:page;mso-position-vertical-relative:paragraph;z-index:-70264" from="283.463989pt,7.709133pt" to="285.857989pt,7.709133pt" stroked="true" strokeweight=".405pt" strokecolor="#000000">
            <v:stroke dashstyle="solid"/>
            <w10:wrap type="none"/>
          </v:line>
        </w:pict>
      </w:r>
      <w:r>
        <w:rPr/>
        <w:pict>
          <v:shape style="position:absolute;margin-left:112.187088pt;margin-top:-48.240318pt;width:6.25pt;height:13.95pt;mso-position-horizontal-relative:page;mso-position-vertical-relative:paragraph;z-index:-7016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94.977257pt;margin-top:-58.202946pt;width:6.25pt;height:13.95pt;mso-position-horizontal-relative:page;mso-position-vertical-relative:paragraph;z-index:-7014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position w:val="6"/>
          <w:sz w:val="12"/>
        </w:rPr>
        <w:t>13</w:t>
      </w:r>
      <w:r>
        <w:rPr>
          <w:color w:val="231F20"/>
          <w:spacing w:val="-17"/>
          <w:position w:val="6"/>
          <w:sz w:val="12"/>
        </w:rPr>
        <w:t> </w:t>
      </w:r>
      <w:r>
        <w:rPr>
          <w:color w:val="231F20"/>
          <w:sz w:val="16"/>
        </w:rPr>
        <w:t>In</w:t>
      </w:r>
      <w:r>
        <w:rPr>
          <w:color w:val="231F20"/>
          <w:spacing w:val="-8"/>
          <w:sz w:val="16"/>
        </w:rPr>
        <w:t> </w:t>
      </w:r>
      <w:r>
        <w:rPr>
          <w:color w:val="231F20"/>
          <w:sz w:val="16"/>
        </w:rPr>
        <w:t>additional</w:t>
      </w:r>
      <w:r>
        <w:rPr>
          <w:color w:val="231F20"/>
          <w:spacing w:val="-8"/>
          <w:sz w:val="16"/>
        </w:rPr>
        <w:t> </w:t>
      </w:r>
      <w:r>
        <w:rPr>
          <w:color w:val="231F20"/>
          <w:sz w:val="16"/>
        </w:rPr>
        <w:t>analyses,</w:t>
      </w:r>
      <w:r>
        <w:rPr>
          <w:color w:val="231F20"/>
          <w:spacing w:val="-8"/>
          <w:sz w:val="16"/>
        </w:rPr>
        <w:t> </w:t>
      </w:r>
      <w:r>
        <w:rPr>
          <w:color w:val="231F20"/>
          <w:sz w:val="16"/>
        </w:rPr>
        <w:t>we</w:t>
      </w:r>
      <w:r>
        <w:rPr>
          <w:color w:val="231F20"/>
          <w:spacing w:val="-8"/>
          <w:sz w:val="16"/>
        </w:rPr>
        <w:t> </w:t>
      </w:r>
      <w:r>
        <w:rPr>
          <w:color w:val="231F20"/>
          <w:sz w:val="16"/>
        </w:rPr>
        <w:t>measure</w:t>
      </w:r>
      <w:r>
        <w:rPr>
          <w:color w:val="231F20"/>
          <w:spacing w:val="-8"/>
          <w:sz w:val="16"/>
        </w:rPr>
        <w:t> </w:t>
      </w:r>
      <w:r>
        <w:rPr>
          <w:i/>
          <w:color w:val="231F20"/>
          <w:sz w:val="16"/>
        </w:rPr>
        <w:t>C</w:t>
      </w:r>
      <w:r>
        <w:rPr>
          <w:i/>
          <w:color w:val="231F20"/>
          <w:spacing w:val="-4"/>
          <w:sz w:val="16"/>
        </w:rPr>
        <w:t> </w:t>
      </w:r>
      <w:r>
        <w:rPr>
          <w:i/>
          <w:color w:val="231F20"/>
          <w:sz w:val="16"/>
        </w:rPr>
        <w:t>ACCR</w:t>
      </w:r>
      <w:r>
        <w:rPr>
          <w:i/>
          <w:color w:val="231F20"/>
          <w:spacing w:val="-8"/>
          <w:sz w:val="16"/>
        </w:rPr>
        <w:t> </w:t>
      </w:r>
      <w:r>
        <w:rPr>
          <w:color w:val="231F20"/>
          <w:sz w:val="16"/>
        </w:rPr>
        <w:t>and</w:t>
      </w:r>
      <w:r>
        <w:rPr>
          <w:color w:val="231F20"/>
          <w:spacing w:val="-8"/>
          <w:sz w:val="16"/>
        </w:rPr>
        <w:t> </w:t>
      </w:r>
      <w:r>
        <w:rPr>
          <w:i/>
          <w:color w:val="231F20"/>
          <w:sz w:val="16"/>
        </w:rPr>
        <w:t>C</w:t>
      </w:r>
      <w:r>
        <w:rPr>
          <w:i/>
          <w:color w:val="231F20"/>
          <w:spacing w:val="-4"/>
          <w:sz w:val="16"/>
        </w:rPr>
        <w:t> </w:t>
      </w:r>
      <w:r>
        <w:rPr>
          <w:i/>
          <w:color w:val="231F20"/>
          <w:sz w:val="16"/>
        </w:rPr>
        <w:t>SKEW</w:t>
      </w:r>
      <w:r>
        <w:rPr>
          <w:i/>
          <w:color w:val="231F20"/>
          <w:spacing w:val="-8"/>
          <w:sz w:val="16"/>
        </w:rPr>
        <w:t> </w:t>
      </w:r>
      <w:r>
        <w:rPr>
          <w:color w:val="231F20"/>
          <w:sz w:val="16"/>
        </w:rPr>
        <w:t>over</w:t>
      </w:r>
      <w:r>
        <w:rPr>
          <w:color w:val="231F20"/>
          <w:spacing w:val="-8"/>
          <w:sz w:val="16"/>
        </w:rPr>
        <w:t> </w:t>
      </w:r>
      <w:r>
        <w:rPr>
          <w:color w:val="231F20"/>
          <w:sz w:val="16"/>
        </w:rPr>
        <w:t>either</w:t>
      </w:r>
      <w:r>
        <w:rPr>
          <w:color w:val="231F20"/>
          <w:spacing w:val="-8"/>
          <w:sz w:val="16"/>
        </w:rPr>
        <w:t> </w:t>
      </w:r>
      <w:r>
        <w:rPr>
          <w:color w:val="231F20"/>
          <w:sz w:val="16"/>
        </w:rPr>
        <w:t>a</w:t>
      </w:r>
      <w:r>
        <w:rPr>
          <w:color w:val="231F20"/>
          <w:spacing w:val="-8"/>
          <w:sz w:val="16"/>
        </w:rPr>
        <w:t> </w:t>
      </w:r>
      <w:r>
        <w:rPr>
          <w:color w:val="231F20"/>
          <w:sz w:val="16"/>
        </w:rPr>
        <w:t>five-year</w:t>
      </w:r>
      <w:r>
        <w:rPr>
          <w:color w:val="231F20"/>
          <w:spacing w:val="-8"/>
          <w:sz w:val="16"/>
        </w:rPr>
        <w:t> </w:t>
      </w:r>
      <w:r>
        <w:rPr>
          <w:color w:val="231F20"/>
          <w:sz w:val="16"/>
        </w:rPr>
        <w:t>window</w:t>
      </w:r>
    </w:p>
    <w:p>
      <w:pPr>
        <w:spacing w:before="1"/>
        <w:ind w:left="532" w:right="149" w:firstLine="0"/>
        <w:jc w:val="both"/>
        <w:rPr>
          <w:sz w:val="16"/>
        </w:rPr>
      </w:pPr>
      <w:r>
        <w:rPr/>
        <w:pict>
          <v:shape style="position:absolute;margin-left:158.205231pt;margin-top:1.389398pt;width:6.25pt;height:13.95pt;mso-position-horizontal-relative:page;mso-position-vertical-relative:paragraph;z-index:-7012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centered in year </w:t>
      </w:r>
      <w:r>
        <w:rPr>
          <w:i/>
          <w:color w:val="231F20"/>
          <w:sz w:val="16"/>
        </w:rPr>
        <w:t>t </w:t>
      </w:r>
      <w:r>
        <w:rPr>
          <w:color w:val="231F20"/>
          <w:sz w:val="16"/>
        </w:rPr>
        <w:t>1 or a three-year window centered in year </w:t>
      </w:r>
      <w:r>
        <w:rPr>
          <w:i/>
          <w:color w:val="231F20"/>
          <w:sz w:val="16"/>
        </w:rPr>
        <w:t>t</w:t>
      </w:r>
      <w:r>
        <w:rPr>
          <w:color w:val="231F20"/>
          <w:sz w:val="16"/>
        </w:rPr>
        <w:t>, and still find a positive  effect of the court ruling on conservatism when conservatism is measured as negative non- operating</w:t>
      </w:r>
      <w:r>
        <w:rPr>
          <w:color w:val="231F20"/>
          <w:spacing w:val="-14"/>
          <w:sz w:val="16"/>
        </w:rPr>
        <w:t> </w:t>
      </w:r>
      <w:r>
        <w:rPr>
          <w:color w:val="231F20"/>
          <w:sz w:val="16"/>
        </w:rPr>
        <w:t>accruals,</w:t>
      </w:r>
      <w:r>
        <w:rPr>
          <w:color w:val="231F20"/>
          <w:spacing w:val="-14"/>
          <w:sz w:val="16"/>
        </w:rPr>
        <w:t> </w:t>
      </w:r>
      <w:r>
        <w:rPr>
          <w:color w:val="231F20"/>
          <w:sz w:val="16"/>
        </w:rPr>
        <w:t>relative</w:t>
      </w:r>
      <w:r>
        <w:rPr>
          <w:color w:val="231F20"/>
          <w:spacing w:val="-14"/>
          <w:sz w:val="16"/>
        </w:rPr>
        <w:t> </w:t>
      </w:r>
      <w:r>
        <w:rPr>
          <w:color w:val="231F20"/>
          <w:sz w:val="16"/>
        </w:rPr>
        <w:t>earnings</w:t>
      </w:r>
      <w:r>
        <w:rPr>
          <w:color w:val="231F20"/>
          <w:spacing w:val="-14"/>
          <w:sz w:val="16"/>
        </w:rPr>
        <w:t> </w:t>
      </w:r>
      <w:r>
        <w:rPr>
          <w:color w:val="231F20"/>
          <w:sz w:val="16"/>
        </w:rPr>
        <w:t>skewness,</w:t>
      </w:r>
      <w:r>
        <w:rPr>
          <w:color w:val="231F20"/>
          <w:spacing w:val="-14"/>
          <w:sz w:val="16"/>
        </w:rPr>
        <w:t> </w:t>
      </w:r>
      <w:r>
        <w:rPr>
          <w:color w:val="231F20"/>
          <w:sz w:val="16"/>
        </w:rPr>
        <w:t>and</w:t>
      </w:r>
      <w:r>
        <w:rPr>
          <w:color w:val="231F20"/>
          <w:spacing w:val="-14"/>
          <w:sz w:val="16"/>
        </w:rPr>
        <w:t> </w:t>
      </w:r>
      <w:r>
        <w:rPr>
          <w:color w:val="231F20"/>
          <w:sz w:val="16"/>
        </w:rPr>
        <w:t>the</w:t>
      </w:r>
      <w:r>
        <w:rPr>
          <w:color w:val="231F20"/>
          <w:spacing w:val="-14"/>
          <w:sz w:val="16"/>
        </w:rPr>
        <w:t> </w:t>
      </w:r>
      <w:r>
        <w:rPr>
          <w:color w:val="231F20"/>
          <w:sz w:val="16"/>
        </w:rPr>
        <w:t>composite</w:t>
      </w:r>
      <w:r>
        <w:rPr>
          <w:color w:val="231F20"/>
          <w:spacing w:val="-14"/>
          <w:sz w:val="16"/>
        </w:rPr>
        <w:t> </w:t>
      </w:r>
      <w:r>
        <w:rPr>
          <w:color w:val="231F20"/>
          <w:sz w:val="16"/>
        </w:rPr>
        <w:t>conservatism</w:t>
      </w:r>
      <w:r>
        <w:rPr>
          <w:color w:val="231F20"/>
          <w:spacing w:val="-14"/>
          <w:sz w:val="16"/>
        </w:rPr>
        <w:t> </w:t>
      </w:r>
      <w:r>
        <w:rPr>
          <w:color w:val="231F20"/>
          <w:sz w:val="16"/>
        </w:rPr>
        <w:t>measure</w:t>
      </w:r>
      <w:r>
        <w:rPr>
          <w:color w:val="231F20"/>
          <w:spacing w:val="-14"/>
          <w:sz w:val="16"/>
        </w:rPr>
        <w:t> </w:t>
      </w:r>
      <w:r>
        <w:rPr>
          <w:color w:val="231F20"/>
          <w:sz w:val="16"/>
        </w:rPr>
        <w:t>(see online appendix table</w:t>
      </w:r>
      <w:r>
        <w:rPr>
          <w:color w:val="231F20"/>
          <w:spacing w:val="1"/>
          <w:sz w:val="16"/>
        </w:rPr>
        <w:t> </w:t>
      </w:r>
      <w:r>
        <w:rPr>
          <w:color w:val="231F20"/>
          <w:sz w:val="16"/>
        </w:rPr>
        <w:t>A1).</w:t>
      </w:r>
    </w:p>
    <w:p>
      <w:pPr>
        <w:spacing w:line="201" w:lineRule="exact" w:before="0"/>
        <w:ind w:left="711" w:right="0" w:firstLine="0"/>
        <w:jc w:val="left"/>
        <w:rPr>
          <w:sz w:val="16"/>
        </w:rPr>
      </w:pPr>
      <w:r>
        <w:rPr/>
        <w:pict>
          <v:line style="position:absolute;mso-position-horizontal-relative:page;mso-position-vertical-relative:paragraph;z-index:-70240" from="155.141998pt,7.567452pt" to="157.535998pt,7.567452pt" stroked="true" strokeweight=".405pt" strokecolor="#000000">
            <v:stroke dashstyle="solid"/>
            <w10:wrap type="none"/>
          </v:line>
        </w:pict>
      </w:r>
      <w:r>
        <w:rPr>
          <w:color w:val="231F20"/>
          <w:position w:val="6"/>
          <w:sz w:val="12"/>
        </w:rPr>
        <w:t>14 </w:t>
      </w:r>
      <w:r>
        <w:rPr>
          <w:color w:val="231F20"/>
          <w:sz w:val="16"/>
        </w:rPr>
        <w:t>Specifically, </w:t>
      </w:r>
      <w:r>
        <w:rPr>
          <w:i/>
          <w:color w:val="231F20"/>
          <w:sz w:val="16"/>
        </w:rPr>
        <w:t>C PZ </w:t>
      </w:r>
      <w:r>
        <w:rPr>
          <w:color w:val="231F20"/>
          <w:sz w:val="16"/>
        </w:rPr>
        <w:t>is calculated as the sum of (i) LIFO reserve as reported in the observa-</w:t>
      </w:r>
    </w:p>
    <w:p>
      <w:pPr>
        <w:spacing w:before="0"/>
        <w:ind w:left="532" w:right="148" w:firstLine="0"/>
        <w:jc w:val="both"/>
        <w:rPr>
          <w:sz w:val="16"/>
        </w:rPr>
      </w:pPr>
      <w:r>
        <w:rPr>
          <w:color w:val="231F20"/>
          <w:sz w:val="16"/>
        </w:rPr>
        <w:t>tion year </w:t>
      </w:r>
      <w:r>
        <w:rPr>
          <w:i/>
          <w:color w:val="231F20"/>
          <w:spacing w:val="-3"/>
          <w:sz w:val="16"/>
        </w:rPr>
        <w:t>t</w:t>
      </w:r>
      <w:r>
        <w:rPr>
          <w:color w:val="231F20"/>
          <w:spacing w:val="-3"/>
          <w:sz w:val="16"/>
        </w:rPr>
        <w:t>’s </w:t>
      </w:r>
      <w:r>
        <w:rPr>
          <w:color w:val="231F20"/>
          <w:sz w:val="16"/>
        </w:rPr>
        <w:t>financial statement, (ii) R&amp;D reserve that would have been on the balance</w:t>
      </w:r>
      <w:r>
        <w:rPr>
          <w:color w:val="231F20"/>
          <w:spacing w:val="-27"/>
          <w:sz w:val="16"/>
        </w:rPr>
        <w:t> </w:t>
      </w:r>
      <w:r>
        <w:rPr>
          <w:color w:val="231F20"/>
          <w:sz w:val="16"/>
        </w:rPr>
        <w:t>sheet at</w:t>
      </w:r>
      <w:r>
        <w:rPr>
          <w:color w:val="231F20"/>
          <w:spacing w:val="-6"/>
          <w:sz w:val="16"/>
        </w:rPr>
        <w:t> </w:t>
      </w:r>
      <w:r>
        <w:rPr>
          <w:color w:val="231F20"/>
          <w:sz w:val="16"/>
        </w:rPr>
        <w:t>the</w:t>
      </w:r>
      <w:r>
        <w:rPr>
          <w:color w:val="231F20"/>
          <w:spacing w:val="-6"/>
          <w:sz w:val="16"/>
        </w:rPr>
        <w:t> </w:t>
      </w:r>
      <w:r>
        <w:rPr>
          <w:color w:val="231F20"/>
          <w:sz w:val="16"/>
        </w:rPr>
        <w:t>end</w:t>
      </w:r>
      <w:r>
        <w:rPr>
          <w:color w:val="231F20"/>
          <w:spacing w:val="-6"/>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observation</w:t>
      </w:r>
      <w:r>
        <w:rPr>
          <w:color w:val="231F20"/>
          <w:spacing w:val="-6"/>
          <w:sz w:val="16"/>
        </w:rPr>
        <w:t> </w:t>
      </w:r>
      <w:r>
        <w:rPr>
          <w:color w:val="231F20"/>
          <w:sz w:val="16"/>
        </w:rPr>
        <w:t>year</w:t>
      </w:r>
      <w:r>
        <w:rPr>
          <w:color w:val="231F20"/>
          <w:spacing w:val="-7"/>
          <w:sz w:val="16"/>
        </w:rPr>
        <w:t> </w:t>
      </w:r>
      <w:r>
        <w:rPr>
          <w:i/>
          <w:color w:val="231F20"/>
          <w:sz w:val="16"/>
        </w:rPr>
        <w:t>t</w:t>
      </w:r>
      <w:r>
        <w:rPr>
          <w:i/>
          <w:color w:val="231F20"/>
          <w:spacing w:val="-6"/>
          <w:sz w:val="16"/>
        </w:rPr>
        <w:t> </w:t>
      </w:r>
      <w:r>
        <w:rPr>
          <w:color w:val="231F20"/>
          <w:sz w:val="16"/>
        </w:rPr>
        <w:t>if</w:t>
      </w:r>
      <w:r>
        <w:rPr>
          <w:color w:val="231F20"/>
          <w:spacing w:val="-6"/>
          <w:sz w:val="16"/>
        </w:rPr>
        <w:t> </w:t>
      </w:r>
      <w:r>
        <w:rPr>
          <w:color w:val="231F20"/>
          <w:sz w:val="16"/>
        </w:rPr>
        <w:t>R&amp;D</w:t>
      </w:r>
      <w:r>
        <w:rPr>
          <w:color w:val="231F20"/>
          <w:spacing w:val="-6"/>
          <w:sz w:val="16"/>
        </w:rPr>
        <w:t> </w:t>
      </w:r>
      <w:r>
        <w:rPr>
          <w:color w:val="231F20"/>
          <w:sz w:val="16"/>
        </w:rPr>
        <w:t>expenditures</w:t>
      </w:r>
      <w:r>
        <w:rPr>
          <w:color w:val="231F20"/>
          <w:spacing w:val="-6"/>
          <w:sz w:val="16"/>
        </w:rPr>
        <w:t> </w:t>
      </w:r>
      <w:r>
        <w:rPr>
          <w:color w:val="231F20"/>
          <w:sz w:val="16"/>
        </w:rPr>
        <w:t>had</w:t>
      </w:r>
      <w:r>
        <w:rPr>
          <w:color w:val="231F20"/>
          <w:spacing w:val="-6"/>
          <w:sz w:val="16"/>
        </w:rPr>
        <w:t> </w:t>
      </w:r>
      <w:r>
        <w:rPr>
          <w:color w:val="231F20"/>
          <w:sz w:val="16"/>
        </w:rPr>
        <w:t>been</w:t>
      </w:r>
      <w:r>
        <w:rPr>
          <w:color w:val="231F20"/>
          <w:spacing w:val="-6"/>
          <w:sz w:val="16"/>
        </w:rPr>
        <w:t> </w:t>
      </w:r>
      <w:r>
        <w:rPr>
          <w:color w:val="231F20"/>
          <w:sz w:val="16"/>
        </w:rPr>
        <w:t>capitalized</w:t>
      </w:r>
      <w:r>
        <w:rPr>
          <w:color w:val="231F20"/>
          <w:spacing w:val="-6"/>
          <w:sz w:val="16"/>
        </w:rPr>
        <w:t> </w:t>
      </w:r>
      <w:r>
        <w:rPr>
          <w:color w:val="231F20"/>
          <w:sz w:val="16"/>
        </w:rPr>
        <w:t>and</w:t>
      </w:r>
      <w:r>
        <w:rPr>
          <w:color w:val="231F20"/>
          <w:spacing w:val="-6"/>
          <w:sz w:val="16"/>
        </w:rPr>
        <w:t> </w:t>
      </w:r>
      <w:r>
        <w:rPr>
          <w:color w:val="231F20"/>
          <w:sz w:val="16"/>
        </w:rPr>
        <w:t>amortized using the industry coefficients estimated by Lev and Sougiannis [1996], and (iii)</w:t>
      </w:r>
      <w:r>
        <w:rPr>
          <w:color w:val="231F20"/>
          <w:spacing w:val="-23"/>
          <w:sz w:val="16"/>
        </w:rPr>
        <w:t> </w:t>
      </w:r>
      <w:r>
        <w:rPr>
          <w:color w:val="231F20"/>
          <w:sz w:val="16"/>
        </w:rPr>
        <w:t>advertising reserves that would have been on the balance sheet at the end of the observation year </w:t>
      </w:r>
      <w:r>
        <w:rPr>
          <w:i/>
          <w:color w:val="231F20"/>
          <w:sz w:val="16"/>
        </w:rPr>
        <w:t>t </w:t>
      </w:r>
      <w:r>
        <w:rPr>
          <w:color w:val="231F20"/>
          <w:sz w:val="16"/>
        </w:rPr>
        <w:t>if advertising</w:t>
      </w:r>
      <w:r>
        <w:rPr>
          <w:color w:val="231F20"/>
          <w:spacing w:val="-7"/>
          <w:sz w:val="16"/>
        </w:rPr>
        <w:t> </w:t>
      </w:r>
      <w:r>
        <w:rPr>
          <w:color w:val="231F20"/>
          <w:sz w:val="16"/>
        </w:rPr>
        <w:t>expenditures</w:t>
      </w:r>
      <w:r>
        <w:rPr>
          <w:color w:val="231F20"/>
          <w:spacing w:val="-7"/>
          <w:sz w:val="16"/>
        </w:rPr>
        <w:t> </w:t>
      </w:r>
      <w:r>
        <w:rPr>
          <w:color w:val="231F20"/>
          <w:sz w:val="16"/>
        </w:rPr>
        <w:t>had</w:t>
      </w:r>
      <w:r>
        <w:rPr>
          <w:color w:val="231F20"/>
          <w:spacing w:val="-7"/>
          <w:sz w:val="16"/>
        </w:rPr>
        <w:t> </w:t>
      </w:r>
      <w:r>
        <w:rPr>
          <w:color w:val="231F20"/>
          <w:sz w:val="16"/>
        </w:rPr>
        <w:t>been</w:t>
      </w:r>
      <w:r>
        <w:rPr>
          <w:color w:val="231F20"/>
          <w:spacing w:val="-7"/>
          <w:sz w:val="16"/>
        </w:rPr>
        <w:t> </w:t>
      </w:r>
      <w:r>
        <w:rPr>
          <w:color w:val="231F20"/>
          <w:sz w:val="16"/>
        </w:rPr>
        <w:t>capitalized</w:t>
      </w:r>
      <w:r>
        <w:rPr>
          <w:color w:val="231F20"/>
          <w:spacing w:val="-7"/>
          <w:sz w:val="16"/>
        </w:rPr>
        <w:t> </w:t>
      </w:r>
      <w:r>
        <w:rPr>
          <w:color w:val="231F20"/>
          <w:sz w:val="16"/>
        </w:rPr>
        <w:t>and</w:t>
      </w:r>
      <w:r>
        <w:rPr>
          <w:color w:val="231F20"/>
          <w:spacing w:val="-7"/>
          <w:sz w:val="16"/>
        </w:rPr>
        <w:t> </w:t>
      </w:r>
      <w:r>
        <w:rPr>
          <w:color w:val="231F20"/>
          <w:sz w:val="16"/>
        </w:rPr>
        <w:t>amortized</w:t>
      </w:r>
      <w:r>
        <w:rPr>
          <w:color w:val="231F20"/>
          <w:spacing w:val="-7"/>
          <w:sz w:val="16"/>
        </w:rPr>
        <w:t> </w:t>
      </w:r>
      <w:r>
        <w:rPr>
          <w:color w:val="231F20"/>
          <w:sz w:val="16"/>
        </w:rPr>
        <w:t>using</w:t>
      </w:r>
      <w:r>
        <w:rPr>
          <w:color w:val="231F20"/>
          <w:spacing w:val="-7"/>
          <w:sz w:val="16"/>
        </w:rPr>
        <w:t> </w:t>
      </w:r>
      <w:r>
        <w:rPr>
          <w:color w:val="231F20"/>
          <w:sz w:val="16"/>
        </w:rPr>
        <w:t>a</w:t>
      </w:r>
      <w:r>
        <w:rPr>
          <w:color w:val="231F20"/>
          <w:spacing w:val="-7"/>
          <w:sz w:val="16"/>
        </w:rPr>
        <w:t> </w:t>
      </w:r>
      <w:r>
        <w:rPr>
          <w:color w:val="231F20"/>
          <w:sz w:val="16"/>
        </w:rPr>
        <w:t>sum-of-the-year’s</w:t>
      </w:r>
      <w:r>
        <w:rPr>
          <w:color w:val="231F20"/>
          <w:spacing w:val="-7"/>
          <w:sz w:val="16"/>
        </w:rPr>
        <w:t> </w:t>
      </w:r>
      <w:r>
        <w:rPr>
          <w:color w:val="231F20"/>
          <w:sz w:val="16"/>
        </w:rPr>
        <w:t>dig- its method over two years, deflated by net operating assets. </w:t>
      </w:r>
      <w:r>
        <w:rPr>
          <w:color w:val="231F20"/>
          <w:spacing w:val="-5"/>
          <w:sz w:val="16"/>
        </w:rPr>
        <w:t>We </w:t>
      </w:r>
      <w:r>
        <w:rPr>
          <w:color w:val="231F20"/>
          <w:sz w:val="16"/>
        </w:rPr>
        <w:t>include PZ score to capture the</w:t>
      </w:r>
      <w:r>
        <w:rPr>
          <w:color w:val="231F20"/>
          <w:spacing w:val="-8"/>
          <w:sz w:val="16"/>
        </w:rPr>
        <w:t> </w:t>
      </w:r>
      <w:r>
        <w:rPr>
          <w:color w:val="231F20"/>
          <w:sz w:val="16"/>
        </w:rPr>
        <w:t>variations</w:t>
      </w:r>
      <w:r>
        <w:rPr>
          <w:color w:val="231F20"/>
          <w:spacing w:val="-8"/>
          <w:sz w:val="16"/>
        </w:rPr>
        <w:t> </w:t>
      </w:r>
      <w:r>
        <w:rPr>
          <w:color w:val="231F20"/>
          <w:sz w:val="16"/>
        </w:rPr>
        <w:t>in</w:t>
      </w:r>
      <w:r>
        <w:rPr>
          <w:color w:val="231F20"/>
          <w:spacing w:val="-8"/>
          <w:sz w:val="16"/>
        </w:rPr>
        <w:t> </w:t>
      </w:r>
      <w:r>
        <w:rPr>
          <w:color w:val="231F20"/>
          <w:sz w:val="16"/>
        </w:rPr>
        <w:t>unconditional</w:t>
      </w:r>
      <w:r>
        <w:rPr>
          <w:color w:val="231F20"/>
          <w:spacing w:val="-8"/>
          <w:sz w:val="16"/>
        </w:rPr>
        <w:t> </w:t>
      </w:r>
      <w:r>
        <w:rPr>
          <w:color w:val="231F20"/>
          <w:sz w:val="16"/>
        </w:rPr>
        <w:t>conservatism,</w:t>
      </w:r>
      <w:r>
        <w:rPr>
          <w:color w:val="231F20"/>
          <w:spacing w:val="-8"/>
          <w:sz w:val="16"/>
        </w:rPr>
        <w:t> </w:t>
      </w:r>
      <w:r>
        <w:rPr>
          <w:color w:val="231F20"/>
          <w:sz w:val="16"/>
        </w:rPr>
        <w:t>as</w:t>
      </w:r>
      <w:r>
        <w:rPr>
          <w:color w:val="231F20"/>
          <w:spacing w:val="-8"/>
          <w:sz w:val="16"/>
        </w:rPr>
        <w:t> </w:t>
      </w:r>
      <w:r>
        <w:rPr>
          <w:color w:val="231F20"/>
          <w:sz w:val="16"/>
        </w:rPr>
        <w:t>firms</w:t>
      </w:r>
      <w:r>
        <w:rPr>
          <w:color w:val="231F20"/>
          <w:spacing w:val="-8"/>
          <w:sz w:val="16"/>
        </w:rPr>
        <w:t> </w:t>
      </w:r>
      <w:r>
        <w:rPr>
          <w:color w:val="231F20"/>
          <w:sz w:val="16"/>
        </w:rPr>
        <w:t>have</w:t>
      </w:r>
      <w:r>
        <w:rPr>
          <w:color w:val="231F20"/>
          <w:spacing w:val="-8"/>
          <w:sz w:val="16"/>
        </w:rPr>
        <w:t> </w:t>
      </w:r>
      <w:r>
        <w:rPr>
          <w:color w:val="231F20"/>
          <w:sz w:val="16"/>
        </w:rPr>
        <w:t>discretion</w:t>
      </w:r>
      <w:r>
        <w:rPr>
          <w:color w:val="231F20"/>
          <w:spacing w:val="-9"/>
          <w:sz w:val="16"/>
        </w:rPr>
        <w:t> </w:t>
      </w:r>
      <w:r>
        <w:rPr>
          <w:color w:val="231F20"/>
          <w:sz w:val="16"/>
        </w:rPr>
        <w:t>to</w:t>
      </w:r>
      <w:r>
        <w:rPr>
          <w:color w:val="231F20"/>
          <w:spacing w:val="-8"/>
          <w:sz w:val="16"/>
        </w:rPr>
        <w:t> </w:t>
      </w:r>
      <w:r>
        <w:rPr>
          <w:color w:val="231F20"/>
          <w:sz w:val="16"/>
        </w:rPr>
        <w:t>change</w:t>
      </w:r>
      <w:r>
        <w:rPr>
          <w:color w:val="231F20"/>
          <w:spacing w:val="-8"/>
          <w:sz w:val="16"/>
        </w:rPr>
        <w:t> </w:t>
      </w:r>
      <w:r>
        <w:rPr>
          <w:color w:val="231F20"/>
          <w:sz w:val="16"/>
        </w:rPr>
        <w:t>their</w:t>
      </w:r>
      <w:r>
        <w:rPr>
          <w:color w:val="231F20"/>
          <w:spacing w:val="-8"/>
          <w:sz w:val="16"/>
        </w:rPr>
        <w:t> </w:t>
      </w:r>
      <w:r>
        <w:rPr>
          <w:color w:val="231F20"/>
          <w:sz w:val="16"/>
        </w:rPr>
        <w:t>inven- tory accounting method, to capitalize direct response advertising, and to capitalize costs of internally</w:t>
      </w:r>
      <w:r>
        <w:rPr>
          <w:color w:val="231F20"/>
          <w:spacing w:val="-14"/>
          <w:sz w:val="16"/>
        </w:rPr>
        <w:t> </w:t>
      </w:r>
      <w:r>
        <w:rPr>
          <w:color w:val="231F20"/>
          <w:sz w:val="16"/>
        </w:rPr>
        <w:t>developed</w:t>
      </w:r>
      <w:r>
        <w:rPr>
          <w:color w:val="231F20"/>
          <w:spacing w:val="-14"/>
          <w:sz w:val="16"/>
        </w:rPr>
        <w:t> </w:t>
      </w:r>
      <w:r>
        <w:rPr>
          <w:color w:val="231F20"/>
          <w:sz w:val="16"/>
        </w:rPr>
        <w:t>software</w:t>
      </w:r>
      <w:r>
        <w:rPr>
          <w:color w:val="231F20"/>
          <w:spacing w:val="-14"/>
          <w:sz w:val="16"/>
        </w:rPr>
        <w:t> </w:t>
      </w:r>
      <w:r>
        <w:rPr>
          <w:color w:val="231F20"/>
          <w:sz w:val="16"/>
        </w:rPr>
        <w:t>that</w:t>
      </w:r>
      <w:r>
        <w:rPr>
          <w:color w:val="231F20"/>
          <w:spacing w:val="-14"/>
          <w:sz w:val="16"/>
        </w:rPr>
        <w:t> </w:t>
      </w:r>
      <w:r>
        <w:rPr>
          <w:color w:val="231F20"/>
          <w:sz w:val="16"/>
        </w:rPr>
        <w:t>reached</w:t>
      </w:r>
      <w:r>
        <w:rPr>
          <w:color w:val="231F20"/>
          <w:spacing w:val="-14"/>
          <w:sz w:val="16"/>
        </w:rPr>
        <w:t> </w:t>
      </w:r>
      <w:r>
        <w:rPr>
          <w:color w:val="231F20"/>
          <w:sz w:val="16"/>
        </w:rPr>
        <w:t>a</w:t>
      </w:r>
      <w:r>
        <w:rPr>
          <w:color w:val="231F20"/>
          <w:spacing w:val="-14"/>
          <w:sz w:val="16"/>
        </w:rPr>
        <w:t> </w:t>
      </w:r>
      <w:r>
        <w:rPr>
          <w:color w:val="231F20"/>
          <w:sz w:val="16"/>
        </w:rPr>
        <w:t>state</w:t>
      </w:r>
      <w:r>
        <w:rPr>
          <w:color w:val="231F20"/>
          <w:spacing w:val="-14"/>
          <w:sz w:val="16"/>
        </w:rPr>
        <w:t> </w:t>
      </w:r>
      <w:r>
        <w:rPr>
          <w:color w:val="231F20"/>
          <w:sz w:val="16"/>
        </w:rPr>
        <w:t>of</w:t>
      </w:r>
      <w:r>
        <w:rPr>
          <w:color w:val="231F20"/>
          <w:spacing w:val="-14"/>
          <w:sz w:val="16"/>
        </w:rPr>
        <w:t> </w:t>
      </w:r>
      <w:r>
        <w:rPr>
          <w:color w:val="231F20"/>
          <w:sz w:val="16"/>
        </w:rPr>
        <w:t>technological</w:t>
      </w:r>
      <w:r>
        <w:rPr>
          <w:color w:val="231F20"/>
          <w:spacing w:val="-14"/>
          <w:sz w:val="16"/>
        </w:rPr>
        <w:t> </w:t>
      </w:r>
      <w:r>
        <w:rPr>
          <w:color w:val="231F20"/>
          <w:sz w:val="16"/>
        </w:rPr>
        <w:t>feasibility,</w:t>
      </w:r>
      <w:r>
        <w:rPr>
          <w:color w:val="231F20"/>
          <w:spacing w:val="-14"/>
          <w:sz w:val="16"/>
        </w:rPr>
        <w:t> </w:t>
      </w:r>
      <w:r>
        <w:rPr>
          <w:color w:val="231F20"/>
          <w:sz w:val="16"/>
        </w:rPr>
        <w:t>that</w:t>
      </w:r>
      <w:r>
        <w:rPr>
          <w:color w:val="231F20"/>
          <w:spacing w:val="-14"/>
          <w:sz w:val="16"/>
        </w:rPr>
        <w:t> </w:t>
      </w:r>
      <w:r>
        <w:rPr>
          <w:color w:val="231F20"/>
          <w:sz w:val="16"/>
        </w:rPr>
        <w:t>is,</w:t>
      </w:r>
      <w:r>
        <w:rPr>
          <w:color w:val="231F20"/>
          <w:spacing w:val="-14"/>
          <w:sz w:val="16"/>
        </w:rPr>
        <w:t> </w:t>
      </w:r>
      <w:r>
        <w:rPr>
          <w:color w:val="231F20"/>
          <w:sz w:val="16"/>
        </w:rPr>
        <w:t>R&amp;D</w:t>
      </w:r>
      <w:r>
        <w:rPr>
          <w:color w:val="231F20"/>
          <w:spacing w:val="-14"/>
          <w:sz w:val="16"/>
        </w:rPr>
        <w:t> </w:t>
      </w:r>
      <w:r>
        <w:rPr>
          <w:color w:val="231F20"/>
          <w:sz w:val="16"/>
        </w:rPr>
        <w:t>ex- penditure.</w:t>
      </w:r>
      <w:r>
        <w:rPr>
          <w:color w:val="231F20"/>
          <w:spacing w:val="-14"/>
          <w:sz w:val="16"/>
        </w:rPr>
        <w:t> </w:t>
      </w:r>
      <w:r>
        <w:rPr>
          <w:color w:val="231F20"/>
          <w:spacing w:val="-5"/>
          <w:sz w:val="16"/>
        </w:rPr>
        <w:t>We</w:t>
      </w:r>
      <w:r>
        <w:rPr>
          <w:color w:val="231F20"/>
          <w:spacing w:val="-14"/>
          <w:sz w:val="16"/>
        </w:rPr>
        <w:t> </w:t>
      </w:r>
      <w:r>
        <w:rPr>
          <w:color w:val="231F20"/>
          <w:sz w:val="16"/>
        </w:rPr>
        <w:t>also</w:t>
      </w:r>
      <w:r>
        <w:rPr>
          <w:color w:val="231F20"/>
          <w:spacing w:val="-14"/>
          <w:sz w:val="16"/>
        </w:rPr>
        <w:t> </w:t>
      </w:r>
      <w:r>
        <w:rPr>
          <w:color w:val="231F20"/>
          <w:sz w:val="16"/>
        </w:rPr>
        <w:t>test</w:t>
      </w:r>
      <w:r>
        <w:rPr>
          <w:color w:val="231F20"/>
          <w:spacing w:val="-14"/>
          <w:sz w:val="16"/>
        </w:rPr>
        <w:t> </w:t>
      </w:r>
      <w:r>
        <w:rPr>
          <w:color w:val="231F20"/>
          <w:sz w:val="16"/>
        </w:rPr>
        <w:t>the</w:t>
      </w:r>
      <w:r>
        <w:rPr>
          <w:color w:val="231F20"/>
          <w:spacing w:val="-14"/>
          <w:sz w:val="16"/>
        </w:rPr>
        <w:t> </w:t>
      </w:r>
      <w:r>
        <w:rPr>
          <w:color w:val="231F20"/>
          <w:sz w:val="16"/>
        </w:rPr>
        <w:t>robustness</w:t>
      </w:r>
      <w:r>
        <w:rPr>
          <w:color w:val="231F20"/>
          <w:spacing w:val="-14"/>
          <w:sz w:val="16"/>
        </w:rPr>
        <w:t> </w:t>
      </w:r>
      <w:r>
        <w:rPr>
          <w:color w:val="231F20"/>
          <w:sz w:val="16"/>
        </w:rPr>
        <w:t>of</w:t>
      </w:r>
      <w:r>
        <w:rPr>
          <w:color w:val="231F20"/>
          <w:spacing w:val="-14"/>
          <w:sz w:val="16"/>
        </w:rPr>
        <w:t> </w:t>
      </w:r>
      <w:r>
        <w:rPr>
          <w:color w:val="231F20"/>
          <w:sz w:val="16"/>
        </w:rPr>
        <w:t>our</w:t>
      </w:r>
      <w:r>
        <w:rPr>
          <w:color w:val="231F20"/>
          <w:spacing w:val="-14"/>
          <w:sz w:val="16"/>
        </w:rPr>
        <w:t> </w:t>
      </w:r>
      <w:r>
        <w:rPr>
          <w:color w:val="231F20"/>
          <w:sz w:val="16"/>
        </w:rPr>
        <w:t>results</w:t>
      </w:r>
      <w:r>
        <w:rPr>
          <w:color w:val="231F20"/>
          <w:spacing w:val="-14"/>
          <w:sz w:val="16"/>
        </w:rPr>
        <w:t> </w:t>
      </w:r>
      <w:r>
        <w:rPr>
          <w:color w:val="231F20"/>
          <w:sz w:val="16"/>
        </w:rPr>
        <w:t>by</w:t>
      </w:r>
      <w:r>
        <w:rPr>
          <w:color w:val="231F20"/>
          <w:spacing w:val="-14"/>
          <w:sz w:val="16"/>
        </w:rPr>
        <w:t> </w:t>
      </w:r>
      <w:r>
        <w:rPr>
          <w:color w:val="231F20"/>
          <w:sz w:val="16"/>
        </w:rPr>
        <w:t>dropping</w:t>
      </w:r>
      <w:r>
        <w:rPr>
          <w:color w:val="231F20"/>
          <w:spacing w:val="-14"/>
          <w:sz w:val="16"/>
        </w:rPr>
        <w:t> </w:t>
      </w:r>
      <w:r>
        <w:rPr>
          <w:color w:val="231F20"/>
          <w:sz w:val="16"/>
        </w:rPr>
        <w:t>PZ</w:t>
      </w:r>
      <w:r>
        <w:rPr>
          <w:color w:val="231F20"/>
          <w:spacing w:val="-14"/>
          <w:sz w:val="16"/>
        </w:rPr>
        <w:t> </w:t>
      </w:r>
      <w:r>
        <w:rPr>
          <w:color w:val="231F20"/>
          <w:sz w:val="16"/>
        </w:rPr>
        <w:t>score</w:t>
      </w:r>
      <w:r>
        <w:rPr>
          <w:color w:val="231F20"/>
          <w:spacing w:val="-14"/>
          <w:sz w:val="16"/>
        </w:rPr>
        <w:t> </w:t>
      </w:r>
      <w:r>
        <w:rPr>
          <w:color w:val="231F20"/>
          <w:sz w:val="16"/>
        </w:rPr>
        <w:t>from</w:t>
      </w:r>
      <w:r>
        <w:rPr>
          <w:color w:val="231F20"/>
          <w:spacing w:val="-13"/>
          <w:sz w:val="16"/>
        </w:rPr>
        <w:t> </w:t>
      </w:r>
      <w:r>
        <w:rPr>
          <w:color w:val="231F20"/>
          <w:sz w:val="16"/>
        </w:rPr>
        <w:t>the</w:t>
      </w:r>
      <w:r>
        <w:rPr>
          <w:color w:val="231F20"/>
          <w:spacing w:val="-14"/>
          <w:sz w:val="16"/>
        </w:rPr>
        <w:t> </w:t>
      </w:r>
      <w:r>
        <w:rPr>
          <w:color w:val="231F20"/>
          <w:sz w:val="16"/>
        </w:rPr>
        <w:t>composite conservatism</w:t>
      </w:r>
      <w:r>
        <w:rPr>
          <w:color w:val="231F20"/>
          <w:spacing w:val="-4"/>
          <w:sz w:val="16"/>
        </w:rPr>
        <w:t> </w:t>
      </w:r>
      <w:r>
        <w:rPr>
          <w:color w:val="231F20"/>
          <w:sz w:val="16"/>
        </w:rPr>
        <w:t>measure</w:t>
      </w:r>
      <w:r>
        <w:rPr>
          <w:color w:val="231F20"/>
          <w:spacing w:val="-4"/>
          <w:sz w:val="16"/>
        </w:rPr>
        <w:t> </w:t>
      </w:r>
      <w:r>
        <w:rPr>
          <w:color w:val="231F20"/>
          <w:sz w:val="16"/>
        </w:rPr>
        <w:t>and</w:t>
      </w:r>
      <w:r>
        <w:rPr>
          <w:color w:val="231F20"/>
          <w:spacing w:val="-4"/>
          <w:sz w:val="16"/>
        </w:rPr>
        <w:t> </w:t>
      </w:r>
      <w:r>
        <w:rPr>
          <w:color w:val="231F20"/>
          <w:sz w:val="16"/>
        </w:rPr>
        <w:t>the</w:t>
      </w:r>
      <w:r>
        <w:rPr>
          <w:color w:val="231F20"/>
          <w:spacing w:val="-4"/>
          <w:sz w:val="16"/>
        </w:rPr>
        <w:t> </w:t>
      </w:r>
      <w:r>
        <w:rPr>
          <w:color w:val="231F20"/>
          <w:sz w:val="16"/>
        </w:rPr>
        <w:t>inferences</w:t>
      </w:r>
      <w:r>
        <w:rPr>
          <w:color w:val="231F20"/>
          <w:spacing w:val="-4"/>
          <w:sz w:val="16"/>
        </w:rPr>
        <w:t> </w:t>
      </w:r>
      <w:r>
        <w:rPr>
          <w:color w:val="231F20"/>
          <w:sz w:val="16"/>
        </w:rPr>
        <w:t>remain</w:t>
      </w:r>
      <w:r>
        <w:rPr>
          <w:color w:val="231F20"/>
          <w:spacing w:val="-4"/>
          <w:sz w:val="16"/>
        </w:rPr>
        <w:t> </w:t>
      </w:r>
      <w:r>
        <w:rPr>
          <w:color w:val="231F20"/>
          <w:sz w:val="16"/>
        </w:rPr>
        <w:t>the</w:t>
      </w:r>
      <w:r>
        <w:rPr>
          <w:color w:val="231F20"/>
          <w:spacing w:val="-4"/>
          <w:sz w:val="16"/>
        </w:rPr>
        <w:t> </w:t>
      </w:r>
      <w:r>
        <w:rPr>
          <w:color w:val="231F20"/>
          <w:sz w:val="16"/>
        </w:rPr>
        <w:t>same</w:t>
      </w:r>
      <w:r>
        <w:rPr>
          <w:color w:val="231F20"/>
          <w:spacing w:val="-4"/>
          <w:sz w:val="16"/>
        </w:rPr>
        <w:t> </w:t>
      </w:r>
      <w:r>
        <w:rPr>
          <w:color w:val="231F20"/>
          <w:sz w:val="16"/>
        </w:rPr>
        <w:t>(see</w:t>
      </w:r>
      <w:r>
        <w:rPr>
          <w:color w:val="231F20"/>
          <w:spacing w:val="-4"/>
          <w:sz w:val="16"/>
        </w:rPr>
        <w:t> </w:t>
      </w:r>
      <w:r>
        <w:rPr>
          <w:color w:val="231F20"/>
          <w:sz w:val="16"/>
        </w:rPr>
        <w:t>online</w:t>
      </w:r>
      <w:r>
        <w:rPr>
          <w:color w:val="231F20"/>
          <w:spacing w:val="-4"/>
          <w:sz w:val="16"/>
        </w:rPr>
        <w:t> </w:t>
      </w:r>
      <w:r>
        <w:rPr>
          <w:color w:val="231F20"/>
          <w:sz w:val="16"/>
        </w:rPr>
        <w:t>appendix</w:t>
      </w:r>
      <w:r>
        <w:rPr>
          <w:color w:val="231F20"/>
          <w:spacing w:val="-4"/>
          <w:sz w:val="16"/>
        </w:rPr>
        <w:t> </w:t>
      </w:r>
      <w:r>
        <w:rPr>
          <w:color w:val="231F20"/>
          <w:sz w:val="16"/>
        </w:rPr>
        <w:t>table</w:t>
      </w:r>
      <w:r>
        <w:rPr>
          <w:color w:val="231F20"/>
          <w:spacing w:val="-4"/>
          <w:sz w:val="16"/>
        </w:rPr>
        <w:t> </w:t>
      </w:r>
      <w:r>
        <w:rPr>
          <w:color w:val="231F20"/>
          <w:sz w:val="16"/>
        </w:rPr>
        <w:t>A2).</w:t>
      </w:r>
    </w:p>
    <w:p>
      <w:pPr>
        <w:spacing w:after="0"/>
        <w:jc w:val="both"/>
        <w:rPr>
          <w:sz w:val="16"/>
        </w:rPr>
        <w:sectPr>
          <w:pgSz w:w="9720" w:h="14400"/>
          <w:pgMar w:header="1057" w:footer="0" w:top="1300" w:bottom="280" w:left="1280" w:right="1300"/>
        </w:sectPr>
      </w:pPr>
    </w:p>
    <w:p>
      <w:pPr>
        <w:pStyle w:val="BodyText"/>
        <w:spacing w:line="220" w:lineRule="auto" w:before="186"/>
        <w:ind w:left="162" w:right="505"/>
        <w:rPr>
          <w:sz w:val="14"/>
        </w:rPr>
      </w:pPr>
      <w:r>
        <w:rPr/>
        <w:t>conservatism</w:t>
      </w:r>
      <w:r>
        <w:rPr>
          <w:spacing w:val="-18"/>
        </w:rPr>
        <w:t> </w:t>
      </w:r>
      <w:r>
        <w:rPr/>
        <w:t>through</w:t>
      </w:r>
      <w:r>
        <w:rPr>
          <w:spacing w:val="-18"/>
        </w:rPr>
        <w:t> </w:t>
      </w:r>
      <w:r>
        <w:rPr/>
        <w:t>unrecorded</w:t>
      </w:r>
      <w:r>
        <w:rPr>
          <w:spacing w:val="-18"/>
        </w:rPr>
        <w:t> </w:t>
      </w:r>
      <w:r>
        <w:rPr/>
        <w:t>reserves,</w:t>
      </w:r>
      <w:r>
        <w:rPr>
          <w:spacing w:val="-18"/>
        </w:rPr>
        <w:t> </w:t>
      </w:r>
      <w:r>
        <w:rPr/>
        <w:t>which</w:t>
      </w:r>
      <w:r>
        <w:rPr>
          <w:spacing w:val="-18"/>
        </w:rPr>
        <w:t> </w:t>
      </w:r>
      <w:r>
        <w:rPr/>
        <w:t>result</w:t>
      </w:r>
      <w:r>
        <w:rPr>
          <w:spacing w:val="-18"/>
        </w:rPr>
        <w:t> </w:t>
      </w:r>
      <w:r>
        <w:rPr/>
        <w:t>in</w:t>
      </w:r>
      <w:r>
        <w:rPr>
          <w:spacing w:val="-18"/>
        </w:rPr>
        <w:t> </w:t>
      </w:r>
      <w:r>
        <w:rPr/>
        <w:t>lower</w:t>
      </w:r>
      <w:r>
        <w:rPr>
          <w:spacing w:val="-18"/>
        </w:rPr>
        <w:t> </w:t>
      </w:r>
      <w:r>
        <w:rPr/>
        <w:t>reported net income (PZ</w:t>
      </w:r>
      <w:r>
        <w:rPr>
          <w:spacing w:val="3"/>
        </w:rPr>
        <w:t> </w:t>
      </w:r>
      <w:r>
        <w:rPr/>
        <w:t>score).</w:t>
      </w:r>
      <w:r>
        <w:rPr>
          <w:color w:val="231F20"/>
          <w:position w:val="7"/>
          <w:sz w:val="14"/>
        </w:rPr>
        <w:t>15</w:t>
      </w:r>
    </w:p>
    <w:p>
      <w:pPr>
        <w:pStyle w:val="BodyText"/>
        <w:spacing w:line="228" w:lineRule="auto" w:before="2"/>
        <w:ind w:left="162" w:right="519" w:firstLine="199"/>
        <w:jc w:val="both"/>
        <w:rPr>
          <w:sz w:val="14"/>
        </w:rPr>
      </w:pPr>
      <w:r>
        <w:rPr/>
        <w:t>The</w:t>
      </w:r>
      <w:r>
        <w:rPr>
          <w:spacing w:val="-21"/>
        </w:rPr>
        <w:t> </w:t>
      </w:r>
      <w:r>
        <w:rPr/>
        <w:t>court</w:t>
      </w:r>
      <w:r>
        <w:rPr>
          <w:spacing w:val="-21"/>
        </w:rPr>
        <w:t> </w:t>
      </w:r>
      <w:r>
        <w:rPr/>
        <w:t>ruling</w:t>
      </w:r>
      <w:r>
        <w:rPr>
          <w:spacing w:val="-21"/>
        </w:rPr>
        <w:t> </w:t>
      </w:r>
      <w:r>
        <w:rPr/>
        <w:t>applies</w:t>
      </w:r>
      <w:r>
        <w:rPr>
          <w:spacing w:val="-21"/>
        </w:rPr>
        <w:t> </w:t>
      </w:r>
      <w:r>
        <w:rPr/>
        <w:t>only</w:t>
      </w:r>
      <w:r>
        <w:rPr>
          <w:spacing w:val="-21"/>
        </w:rPr>
        <w:t> </w:t>
      </w:r>
      <w:r>
        <w:rPr/>
        <w:t>to</w:t>
      </w:r>
      <w:r>
        <w:rPr>
          <w:spacing w:val="-21"/>
        </w:rPr>
        <w:t> </w:t>
      </w:r>
      <w:r>
        <w:rPr/>
        <w:t>Delaware-incorporated</w:t>
      </w:r>
      <w:r>
        <w:rPr>
          <w:spacing w:val="-21"/>
        </w:rPr>
        <w:t> </w:t>
      </w:r>
      <w:r>
        <w:rPr/>
        <w:t>firms</w:t>
      </w:r>
      <w:r>
        <w:rPr>
          <w:spacing w:val="-21"/>
        </w:rPr>
        <w:t> </w:t>
      </w:r>
      <w:r>
        <w:rPr/>
        <w:t>near</w:t>
      </w:r>
      <w:r>
        <w:rPr>
          <w:spacing w:val="-21"/>
        </w:rPr>
        <w:t> </w:t>
      </w:r>
      <w:r>
        <w:rPr/>
        <w:t>insol- </w:t>
      </w:r>
      <w:r>
        <w:rPr>
          <w:spacing w:val="-3"/>
        </w:rPr>
        <w:t>vency. </w:t>
      </w:r>
      <w:r>
        <w:rPr/>
        <w:t>Since there is no legal definition of the term “near insolvency,” we follow</w:t>
      </w:r>
      <w:r>
        <w:rPr>
          <w:spacing w:val="-13"/>
        </w:rPr>
        <w:t> </w:t>
      </w:r>
      <w:r>
        <w:rPr/>
        <w:t>Becker</w:t>
      </w:r>
      <w:r>
        <w:rPr>
          <w:spacing w:val="-13"/>
        </w:rPr>
        <w:t> </w:t>
      </w:r>
      <w:r>
        <w:rPr/>
        <w:t>and</w:t>
      </w:r>
      <w:r>
        <w:rPr>
          <w:spacing w:val="-12"/>
        </w:rPr>
        <w:t> </w:t>
      </w:r>
      <w:r>
        <w:rPr/>
        <w:t>Stromberg</w:t>
      </w:r>
      <w:r>
        <w:rPr>
          <w:spacing w:val="-13"/>
        </w:rPr>
        <w:t> </w:t>
      </w:r>
      <w:r>
        <w:rPr/>
        <w:t>[2012]</w:t>
      </w:r>
      <w:r>
        <w:rPr>
          <w:spacing w:val="-13"/>
        </w:rPr>
        <w:t> </w:t>
      </w:r>
      <w:r>
        <w:rPr/>
        <w:t>in</w:t>
      </w:r>
      <w:r>
        <w:rPr>
          <w:spacing w:val="-13"/>
        </w:rPr>
        <w:t> </w:t>
      </w:r>
      <w:r>
        <w:rPr/>
        <w:t>using</w:t>
      </w:r>
      <w:r>
        <w:rPr>
          <w:spacing w:val="-13"/>
        </w:rPr>
        <w:t> </w:t>
      </w:r>
      <w:r>
        <w:rPr/>
        <w:t>Estimated</w:t>
      </w:r>
      <w:r>
        <w:rPr>
          <w:spacing w:val="-13"/>
        </w:rPr>
        <w:t> </w:t>
      </w:r>
      <w:r>
        <w:rPr/>
        <w:t>Default</w:t>
      </w:r>
      <w:r>
        <w:rPr>
          <w:spacing w:val="-12"/>
        </w:rPr>
        <w:t> </w:t>
      </w:r>
      <w:r>
        <w:rPr/>
        <w:t>Frequency (EDF) based on the probability transformation of “distance-to-default” developed</w:t>
      </w:r>
      <w:r>
        <w:rPr>
          <w:spacing w:val="-6"/>
        </w:rPr>
        <w:t> </w:t>
      </w:r>
      <w:r>
        <w:rPr/>
        <w:t>by</w:t>
      </w:r>
      <w:r>
        <w:rPr>
          <w:spacing w:val="-6"/>
        </w:rPr>
        <w:t> </w:t>
      </w:r>
      <w:r>
        <w:rPr/>
        <w:t>Merton</w:t>
      </w:r>
      <w:r>
        <w:rPr>
          <w:spacing w:val="-6"/>
        </w:rPr>
        <w:t> </w:t>
      </w:r>
      <w:r>
        <w:rPr/>
        <w:t>[1974]</w:t>
      </w:r>
      <w:r>
        <w:rPr>
          <w:spacing w:val="-7"/>
        </w:rPr>
        <w:t> </w:t>
      </w:r>
      <w:r>
        <w:rPr/>
        <w:t>to</w:t>
      </w:r>
      <w:r>
        <w:rPr>
          <w:spacing w:val="-6"/>
        </w:rPr>
        <w:t> </w:t>
      </w:r>
      <w:r>
        <w:rPr/>
        <w:t>develop</w:t>
      </w:r>
      <w:r>
        <w:rPr>
          <w:spacing w:val="-6"/>
        </w:rPr>
        <w:t> </w:t>
      </w:r>
      <w:r>
        <w:rPr/>
        <w:t>our</w:t>
      </w:r>
      <w:r>
        <w:rPr>
          <w:spacing w:val="-6"/>
        </w:rPr>
        <w:t> </w:t>
      </w:r>
      <w:r>
        <w:rPr/>
        <w:t>measure</w:t>
      </w:r>
      <w:r>
        <w:rPr>
          <w:spacing w:val="-6"/>
        </w:rPr>
        <w:t> </w:t>
      </w:r>
      <w:r>
        <w:rPr/>
        <w:t>of</w:t>
      </w:r>
      <w:r>
        <w:rPr>
          <w:spacing w:val="-6"/>
        </w:rPr>
        <w:t> </w:t>
      </w:r>
      <w:r>
        <w:rPr/>
        <w:t>near</w:t>
      </w:r>
      <w:r>
        <w:rPr>
          <w:spacing w:val="-6"/>
        </w:rPr>
        <w:t> </w:t>
      </w:r>
      <w:r>
        <w:rPr/>
        <w:t>insolvency.</w:t>
      </w:r>
      <w:r>
        <w:rPr>
          <w:color w:val="231F20"/>
          <w:position w:val="7"/>
          <w:sz w:val="14"/>
        </w:rPr>
        <w:t>16 </w:t>
      </w:r>
      <w:r>
        <w:rPr>
          <w:spacing w:val="-6"/>
        </w:rPr>
        <w:t>We </w:t>
      </w:r>
      <w:r>
        <w:rPr/>
        <w:t>construct the near insolvency indicator </w:t>
      </w:r>
      <w:r>
        <w:rPr>
          <w:i/>
        </w:rPr>
        <w:t>HEDF93 </w:t>
      </w:r>
      <w:r>
        <w:rPr/>
        <w:t>based on the 1993 EDF score, because 1993 is the first post-transition full year in our analy- sis</w:t>
      </w:r>
      <w:r>
        <w:rPr>
          <w:spacing w:val="-9"/>
        </w:rPr>
        <w:t> </w:t>
      </w:r>
      <w:r>
        <w:rPr/>
        <w:t>when</w:t>
      </w:r>
      <w:r>
        <w:rPr>
          <w:spacing w:val="-8"/>
        </w:rPr>
        <w:t> </w:t>
      </w:r>
      <w:r>
        <w:rPr/>
        <w:t>the</w:t>
      </w:r>
      <w:r>
        <w:rPr>
          <w:spacing w:val="-9"/>
        </w:rPr>
        <w:t> </w:t>
      </w:r>
      <w:r>
        <w:rPr/>
        <w:t>ruling</w:t>
      </w:r>
      <w:r>
        <w:rPr>
          <w:spacing w:val="-9"/>
        </w:rPr>
        <w:t> </w:t>
      </w:r>
      <w:r>
        <w:rPr/>
        <w:t>became</w:t>
      </w:r>
      <w:r>
        <w:rPr>
          <w:spacing w:val="-8"/>
        </w:rPr>
        <w:t> </w:t>
      </w:r>
      <w:r>
        <w:rPr/>
        <w:t>effective.</w:t>
      </w:r>
      <w:r>
        <w:rPr>
          <w:color w:val="231F20"/>
          <w:position w:val="7"/>
          <w:sz w:val="14"/>
        </w:rPr>
        <w:t>17</w:t>
      </w:r>
      <w:r>
        <w:rPr>
          <w:color w:val="231F20"/>
          <w:spacing w:val="-2"/>
          <w:position w:val="7"/>
          <w:sz w:val="14"/>
        </w:rPr>
        <w:t> </w:t>
      </w:r>
      <w:r>
        <w:rPr>
          <w:i/>
        </w:rPr>
        <w:t>HEDF93</w:t>
      </w:r>
      <w:r>
        <w:rPr>
          <w:i/>
          <w:spacing w:val="-9"/>
        </w:rPr>
        <w:t> </w:t>
      </w:r>
      <w:r>
        <w:rPr/>
        <w:t>is</w:t>
      </w:r>
      <w:r>
        <w:rPr>
          <w:spacing w:val="-9"/>
        </w:rPr>
        <w:t> </w:t>
      </w:r>
      <w:r>
        <w:rPr/>
        <w:t>a</w:t>
      </w:r>
      <w:r>
        <w:rPr>
          <w:spacing w:val="-9"/>
        </w:rPr>
        <w:t> </w:t>
      </w:r>
      <w:r>
        <w:rPr/>
        <w:t>dichotomous</w:t>
      </w:r>
      <w:r>
        <w:rPr>
          <w:spacing w:val="-9"/>
        </w:rPr>
        <w:t> </w:t>
      </w:r>
      <w:r>
        <w:rPr/>
        <w:t>variable equal to one if a firm’s 1993 EDF score is in the top quartile of its distri- bution,</w:t>
      </w:r>
      <w:r>
        <w:rPr>
          <w:spacing w:val="-8"/>
        </w:rPr>
        <w:t> </w:t>
      </w:r>
      <w:r>
        <w:rPr/>
        <w:t>and</w:t>
      </w:r>
      <w:r>
        <w:rPr>
          <w:spacing w:val="-8"/>
        </w:rPr>
        <w:t> </w:t>
      </w:r>
      <w:r>
        <w:rPr/>
        <w:t>zero</w:t>
      </w:r>
      <w:r>
        <w:rPr>
          <w:spacing w:val="-8"/>
        </w:rPr>
        <w:t> </w:t>
      </w:r>
      <w:r>
        <w:rPr/>
        <w:t>otherwise.</w:t>
      </w:r>
      <w:r>
        <w:rPr>
          <w:spacing w:val="-8"/>
        </w:rPr>
        <w:t> </w:t>
      </w:r>
      <w:r>
        <w:rPr/>
        <w:t>Consistent</w:t>
      </w:r>
      <w:r>
        <w:rPr>
          <w:spacing w:val="-8"/>
        </w:rPr>
        <w:t> </w:t>
      </w:r>
      <w:r>
        <w:rPr/>
        <w:t>with</w:t>
      </w:r>
      <w:r>
        <w:rPr>
          <w:spacing w:val="-8"/>
        </w:rPr>
        <w:t> </w:t>
      </w:r>
      <w:r>
        <w:rPr/>
        <w:t>Becker</w:t>
      </w:r>
      <w:r>
        <w:rPr>
          <w:spacing w:val="-8"/>
        </w:rPr>
        <w:t> </w:t>
      </w:r>
      <w:r>
        <w:rPr/>
        <w:t>and</w:t>
      </w:r>
      <w:r>
        <w:rPr>
          <w:spacing w:val="-8"/>
        </w:rPr>
        <w:t> </w:t>
      </w:r>
      <w:r>
        <w:rPr/>
        <w:t>Stromberg</w:t>
      </w:r>
      <w:r>
        <w:rPr>
          <w:spacing w:val="-8"/>
        </w:rPr>
        <w:t> </w:t>
      </w:r>
      <w:r>
        <w:rPr/>
        <w:t>[2012], </w:t>
      </w:r>
      <w:r>
        <w:rPr>
          <w:i/>
        </w:rPr>
        <w:t>HEDF93</w:t>
      </w:r>
      <w:r>
        <w:rPr>
          <w:i/>
          <w:spacing w:val="-31"/>
        </w:rPr>
        <w:t> </w:t>
      </w:r>
      <w:r>
        <w:rPr/>
        <w:t>only</w:t>
      </w:r>
      <w:r>
        <w:rPr>
          <w:spacing w:val="-31"/>
        </w:rPr>
        <w:t> </w:t>
      </w:r>
      <w:r>
        <w:rPr/>
        <w:t>varies</w:t>
      </w:r>
      <w:r>
        <w:rPr>
          <w:spacing w:val="-31"/>
        </w:rPr>
        <w:t> </w:t>
      </w:r>
      <w:r>
        <w:rPr/>
        <w:t>cross-sectionally</w:t>
      </w:r>
      <w:r>
        <w:rPr>
          <w:spacing w:val="-31"/>
        </w:rPr>
        <w:t> </w:t>
      </w:r>
      <w:r>
        <w:rPr/>
        <w:t>in</w:t>
      </w:r>
      <w:r>
        <w:rPr>
          <w:spacing w:val="-31"/>
        </w:rPr>
        <w:t> </w:t>
      </w:r>
      <w:r>
        <w:rPr/>
        <w:t>our</w:t>
      </w:r>
      <w:r>
        <w:rPr>
          <w:spacing w:val="-31"/>
        </w:rPr>
        <w:t> </w:t>
      </w:r>
      <w:r>
        <w:rPr/>
        <w:t>models,</w:t>
      </w:r>
      <w:r>
        <w:rPr>
          <w:spacing w:val="-31"/>
        </w:rPr>
        <w:t> </w:t>
      </w:r>
      <w:r>
        <w:rPr/>
        <w:t>as</w:t>
      </w:r>
      <w:r>
        <w:rPr>
          <w:spacing w:val="-31"/>
        </w:rPr>
        <w:t> </w:t>
      </w:r>
      <w:r>
        <w:rPr/>
        <w:t>we</w:t>
      </w:r>
      <w:r>
        <w:rPr>
          <w:spacing w:val="-31"/>
        </w:rPr>
        <w:t> </w:t>
      </w:r>
      <w:r>
        <w:rPr/>
        <w:t>need</w:t>
      </w:r>
      <w:r>
        <w:rPr>
          <w:spacing w:val="-31"/>
        </w:rPr>
        <w:t> </w:t>
      </w:r>
      <w:r>
        <w:rPr/>
        <w:t>to</w:t>
      </w:r>
      <w:r>
        <w:rPr>
          <w:spacing w:val="-31"/>
        </w:rPr>
        <w:t> </w:t>
      </w:r>
      <w:r>
        <w:rPr/>
        <w:t>fix</w:t>
      </w:r>
      <w:r>
        <w:rPr>
          <w:spacing w:val="-31"/>
        </w:rPr>
        <w:t> </w:t>
      </w:r>
      <w:r>
        <w:rPr/>
        <w:t>the</w:t>
      </w:r>
      <w:r>
        <w:rPr>
          <w:spacing w:val="-31"/>
        </w:rPr>
        <w:t> </w:t>
      </w:r>
      <w:r>
        <w:rPr/>
        <w:t>sta- tus</w:t>
      </w:r>
      <w:r>
        <w:rPr>
          <w:spacing w:val="-6"/>
        </w:rPr>
        <w:t> </w:t>
      </w:r>
      <w:r>
        <w:rPr/>
        <w:t>of</w:t>
      </w:r>
      <w:r>
        <w:rPr>
          <w:spacing w:val="-6"/>
        </w:rPr>
        <w:t> </w:t>
      </w:r>
      <w:r>
        <w:rPr/>
        <w:t>near</w:t>
      </w:r>
      <w:r>
        <w:rPr>
          <w:spacing w:val="-5"/>
        </w:rPr>
        <w:t> </w:t>
      </w:r>
      <w:r>
        <w:rPr/>
        <w:t>insolvency</w:t>
      </w:r>
      <w:r>
        <w:rPr>
          <w:spacing w:val="-6"/>
        </w:rPr>
        <w:t> </w:t>
      </w:r>
      <w:r>
        <w:rPr/>
        <w:t>at</w:t>
      </w:r>
      <w:r>
        <w:rPr>
          <w:spacing w:val="-6"/>
        </w:rPr>
        <w:t> </w:t>
      </w:r>
      <w:r>
        <w:rPr/>
        <w:t>the</w:t>
      </w:r>
      <w:r>
        <w:rPr>
          <w:spacing w:val="-6"/>
        </w:rPr>
        <w:t> </w:t>
      </w:r>
      <w:r>
        <w:rPr/>
        <w:t>1993</w:t>
      </w:r>
      <w:r>
        <w:rPr>
          <w:spacing w:val="-6"/>
        </w:rPr>
        <w:t> </w:t>
      </w:r>
      <w:r>
        <w:rPr/>
        <w:t>level</w:t>
      </w:r>
      <w:r>
        <w:rPr>
          <w:spacing w:val="-6"/>
        </w:rPr>
        <w:t> </w:t>
      </w:r>
      <w:r>
        <w:rPr/>
        <w:t>in</w:t>
      </w:r>
      <w:r>
        <w:rPr>
          <w:spacing w:val="-6"/>
        </w:rPr>
        <w:t> </w:t>
      </w:r>
      <w:r>
        <w:rPr/>
        <w:t>order</w:t>
      </w:r>
      <w:r>
        <w:rPr>
          <w:spacing w:val="-6"/>
        </w:rPr>
        <w:t> </w:t>
      </w:r>
      <w:r>
        <w:rPr/>
        <w:t>to</w:t>
      </w:r>
      <w:r>
        <w:rPr>
          <w:spacing w:val="-6"/>
        </w:rPr>
        <w:t> </w:t>
      </w:r>
      <w:r>
        <w:rPr/>
        <w:t>conduct</w:t>
      </w:r>
      <w:r>
        <w:rPr>
          <w:spacing w:val="-6"/>
        </w:rPr>
        <w:t> </w:t>
      </w:r>
      <w:r>
        <w:rPr/>
        <w:t>the</w:t>
      </w:r>
      <w:r>
        <w:rPr>
          <w:spacing w:val="-6"/>
        </w:rPr>
        <w:t> </w:t>
      </w:r>
      <w:r>
        <w:rPr/>
        <w:t>difference- in-differences analyses.</w:t>
      </w:r>
      <w:r>
        <w:rPr>
          <w:color w:val="231F20"/>
          <w:position w:val="7"/>
          <w:sz w:val="14"/>
        </w:rPr>
        <w:t>18</w:t>
      </w:r>
    </w:p>
    <w:p>
      <w:pPr>
        <w:pStyle w:val="BodyText"/>
        <w:spacing w:line="228" w:lineRule="auto" w:before="2"/>
        <w:ind w:left="162" w:right="519" w:firstLine="199"/>
        <w:jc w:val="both"/>
      </w:pPr>
      <w:r>
        <w:rPr/>
        <w:t>Other</w:t>
      </w:r>
      <w:r>
        <w:rPr>
          <w:spacing w:val="-27"/>
        </w:rPr>
        <w:t> </w:t>
      </w:r>
      <w:r>
        <w:rPr/>
        <w:t>variables</w:t>
      </w:r>
      <w:r>
        <w:rPr>
          <w:spacing w:val="-27"/>
        </w:rPr>
        <w:t> </w:t>
      </w:r>
      <w:r>
        <w:rPr/>
        <w:t>in</w:t>
      </w:r>
      <w:r>
        <w:rPr>
          <w:spacing w:val="-27"/>
        </w:rPr>
        <w:t> </w:t>
      </w:r>
      <w:r>
        <w:rPr/>
        <w:t>the</w:t>
      </w:r>
      <w:r>
        <w:rPr>
          <w:spacing w:val="-27"/>
        </w:rPr>
        <w:t> </w:t>
      </w:r>
      <w:r>
        <w:rPr/>
        <w:t>model</w:t>
      </w:r>
      <w:r>
        <w:rPr>
          <w:spacing w:val="-27"/>
        </w:rPr>
        <w:t> </w:t>
      </w:r>
      <w:r>
        <w:rPr/>
        <w:t>are</w:t>
      </w:r>
      <w:r>
        <w:rPr>
          <w:spacing w:val="-27"/>
        </w:rPr>
        <w:t> </w:t>
      </w:r>
      <w:r>
        <w:rPr/>
        <w:t>defined</w:t>
      </w:r>
      <w:r>
        <w:rPr>
          <w:spacing w:val="-27"/>
        </w:rPr>
        <w:t> </w:t>
      </w:r>
      <w:r>
        <w:rPr/>
        <w:t>as</w:t>
      </w:r>
      <w:r>
        <w:rPr>
          <w:spacing w:val="-27"/>
        </w:rPr>
        <w:t> </w:t>
      </w:r>
      <w:r>
        <w:rPr/>
        <w:t>follows.</w:t>
      </w:r>
      <w:r>
        <w:rPr>
          <w:spacing w:val="-27"/>
        </w:rPr>
        <w:t> </w:t>
      </w:r>
      <w:r>
        <w:rPr>
          <w:i/>
        </w:rPr>
        <w:t>DEL</w:t>
      </w:r>
      <w:r>
        <w:rPr>
          <w:i/>
          <w:spacing w:val="-27"/>
        </w:rPr>
        <w:t> </w:t>
      </w:r>
      <w:r>
        <w:rPr/>
        <w:t>is</w:t>
      </w:r>
      <w:r>
        <w:rPr>
          <w:spacing w:val="-27"/>
        </w:rPr>
        <w:t> </w:t>
      </w:r>
      <w:r>
        <w:rPr/>
        <w:t>a</w:t>
      </w:r>
      <w:r>
        <w:rPr>
          <w:spacing w:val="-27"/>
        </w:rPr>
        <w:t> </w:t>
      </w:r>
      <w:r>
        <w:rPr/>
        <w:t>dichotomous variable equal to one if the firm is incorporated in the State of Delaware, and zero otherwise. </w:t>
      </w:r>
      <w:r>
        <w:rPr>
          <w:i/>
        </w:rPr>
        <w:t>POST </w:t>
      </w:r>
      <w:r>
        <w:rPr/>
        <w:t>is a dichotomous variable equal to one for the post-ruling</w:t>
      </w:r>
      <w:r>
        <w:rPr>
          <w:spacing w:val="-14"/>
        </w:rPr>
        <w:t> </w:t>
      </w:r>
      <w:r>
        <w:rPr/>
        <w:t>period</w:t>
      </w:r>
      <w:r>
        <w:rPr>
          <w:spacing w:val="-14"/>
        </w:rPr>
        <w:t> </w:t>
      </w:r>
      <w:r>
        <w:rPr/>
        <w:t>defined</w:t>
      </w:r>
      <w:r>
        <w:rPr>
          <w:spacing w:val="-13"/>
        </w:rPr>
        <w:t> </w:t>
      </w:r>
      <w:r>
        <w:rPr/>
        <w:t>as</w:t>
      </w:r>
      <w:r>
        <w:rPr>
          <w:spacing w:val="-14"/>
        </w:rPr>
        <w:t> </w:t>
      </w:r>
      <w:r>
        <w:rPr/>
        <w:t>1993–1996</w:t>
      </w:r>
      <w:r>
        <w:rPr>
          <w:spacing w:val="-14"/>
        </w:rPr>
        <w:t> </w:t>
      </w:r>
      <w:r>
        <w:rPr/>
        <w:t>and</w:t>
      </w:r>
      <w:r>
        <w:rPr>
          <w:spacing w:val="-14"/>
        </w:rPr>
        <w:t> </w:t>
      </w:r>
      <w:r>
        <w:rPr/>
        <w:t>zero</w:t>
      </w:r>
      <w:r>
        <w:rPr>
          <w:spacing w:val="-14"/>
        </w:rPr>
        <w:t> </w:t>
      </w:r>
      <w:r>
        <w:rPr/>
        <w:t>for</w:t>
      </w:r>
      <w:r>
        <w:rPr>
          <w:spacing w:val="-14"/>
        </w:rPr>
        <w:t> </w:t>
      </w:r>
      <w:r>
        <w:rPr/>
        <w:t>the</w:t>
      </w:r>
      <w:r>
        <w:rPr>
          <w:spacing w:val="-14"/>
        </w:rPr>
        <w:t> </w:t>
      </w:r>
      <w:r>
        <w:rPr/>
        <w:t>pre-ruling</w:t>
      </w:r>
      <w:r>
        <w:rPr>
          <w:spacing w:val="-14"/>
        </w:rPr>
        <w:t> </w:t>
      </w:r>
      <w:r>
        <w:rPr/>
        <w:t>period of</w:t>
      </w:r>
      <w:r>
        <w:rPr>
          <w:spacing w:val="-13"/>
        </w:rPr>
        <w:t> </w:t>
      </w:r>
      <w:r>
        <w:rPr/>
        <w:t>1988–1991.</w:t>
      </w:r>
      <w:r>
        <w:rPr>
          <w:color w:val="231F20"/>
          <w:position w:val="7"/>
          <w:sz w:val="14"/>
        </w:rPr>
        <w:t>19</w:t>
      </w:r>
      <w:r>
        <w:rPr>
          <w:color w:val="231F20"/>
          <w:spacing w:val="-4"/>
          <w:position w:val="7"/>
          <w:sz w:val="14"/>
        </w:rPr>
        <w:t> </w:t>
      </w:r>
      <w:r>
        <w:rPr>
          <w:spacing w:val="-6"/>
        </w:rPr>
        <w:t>We</w:t>
      </w:r>
      <w:r>
        <w:rPr>
          <w:spacing w:val="-13"/>
        </w:rPr>
        <w:t> </w:t>
      </w:r>
      <w:r>
        <w:rPr/>
        <w:t>include</w:t>
      </w:r>
      <w:r>
        <w:rPr>
          <w:spacing w:val="-13"/>
        </w:rPr>
        <w:t> </w:t>
      </w:r>
      <w:r>
        <w:rPr/>
        <w:t>natural</w:t>
      </w:r>
      <w:r>
        <w:rPr>
          <w:spacing w:val="-13"/>
        </w:rPr>
        <w:t> </w:t>
      </w:r>
      <w:r>
        <w:rPr/>
        <w:t>log</w:t>
      </w:r>
      <w:r>
        <w:rPr>
          <w:spacing w:val="-13"/>
        </w:rPr>
        <w:t> </w:t>
      </w:r>
      <w:r>
        <w:rPr/>
        <w:t>of</w:t>
      </w:r>
      <w:r>
        <w:rPr>
          <w:spacing w:val="-13"/>
        </w:rPr>
        <w:t> </w:t>
      </w:r>
      <w:r>
        <w:rPr/>
        <w:t>market</w:t>
      </w:r>
      <w:r>
        <w:rPr>
          <w:spacing w:val="-13"/>
        </w:rPr>
        <w:t> </w:t>
      </w:r>
      <w:r>
        <w:rPr/>
        <w:t>value</w:t>
      </w:r>
      <w:r>
        <w:rPr>
          <w:spacing w:val="-13"/>
        </w:rPr>
        <w:t> </w:t>
      </w:r>
      <w:r>
        <w:rPr/>
        <w:t>of</w:t>
      </w:r>
      <w:r>
        <w:rPr>
          <w:spacing w:val="-13"/>
        </w:rPr>
        <w:t> </w:t>
      </w:r>
      <w:r>
        <w:rPr/>
        <w:t>equity</w:t>
      </w:r>
      <w:r>
        <w:rPr>
          <w:spacing w:val="-13"/>
        </w:rPr>
        <w:t> </w:t>
      </w:r>
      <w:r>
        <w:rPr/>
        <w:t>(</w:t>
      </w:r>
      <w:r>
        <w:rPr>
          <w:i/>
        </w:rPr>
        <w:t>LNMVE</w:t>
      </w:r>
      <w:r>
        <w:rPr/>
        <w:t>) in</w:t>
      </w:r>
      <w:r>
        <w:rPr>
          <w:spacing w:val="-14"/>
        </w:rPr>
        <w:t> </w:t>
      </w:r>
      <w:r>
        <w:rPr/>
        <w:t>our</w:t>
      </w:r>
      <w:r>
        <w:rPr>
          <w:spacing w:val="-14"/>
        </w:rPr>
        <w:t> </w:t>
      </w:r>
      <w:r>
        <w:rPr/>
        <w:t>regression</w:t>
      </w:r>
      <w:r>
        <w:rPr>
          <w:spacing w:val="-14"/>
        </w:rPr>
        <w:t> </w:t>
      </w:r>
      <w:r>
        <w:rPr/>
        <w:t>model</w:t>
      </w:r>
      <w:r>
        <w:rPr>
          <w:spacing w:val="-13"/>
        </w:rPr>
        <w:t> </w:t>
      </w:r>
      <w:r>
        <w:rPr/>
        <w:t>to</w:t>
      </w:r>
      <w:r>
        <w:rPr>
          <w:spacing w:val="-13"/>
        </w:rPr>
        <w:t> </w:t>
      </w:r>
      <w:r>
        <w:rPr/>
        <w:t>control</w:t>
      </w:r>
      <w:r>
        <w:rPr>
          <w:spacing w:val="-13"/>
        </w:rPr>
        <w:t> </w:t>
      </w:r>
      <w:r>
        <w:rPr/>
        <w:t>for</w:t>
      </w:r>
      <w:r>
        <w:rPr>
          <w:spacing w:val="-13"/>
        </w:rPr>
        <w:t> </w:t>
      </w:r>
      <w:r>
        <w:rPr/>
        <w:t>the</w:t>
      </w:r>
      <w:r>
        <w:rPr>
          <w:spacing w:val="-13"/>
        </w:rPr>
        <w:t> </w:t>
      </w:r>
      <w:r>
        <w:rPr/>
        <w:t>effect</w:t>
      </w:r>
      <w:r>
        <w:rPr>
          <w:spacing w:val="-13"/>
        </w:rPr>
        <w:t> </w:t>
      </w:r>
      <w:r>
        <w:rPr/>
        <w:t>of</w:t>
      </w:r>
      <w:r>
        <w:rPr>
          <w:spacing w:val="-14"/>
        </w:rPr>
        <w:t> </w:t>
      </w:r>
      <w:r>
        <w:rPr/>
        <w:t>firm</w:t>
      </w:r>
      <w:r>
        <w:rPr>
          <w:spacing w:val="-14"/>
        </w:rPr>
        <w:t> </w:t>
      </w:r>
      <w:r>
        <w:rPr/>
        <w:t>size</w:t>
      </w:r>
      <w:r>
        <w:rPr>
          <w:spacing w:val="-14"/>
        </w:rPr>
        <w:t> </w:t>
      </w:r>
      <w:r>
        <w:rPr/>
        <w:t>on</w:t>
      </w:r>
      <w:r>
        <w:rPr>
          <w:spacing w:val="-14"/>
        </w:rPr>
        <w:t> </w:t>
      </w:r>
      <w:r>
        <w:rPr/>
        <w:t>financial</w:t>
      </w:r>
      <w:r>
        <w:rPr>
          <w:spacing w:val="-13"/>
        </w:rPr>
        <w:t> </w:t>
      </w:r>
      <w:r>
        <w:rPr/>
        <w:t>re- porting</w:t>
      </w:r>
      <w:r>
        <w:rPr>
          <w:spacing w:val="-20"/>
        </w:rPr>
        <w:t> </w:t>
      </w:r>
      <w:r>
        <w:rPr/>
        <w:t>conservatism</w:t>
      </w:r>
      <w:r>
        <w:rPr>
          <w:spacing w:val="-20"/>
        </w:rPr>
        <w:t> </w:t>
      </w:r>
      <w:r>
        <w:rPr/>
        <w:t>as</w:t>
      </w:r>
      <w:r>
        <w:rPr>
          <w:spacing w:val="-20"/>
        </w:rPr>
        <w:t> </w:t>
      </w:r>
      <w:r>
        <w:rPr/>
        <w:t>the</w:t>
      </w:r>
      <w:r>
        <w:rPr>
          <w:spacing w:val="-20"/>
        </w:rPr>
        <w:t> </w:t>
      </w:r>
      <w:r>
        <w:rPr/>
        <w:t>literature</w:t>
      </w:r>
      <w:r>
        <w:rPr>
          <w:spacing w:val="-20"/>
        </w:rPr>
        <w:t> </w:t>
      </w:r>
      <w:r>
        <w:rPr/>
        <w:t>provides</w:t>
      </w:r>
      <w:r>
        <w:rPr>
          <w:spacing w:val="-20"/>
        </w:rPr>
        <w:t> </w:t>
      </w:r>
      <w:r>
        <w:rPr/>
        <w:t>arguments</w:t>
      </w:r>
      <w:r>
        <w:rPr>
          <w:spacing w:val="-20"/>
        </w:rPr>
        <w:t> </w:t>
      </w:r>
      <w:r>
        <w:rPr/>
        <w:t>for</w:t>
      </w:r>
      <w:r>
        <w:rPr>
          <w:spacing w:val="-20"/>
        </w:rPr>
        <w:t> </w:t>
      </w:r>
      <w:r>
        <w:rPr/>
        <w:t>either</w:t>
      </w:r>
      <w:r>
        <w:rPr>
          <w:spacing w:val="-20"/>
        </w:rPr>
        <w:t> </w:t>
      </w:r>
      <w:r>
        <w:rPr/>
        <w:t>a</w:t>
      </w:r>
      <w:r>
        <w:rPr>
          <w:spacing w:val="-20"/>
        </w:rPr>
        <w:t> </w:t>
      </w:r>
      <w:r>
        <w:rPr/>
        <w:t>posi- tive</w:t>
      </w:r>
      <w:r>
        <w:rPr>
          <w:spacing w:val="-22"/>
        </w:rPr>
        <w:t> </w:t>
      </w:r>
      <w:r>
        <w:rPr/>
        <w:t>or</w:t>
      </w:r>
      <w:r>
        <w:rPr>
          <w:spacing w:val="-22"/>
        </w:rPr>
        <w:t> </w:t>
      </w:r>
      <w:r>
        <w:rPr/>
        <w:t>negative</w:t>
      </w:r>
      <w:r>
        <w:rPr>
          <w:spacing w:val="-21"/>
        </w:rPr>
        <w:t> </w:t>
      </w:r>
      <w:r>
        <w:rPr/>
        <w:t>association</w:t>
      </w:r>
      <w:r>
        <w:rPr>
          <w:spacing w:val="-22"/>
        </w:rPr>
        <w:t> </w:t>
      </w:r>
      <w:r>
        <w:rPr/>
        <w:t>of</w:t>
      </w:r>
      <w:r>
        <w:rPr>
          <w:spacing w:val="-21"/>
        </w:rPr>
        <w:t> </w:t>
      </w:r>
      <w:r>
        <w:rPr/>
        <w:t>firm</w:t>
      </w:r>
      <w:r>
        <w:rPr>
          <w:spacing w:val="-22"/>
        </w:rPr>
        <w:t> </w:t>
      </w:r>
      <w:r>
        <w:rPr/>
        <w:t>size</w:t>
      </w:r>
      <w:r>
        <w:rPr>
          <w:spacing w:val="-22"/>
        </w:rPr>
        <w:t> </w:t>
      </w:r>
      <w:r>
        <w:rPr/>
        <w:t>with</w:t>
      </w:r>
      <w:r>
        <w:rPr>
          <w:spacing w:val="-21"/>
        </w:rPr>
        <w:t> </w:t>
      </w:r>
      <w:r>
        <w:rPr/>
        <w:t>conservatism.</w:t>
      </w:r>
      <w:r>
        <w:rPr>
          <w:color w:val="231F20"/>
          <w:position w:val="7"/>
          <w:sz w:val="14"/>
        </w:rPr>
        <w:t>20</w:t>
      </w:r>
      <w:r>
        <w:rPr>
          <w:color w:val="231F20"/>
          <w:spacing w:val="-11"/>
          <w:position w:val="7"/>
          <w:sz w:val="14"/>
        </w:rPr>
        <w:t> </w:t>
      </w:r>
      <w:r>
        <w:rPr/>
        <w:t>The</w:t>
      </w:r>
      <w:r>
        <w:rPr>
          <w:spacing w:val="-22"/>
        </w:rPr>
        <w:t> </w:t>
      </w:r>
      <w:r>
        <w:rPr/>
        <w:t>control</w:t>
      </w:r>
      <w:r>
        <w:rPr>
          <w:spacing w:val="-22"/>
        </w:rPr>
        <w:t> </w:t>
      </w:r>
      <w:r>
        <w:rPr/>
        <w:t>for firms’</w:t>
      </w:r>
      <w:r>
        <w:rPr>
          <w:spacing w:val="-9"/>
        </w:rPr>
        <w:t> </w:t>
      </w:r>
      <w:r>
        <w:rPr/>
        <w:t>leverage</w:t>
      </w:r>
      <w:r>
        <w:rPr>
          <w:spacing w:val="-8"/>
        </w:rPr>
        <w:t> </w:t>
      </w:r>
      <w:r>
        <w:rPr/>
        <w:t>(ratio</w:t>
      </w:r>
      <w:r>
        <w:rPr>
          <w:spacing w:val="-8"/>
        </w:rPr>
        <w:t> </w:t>
      </w:r>
      <w:r>
        <w:rPr/>
        <w:t>of</w:t>
      </w:r>
      <w:r>
        <w:rPr>
          <w:spacing w:val="-8"/>
        </w:rPr>
        <w:t> </w:t>
      </w:r>
      <w:r>
        <w:rPr/>
        <w:t>total</w:t>
      </w:r>
      <w:r>
        <w:rPr>
          <w:spacing w:val="-8"/>
        </w:rPr>
        <w:t> </w:t>
      </w:r>
      <w:r>
        <w:rPr/>
        <w:t>liabilities</w:t>
      </w:r>
      <w:r>
        <w:rPr>
          <w:spacing w:val="-8"/>
        </w:rPr>
        <w:t> </w:t>
      </w:r>
      <w:r>
        <w:rPr/>
        <w:t>to</w:t>
      </w:r>
      <w:r>
        <w:rPr>
          <w:spacing w:val="-8"/>
        </w:rPr>
        <w:t> </w:t>
      </w:r>
      <w:r>
        <w:rPr/>
        <w:t>total</w:t>
      </w:r>
      <w:r>
        <w:rPr>
          <w:spacing w:val="-8"/>
        </w:rPr>
        <w:t> </w:t>
      </w:r>
      <w:r>
        <w:rPr/>
        <w:t>assets,</w:t>
      </w:r>
      <w:r>
        <w:rPr>
          <w:spacing w:val="-9"/>
        </w:rPr>
        <w:t> </w:t>
      </w:r>
      <w:r>
        <w:rPr>
          <w:i/>
        </w:rPr>
        <w:t>LEV</w:t>
      </w:r>
      <w:r>
        <w:rPr/>
        <w:t>)</w:t>
      </w:r>
      <w:r>
        <w:rPr>
          <w:spacing w:val="-8"/>
        </w:rPr>
        <w:t> </w:t>
      </w:r>
      <w:r>
        <w:rPr/>
        <w:t>captures</w:t>
      </w:r>
      <w:r>
        <w:rPr>
          <w:spacing w:val="-8"/>
        </w:rPr>
        <w:t> </w:t>
      </w:r>
      <w:r>
        <w:rPr/>
        <w:t>credi- tors’ overall demand for conservatism (Ahmed et al. [2002]). In addition, we</w:t>
      </w:r>
      <w:r>
        <w:rPr>
          <w:spacing w:val="10"/>
        </w:rPr>
        <w:t> </w:t>
      </w:r>
      <w:r>
        <w:rPr/>
        <w:t>include</w:t>
      </w:r>
      <w:r>
        <w:rPr>
          <w:spacing w:val="10"/>
        </w:rPr>
        <w:t> </w:t>
      </w:r>
      <w:r>
        <w:rPr/>
        <w:t>book-to-market</w:t>
      </w:r>
      <w:r>
        <w:rPr>
          <w:spacing w:val="10"/>
        </w:rPr>
        <w:t> </w:t>
      </w:r>
      <w:r>
        <w:rPr/>
        <w:t>ratio</w:t>
      </w:r>
      <w:r>
        <w:rPr>
          <w:spacing w:val="10"/>
        </w:rPr>
        <w:t> </w:t>
      </w:r>
      <w:r>
        <w:rPr/>
        <w:t>(</w:t>
      </w:r>
      <w:r>
        <w:rPr>
          <w:i/>
        </w:rPr>
        <w:t>BTM</w:t>
      </w:r>
      <w:r>
        <w:rPr/>
        <w:t>)</w:t>
      </w:r>
      <w:r>
        <w:rPr>
          <w:spacing w:val="10"/>
        </w:rPr>
        <w:t> </w:t>
      </w:r>
      <w:r>
        <w:rPr/>
        <w:t>and</w:t>
      </w:r>
      <w:r>
        <w:rPr>
          <w:spacing w:val="10"/>
        </w:rPr>
        <w:t> </w:t>
      </w:r>
      <w:r>
        <w:rPr/>
        <w:t>asset</w:t>
      </w:r>
      <w:r>
        <w:rPr>
          <w:spacing w:val="10"/>
        </w:rPr>
        <w:t> </w:t>
      </w:r>
      <w:r>
        <w:rPr/>
        <w:t>growth</w:t>
      </w:r>
      <w:r>
        <w:rPr>
          <w:spacing w:val="10"/>
        </w:rPr>
        <w:t> </w:t>
      </w:r>
      <w:r>
        <w:rPr/>
        <w:t>(</w:t>
      </w:r>
      <w:r>
        <w:rPr>
          <w:i/>
        </w:rPr>
        <w:t>GROWTH</w:t>
      </w:r>
      <w:r>
        <w:rPr/>
        <w:t>)</w:t>
      </w:r>
      <w:r>
        <w:rPr>
          <w:spacing w:val="10"/>
        </w:rPr>
        <w:t> </w:t>
      </w:r>
      <w:r>
        <w:rPr/>
        <w:t>to</w:t>
      </w:r>
    </w:p>
    <w:p>
      <w:pPr>
        <w:pStyle w:val="BodyText"/>
      </w:pPr>
    </w:p>
    <w:p>
      <w:pPr>
        <w:pStyle w:val="BodyText"/>
        <w:spacing w:before="3"/>
        <w:rPr>
          <w:sz w:val="13"/>
        </w:rPr>
      </w:pPr>
      <w:r>
        <w:rPr/>
        <w:pict>
          <v:line style="position:absolute;mso-position-horizontal-relative:page;mso-position-vertical-relative:paragraph;z-index:1624;mso-wrap-distance-left:0;mso-wrap-distance-right:0" from="72.125999pt,10.507079pt" to="107.999999pt,10.507079pt" stroked="true" strokeweight=".504pt" strokecolor="#000000">
            <v:stroke dashstyle="solid"/>
            <w10:wrap type="topAndBottom"/>
          </v:line>
        </w:pict>
      </w:r>
    </w:p>
    <w:p>
      <w:pPr>
        <w:spacing w:before="75"/>
        <w:ind w:left="162" w:right="519" w:firstLine="179"/>
        <w:jc w:val="both"/>
        <w:rPr>
          <w:sz w:val="16"/>
        </w:rPr>
      </w:pPr>
      <w:r>
        <w:rPr>
          <w:color w:val="231F20"/>
          <w:position w:val="6"/>
          <w:sz w:val="12"/>
        </w:rPr>
        <w:t>15 </w:t>
      </w:r>
      <w:r>
        <w:rPr>
          <w:color w:val="231F20"/>
          <w:spacing w:val="-5"/>
          <w:sz w:val="16"/>
        </w:rPr>
        <w:t>We </w:t>
      </w:r>
      <w:r>
        <w:rPr>
          <w:color w:val="231F20"/>
          <w:sz w:val="16"/>
        </w:rPr>
        <w:t>do not include C-score in our composite measure because C-score would capture changes</w:t>
      </w:r>
      <w:r>
        <w:rPr>
          <w:color w:val="231F20"/>
          <w:spacing w:val="-15"/>
          <w:sz w:val="16"/>
        </w:rPr>
        <w:t> </w:t>
      </w:r>
      <w:r>
        <w:rPr>
          <w:color w:val="231F20"/>
          <w:sz w:val="16"/>
        </w:rPr>
        <w:t>in</w:t>
      </w:r>
      <w:r>
        <w:rPr>
          <w:color w:val="231F20"/>
          <w:spacing w:val="-15"/>
          <w:sz w:val="16"/>
        </w:rPr>
        <w:t> </w:t>
      </w:r>
      <w:r>
        <w:rPr>
          <w:color w:val="231F20"/>
          <w:sz w:val="16"/>
        </w:rPr>
        <w:t>firm</w:t>
      </w:r>
      <w:r>
        <w:rPr>
          <w:color w:val="231F20"/>
          <w:spacing w:val="-15"/>
          <w:sz w:val="16"/>
        </w:rPr>
        <w:t> </w:t>
      </w:r>
      <w:r>
        <w:rPr>
          <w:color w:val="231F20"/>
          <w:sz w:val="16"/>
        </w:rPr>
        <w:t>characteristics</w:t>
      </w:r>
      <w:r>
        <w:rPr>
          <w:color w:val="231F20"/>
          <w:spacing w:val="-15"/>
          <w:sz w:val="16"/>
        </w:rPr>
        <w:t> </w:t>
      </w:r>
      <w:r>
        <w:rPr>
          <w:color w:val="231F20"/>
          <w:sz w:val="16"/>
        </w:rPr>
        <w:t>following</w:t>
      </w:r>
      <w:r>
        <w:rPr>
          <w:color w:val="231F20"/>
          <w:spacing w:val="-15"/>
          <w:sz w:val="16"/>
        </w:rPr>
        <w:t> </w:t>
      </w:r>
      <w:r>
        <w:rPr>
          <w:color w:val="231F20"/>
          <w:sz w:val="16"/>
        </w:rPr>
        <w:t>the</w:t>
      </w:r>
      <w:r>
        <w:rPr>
          <w:color w:val="231F20"/>
          <w:spacing w:val="-15"/>
          <w:sz w:val="16"/>
        </w:rPr>
        <w:t> </w:t>
      </w:r>
      <w:r>
        <w:rPr>
          <w:color w:val="231F20"/>
          <w:sz w:val="16"/>
        </w:rPr>
        <w:t>regime</w:t>
      </w:r>
      <w:r>
        <w:rPr>
          <w:color w:val="231F20"/>
          <w:spacing w:val="-15"/>
          <w:sz w:val="16"/>
        </w:rPr>
        <w:t> </w:t>
      </w:r>
      <w:r>
        <w:rPr>
          <w:color w:val="231F20"/>
          <w:sz w:val="16"/>
        </w:rPr>
        <w:t>change,</w:t>
      </w:r>
      <w:r>
        <w:rPr>
          <w:color w:val="231F20"/>
          <w:spacing w:val="-15"/>
          <w:sz w:val="16"/>
        </w:rPr>
        <w:t> </w:t>
      </w:r>
      <w:r>
        <w:rPr>
          <w:color w:val="231F20"/>
          <w:sz w:val="16"/>
        </w:rPr>
        <w:t>which</w:t>
      </w:r>
      <w:r>
        <w:rPr>
          <w:color w:val="231F20"/>
          <w:spacing w:val="-15"/>
          <w:sz w:val="16"/>
        </w:rPr>
        <w:t> </w:t>
      </w:r>
      <w:r>
        <w:rPr>
          <w:color w:val="231F20"/>
          <w:sz w:val="16"/>
        </w:rPr>
        <w:t>need</w:t>
      </w:r>
      <w:r>
        <w:rPr>
          <w:color w:val="231F20"/>
          <w:spacing w:val="-15"/>
          <w:sz w:val="16"/>
        </w:rPr>
        <w:t> </w:t>
      </w:r>
      <w:r>
        <w:rPr>
          <w:color w:val="231F20"/>
          <w:sz w:val="16"/>
        </w:rPr>
        <w:t>not</w:t>
      </w:r>
      <w:r>
        <w:rPr>
          <w:color w:val="231F20"/>
          <w:spacing w:val="-15"/>
          <w:sz w:val="16"/>
        </w:rPr>
        <w:t> </w:t>
      </w:r>
      <w:r>
        <w:rPr>
          <w:color w:val="231F20"/>
          <w:sz w:val="16"/>
        </w:rPr>
        <w:t>have</w:t>
      </w:r>
      <w:r>
        <w:rPr>
          <w:color w:val="231F20"/>
          <w:spacing w:val="-15"/>
          <w:sz w:val="16"/>
        </w:rPr>
        <w:t> </w:t>
      </w:r>
      <w:r>
        <w:rPr>
          <w:color w:val="231F20"/>
          <w:sz w:val="16"/>
        </w:rPr>
        <w:t>anything</w:t>
      </w:r>
      <w:r>
        <w:rPr>
          <w:color w:val="231F20"/>
          <w:spacing w:val="-15"/>
          <w:sz w:val="16"/>
        </w:rPr>
        <w:t> </w:t>
      </w:r>
      <w:r>
        <w:rPr>
          <w:color w:val="231F20"/>
          <w:sz w:val="16"/>
        </w:rPr>
        <w:t>to do</w:t>
      </w:r>
      <w:r>
        <w:rPr>
          <w:color w:val="231F20"/>
          <w:spacing w:val="-8"/>
          <w:sz w:val="16"/>
        </w:rPr>
        <w:t> </w:t>
      </w:r>
      <w:r>
        <w:rPr>
          <w:color w:val="231F20"/>
          <w:sz w:val="16"/>
        </w:rPr>
        <w:t>with</w:t>
      </w:r>
      <w:r>
        <w:rPr>
          <w:color w:val="231F20"/>
          <w:spacing w:val="-8"/>
          <w:sz w:val="16"/>
        </w:rPr>
        <w:t> </w:t>
      </w:r>
      <w:r>
        <w:rPr>
          <w:color w:val="231F20"/>
          <w:sz w:val="16"/>
        </w:rPr>
        <w:t>conservatism</w:t>
      </w:r>
      <w:r>
        <w:rPr>
          <w:color w:val="231F20"/>
          <w:spacing w:val="-8"/>
          <w:sz w:val="16"/>
        </w:rPr>
        <w:t> </w:t>
      </w:r>
      <w:r>
        <w:rPr>
          <w:color w:val="231F20"/>
          <w:sz w:val="16"/>
        </w:rPr>
        <w:t>in</w:t>
      </w:r>
      <w:r>
        <w:rPr>
          <w:color w:val="231F20"/>
          <w:spacing w:val="-8"/>
          <w:sz w:val="16"/>
        </w:rPr>
        <w:t> </w:t>
      </w:r>
      <w:r>
        <w:rPr>
          <w:color w:val="231F20"/>
          <w:sz w:val="16"/>
        </w:rPr>
        <w:t>our</w:t>
      </w:r>
      <w:r>
        <w:rPr>
          <w:color w:val="231F20"/>
          <w:spacing w:val="-8"/>
          <w:sz w:val="16"/>
        </w:rPr>
        <w:t> </w:t>
      </w:r>
      <w:r>
        <w:rPr>
          <w:color w:val="231F20"/>
          <w:sz w:val="16"/>
        </w:rPr>
        <w:t>setting.</w:t>
      </w:r>
      <w:r>
        <w:rPr>
          <w:color w:val="231F20"/>
          <w:spacing w:val="-8"/>
          <w:sz w:val="16"/>
        </w:rPr>
        <w:t> </w:t>
      </w:r>
      <w:r>
        <w:rPr>
          <w:color w:val="231F20"/>
          <w:spacing w:val="-5"/>
          <w:sz w:val="16"/>
        </w:rPr>
        <w:t>We</w:t>
      </w:r>
      <w:r>
        <w:rPr>
          <w:color w:val="231F20"/>
          <w:spacing w:val="-8"/>
          <w:sz w:val="16"/>
        </w:rPr>
        <w:t> </w:t>
      </w:r>
      <w:r>
        <w:rPr>
          <w:color w:val="231F20"/>
          <w:sz w:val="16"/>
        </w:rPr>
        <w:t>thank</w:t>
      </w:r>
      <w:r>
        <w:rPr>
          <w:color w:val="231F20"/>
          <w:spacing w:val="-8"/>
          <w:sz w:val="16"/>
        </w:rPr>
        <w:t> </w:t>
      </w:r>
      <w:r>
        <w:rPr>
          <w:color w:val="231F20"/>
          <w:sz w:val="16"/>
        </w:rPr>
        <w:t>the</w:t>
      </w:r>
      <w:r>
        <w:rPr>
          <w:color w:val="231F20"/>
          <w:spacing w:val="-8"/>
          <w:sz w:val="16"/>
        </w:rPr>
        <w:t> </w:t>
      </w:r>
      <w:r>
        <w:rPr>
          <w:color w:val="231F20"/>
          <w:sz w:val="16"/>
        </w:rPr>
        <w:t>anonymous</w:t>
      </w:r>
      <w:r>
        <w:rPr>
          <w:color w:val="231F20"/>
          <w:spacing w:val="-8"/>
          <w:sz w:val="16"/>
        </w:rPr>
        <w:t> </w:t>
      </w:r>
      <w:r>
        <w:rPr>
          <w:color w:val="231F20"/>
          <w:sz w:val="16"/>
        </w:rPr>
        <w:t>referee</w:t>
      </w:r>
      <w:r>
        <w:rPr>
          <w:color w:val="231F20"/>
          <w:spacing w:val="-8"/>
          <w:sz w:val="16"/>
        </w:rPr>
        <w:t> </w:t>
      </w:r>
      <w:r>
        <w:rPr>
          <w:color w:val="231F20"/>
          <w:sz w:val="16"/>
        </w:rPr>
        <w:t>for</w:t>
      </w:r>
      <w:r>
        <w:rPr>
          <w:color w:val="231F20"/>
          <w:spacing w:val="-8"/>
          <w:sz w:val="16"/>
        </w:rPr>
        <w:t> </w:t>
      </w:r>
      <w:r>
        <w:rPr>
          <w:color w:val="231F20"/>
          <w:sz w:val="16"/>
        </w:rPr>
        <w:t>pointing</w:t>
      </w:r>
      <w:r>
        <w:rPr>
          <w:color w:val="231F20"/>
          <w:spacing w:val="-8"/>
          <w:sz w:val="16"/>
        </w:rPr>
        <w:t> </w:t>
      </w:r>
      <w:r>
        <w:rPr>
          <w:color w:val="231F20"/>
          <w:sz w:val="16"/>
        </w:rPr>
        <w:t>this</w:t>
      </w:r>
      <w:r>
        <w:rPr>
          <w:color w:val="231F20"/>
          <w:spacing w:val="-8"/>
          <w:sz w:val="16"/>
        </w:rPr>
        <w:t> </w:t>
      </w:r>
      <w:r>
        <w:rPr>
          <w:color w:val="231F20"/>
          <w:sz w:val="16"/>
        </w:rPr>
        <w:t>out.</w:t>
      </w:r>
    </w:p>
    <w:p>
      <w:pPr>
        <w:spacing w:line="216" w:lineRule="auto" w:before="0"/>
        <w:ind w:left="162" w:right="519" w:firstLine="179"/>
        <w:jc w:val="both"/>
        <w:rPr>
          <w:sz w:val="16"/>
        </w:rPr>
      </w:pPr>
      <w:r>
        <w:rPr/>
        <w:pict>
          <v:line style="position:absolute;mso-position-horizontal-relative:page;mso-position-vertical-relative:paragraph;z-index:-70072" from="258.605988pt,17.754425pt" to="260.999988pt,17.754425pt" stroked="true" strokeweight=".405pt" strokecolor="#000000">
            <v:stroke dashstyle="solid"/>
            <w10:wrap type="none"/>
          </v:line>
        </w:pict>
      </w:r>
      <w:r>
        <w:rPr>
          <w:color w:val="231F20"/>
          <w:position w:val="6"/>
          <w:sz w:val="12"/>
        </w:rPr>
        <w:t>16 </w:t>
      </w:r>
      <w:r>
        <w:rPr>
          <w:color w:val="231F20"/>
          <w:spacing w:val="-5"/>
          <w:sz w:val="16"/>
        </w:rPr>
        <w:t>We </w:t>
      </w:r>
      <w:r>
        <w:rPr>
          <w:color w:val="231F20"/>
          <w:sz w:val="16"/>
        </w:rPr>
        <w:t>thank </w:t>
      </w:r>
      <w:r>
        <w:rPr>
          <w:color w:val="231F20"/>
          <w:spacing w:val="-4"/>
          <w:sz w:val="16"/>
        </w:rPr>
        <w:t>Tyler </w:t>
      </w:r>
      <w:r>
        <w:rPr>
          <w:color w:val="231F20"/>
          <w:sz w:val="16"/>
        </w:rPr>
        <w:t>Shumway for sharing the SAS program to calculate EDF scores (www- personal.umich.edu/</w:t>
      </w:r>
      <w:r>
        <w:rPr>
          <w:rFonts w:ascii="Lucida Sans Unicode"/>
          <w:color w:val="231F20"/>
          <w:sz w:val="16"/>
        </w:rPr>
        <w:t>~</w:t>
      </w:r>
      <w:r>
        <w:rPr>
          <w:color w:val="231F20"/>
          <w:sz w:val="16"/>
        </w:rPr>
        <w:t>shumway/papers.dir/nuiter99 print.sas).</w:t>
      </w:r>
    </w:p>
    <w:p>
      <w:pPr>
        <w:spacing w:line="188" w:lineRule="exact" w:before="0"/>
        <w:ind w:left="341" w:right="0" w:firstLine="0"/>
        <w:jc w:val="left"/>
        <w:rPr>
          <w:sz w:val="16"/>
        </w:rPr>
      </w:pPr>
      <w:r>
        <w:rPr>
          <w:color w:val="231F20"/>
          <w:position w:val="6"/>
          <w:sz w:val="12"/>
        </w:rPr>
        <w:t>17 </w:t>
      </w:r>
      <w:r>
        <w:rPr>
          <w:color w:val="231F20"/>
          <w:sz w:val="16"/>
        </w:rPr>
        <w:t>The judge passed his ruling on November 6, 1991, and the case was finally decided on</w:t>
      </w:r>
    </w:p>
    <w:p>
      <w:pPr>
        <w:spacing w:line="188" w:lineRule="exact" w:before="0"/>
        <w:ind w:left="162" w:right="0" w:firstLine="0"/>
        <w:jc w:val="left"/>
        <w:rPr>
          <w:sz w:val="16"/>
        </w:rPr>
      </w:pPr>
      <w:r>
        <w:rPr>
          <w:color w:val="231F20"/>
          <w:w w:val="105"/>
          <w:sz w:val="16"/>
        </w:rPr>
        <w:t>December 30, 1991.</w:t>
      </w:r>
    </w:p>
    <w:p>
      <w:pPr>
        <w:spacing w:line="200" w:lineRule="exact" w:before="0"/>
        <w:ind w:left="162" w:right="519" w:firstLine="179"/>
        <w:jc w:val="both"/>
        <w:rPr>
          <w:sz w:val="16"/>
        </w:rPr>
      </w:pPr>
      <w:r>
        <w:rPr>
          <w:color w:val="231F20"/>
          <w:position w:val="6"/>
          <w:sz w:val="12"/>
        </w:rPr>
        <w:t>18</w:t>
      </w:r>
      <w:r>
        <w:rPr>
          <w:color w:val="231F20"/>
          <w:spacing w:val="-17"/>
          <w:position w:val="6"/>
          <w:sz w:val="12"/>
        </w:rPr>
        <w:t> </w:t>
      </w:r>
      <w:r>
        <w:rPr>
          <w:color w:val="231F20"/>
          <w:sz w:val="16"/>
        </w:rPr>
        <w:t>A</w:t>
      </w:r>
      <w:r>
        <w:rPr>
          <w:color w:val="231F20"/>
          <w:spacing w:val="-15"/>
          <w:sz w:val="16"/>
        </w:rPr>
        <w:t> </w:t>
      </w:r>
      <w:r>
        <w:rPr>
          <w:color w:val="231F20"/>
          <w:sz w:val="16"/>
        </w:rPr>
        <w:t>fundamental</w:t>
      </w:r>
      <w:r>
        <w:rPr>
          <w:color w:val="231F20"/>
          <w:spacing w:val="-15"/>
          <w:sz w:val="16"/>
        </w:rPr>
        <w:t> </w:t>
      </w:r>
      <w:r>
        <w:rPr>
          <w:color w:val="231F20"/>
          <w:sz w:val="16"/>
        </w:rPr>
        <w:t>assumption</w:t>
      </w:r>
      <w:r>
        <w:rPr>
          <w:color w:val="231F20"/>
          <w:spacing w:val="-15"/>
          <w:sz w:val="16"/>
        </w:rPr>
        <w:t> </w:t>
      </w:r>
      <w:r>
        <w:rPr>
          <w:color w:val="231F20"/>
          <w:sz w:val="16"/>
        </w:rPr>
        <w:t>with</w:t>
      </w:r>
      <w:r>
        <w:rPr>
          <w:color w:val="231F20"/>
          <w:spacing w:val="-15"/>
          <w:sz w:val="16"/>
        </w:rPr>
        <w:t> </w:t>
      </w:r>
      <w:r>
        <w:rPr>
          <w:color w:val="231F20"/>
          <w:sz w:val="16"/>
        </w:rPr>
        <w:t>the</w:t>
      </w:r>
      <w:r>
        <w:rPr>
          <w:color w:val="231F20"/>
          <w:spacing w:val="-15"/>
          <w:sz w:val="16"/>
        </w:rPr>
        <w:t> </w:t>
      </w:r>
      <w:r>
        <w:rPr>
          <w:color w:val="231F20"/>
          <w:sz w:val="16"/>
        </w:rPr>
        <w:t>definition</w:t>
      </w:r>
      <w:r>
        <w:rPr>
          <w:color w:val="231F20"/>
          <w:spacing w:val="-15"/>
          <w:sz w:val="16"/>
        </w:rPr>
        <w:t> </w:t>
      </w:r>
      <w:r>
        <w:rPr>
          <w:color w:val="231F20"/>
          <w:sz w:val="16"/>
        </w:rPr>
        <w:t>of</w:t>
      </w:r>
      <w:r>
        <w:rPr>
          <w:color w:val="231F20"/>
          <w:spacing w:val="-15"/>
          <w:sz w:val="16"/>
        </w:rPr>
        <w:t> </w:t>
      </w:r>
      <w:r>
        <w:rPr>
          <w:i/>
          <w:color w:val="231F20"/>
          <w:sz w:val="16"/>
        </w:rPr>
        <w:t>HEDF93</w:t>
      </w:r>
      <w:r>
        <w:rPr>
          <w:i/>
          <w:color w:val="231F20"/>
          <w:spacing w:val="-15"/>
          <w:sz w:val="16"/>
        </w:rPr>
        <w:t> </w:t>
      </w:r>
      <w:r>
        <w:rPr>
          <w:color w:val="231F20"/>
          <w:sz w:val="16"/>
        </w:rPr>
        <w:t>is</w:t>
      </w:r>
      <w:r>
        <w:rPr>
          <w:color w:val="231F20"/>
          <w:spacing w:val="-15"/>
          <w:sz w:val="16"/>
        </w:rPr>
        <w:t> </w:t>
      </w:r>
      <w:r>
        <w:rPr>
          <w:color w:val="231F20"/>
          <w:sz w:val="16"/>
        </w:rPr>
        <w:t>that</w:t>
      </w:r>
      <w:r>
        <w:rPr>
          <w:color w:val="231F20"/>
          <w:spacing w:val="-14"/>
          <w:sz w:val="16"/>
        </w:rPr>
        <w:t> </w:t>
      </w:r>
      <w:r>
        <w:rPr>
          <w:color w:val="231F20"/>
          <w:sz w:val="16"/>
        </w:rPr>
        <w:t>the</w:t>
      </w:r>
      <w:r>
        <w:rPr>
          <w:color w:val="231F20"/>
          <w:spacing w:val="-15"/>
          <w:sz w:val="16"/>
        </w:rPr>
        <w:t> </w:t>
      </w:r>
      <w:r>
        <w:rPr>
          <w:color w:val="231F20"/>
          <w:sz w:val="16"/>
        </w:rPr>
        <w:t>sample</w:t>
      </w:r>
      <w:r>
        <w:rPr>
          <w:color w:val="231F20"/>
          <w:spacing w:val="-15"/>
          <w:sz w:val="16"/>
        </w:rPr>
        <w:t> </w:t>
      </w:r>
      <w:r>
        <w:rPr>
          <w:color w:val="231F20"/>
          <w:sz w:val="16"/>
        </w:rPr>
        <w:t>firms’</w:t>
      </w:r>
      <w:r>
        <w:rPr>
          <w:color w:val="231F20"/>
          <w:spacing w:val="-15"/>
          <w:sz w:val="16"/>
        </w:rPr>
        <w:t> </w:t>
      </w:r>
      <w:r>
        <w:rPr>
          <w:color w:val="231F20"/>
          <w:sz w:val="16"/>
        </w:rPr>
        <w:t>status of</w:t>
      </w:r>
      <w:r>
        <w:rPr>
          <w:color w:val="231F20"/>
          <w:spacing w:val="-10"/>
          <w:sz w:val="16"/>
        </w:rPr>
        <w:t> </w:t>
      </w:r>
      <w:r>
        <w:rPr>
          <w:color w:val="231F20"/>
          <w:sz w:val="16"/>
        </w:rPr>
        <w:t>near</w:t>
      </w:r>
      <w:r>
        <w:rPr>
          <w:color w:val="231F20"/>
          <w:spacing w:val="-10"/>
          <w:sz w:val="16"/>
        </w:rPr>
        <w:t> </w:t>
      </w:r>
      <w:r>
        <w:rPr>
          <w:color w:val="231F20"/>
          <w:sz w:val="16"/>
        </w:rPr>
        <w:t>insolvency</w:t>
      </w:r>
      <w:r>
        <w:rPr>
          <w:color w:val="231F20"/>
          <w:spacing w:val="-10"/>
          <w:sz w:val="16"/>
        </w:rPr>
        <w:t> </w:t>
      </w:r>
      <w:r>
        <w:rPr>
          <w:color w:val="231F20"/>
          <w:sz w:val="16"/>
        </w:rPr>
        <w:t>does</w:t>
      </w:r>
      <w:r>
        <w:rPr>
          <w:color w:val="231F20"/>
          <w:spacing w:val="-10"/>
          <w:sz w:val="16"/>
        </w:rPr>
        <w:t> </w:t>
      </w:r>
      <w:r>
        <w:rPr>
          <w:color w:val="231F20"/>
          <w:sz w:val="16"/>
        </w:rPr>
        <w:t>not</w:t>
      </w:r>
      <w:r>
        <w:rPr>
          <w:color w:val="231F20"/>
          <w:spacing w:val="-10"/>
          <w:sz w:val="16"/>
        </w:rPr>
        <w:t> </w:t>
      </w:r>
      <w:r>
        <w:rPr>
          <w:color w:val="231F20"/>
          <w:sz w:val="16"/>
        </w:rPr>
        <w:t>change</w:t>
      </w:r>
      <w:r>
        <w:rPr>
          <w:color w:val="231F20"/>
          <w:spacing w:val="-10"/>
          <w:sz w:val="16"/>
        </w:rPr>
        <w:t> </w:t>
      </w:r>
      <w:r>
        <w:rPr>
          <w:color w:val="231F20"/>
          <w:sz w:val="16"/>
        </w:rPr>
        <w:t>throughout</w:t>
      </w:r>
      <w:r>
        <w:rPr>
          <w:color w:val="231F20"/>
          <w:spacing w:val="-10"/>
          <w:sz w:val="16"/>
        </w:rPr>
        <w:t> </w:t>
      </w:r>
      <w:r>
        <w:rPr>
          <w:color w:val="231F20"/>
          <w:sz w:val="16"/>
        </w:rPr>
        <w:t>the</w:t>
      </w:r>
      <w:r>
        <w:rPr>
          <w:color w:val="231F20"/>
          <w:spacing w:val="-10"/>
          <w:sz w:val="16"/>
        </w:rPr>
        <w:t> </w:t>
      </w:r>
      <w:r>
        <w:rPr>
          <w:color w:val="231F20"/>
          <w:sz w:val="16"/>
        </w:rPr>
        <w:t>sample</w:t>
      </w:r>
      <w:r>
        <w:rPr>
          <w:color w:val="231F20"/>
          <w:spacing w:val="-10"/>
          <w:sz w:val="16"/>
        </w:rPr>
        <w:t> </w:t>
      </w:r>
      <w:r>
        <w:rPr>
          <w:color w:val="231F20"/>
          <w:sz w:val="16"/>
        </w:rPr>
        <w:t>period.</w:t>
      </w:r>
      <w:r>
        <w:rPr>
          <w:color w:val="231F20"/>
          <w:spacing w:val="-10"/>
          <w:sz w:val="16"/>
        </w:rPr>
        <w:t> </w:t>
      </w:r>
      <w:r>
        <w:rPr>
          <w:color w:val="231F20"/>
          <w:sz w:val="16"/>
        </w:rPr>
        <w:t>In</w:t>
      </w:r>
      <w:r>
        <w:rPr>
          <w:color w:val="231F20"/>
          <w:spacing w:val="-10"/>
          <w:sz w:val="16"/>
        </w:rPr>
        <w:t> </w:t>
      </w:r>
      <w:r>
        <w:rPr>
          <w:color w:val="231F20"/>
          <w:sz w:val="16"/>
        </w:rPr>
        <w:t>supplemental</w:t>
      </w:r>
      <w:r>
        <w:rPr>
          <w:color w:val="231F20"/>
          <w:spacing w:val="-10"/>
          <w:sz w:val="16"/>
        </w:rPr>
        <w:t> </w:t>
      </w:r>
      <w:r>
        <w:rPr>
          <w:color w:val="231F20"/>
          <w:sz w:val="16"/>
        </w:rPr>
        <w:t>analyses, we</w:t>
      </w:r>
      <w:r>
        <w:rPr>
          <w:color w:val="231F20"/>
          <w:spacing w:val="-12"/>
          <w:sz w:val="16"/>
        </w:rPr>
        <w:t> </w:t>
      </w:r>
      <w:r>
        <w:rPr>
          <w:color w:val="231F20"/>
          <w:sz w:val="16"/>
        </w:rPr>
        <w:t>test</w:t>
      </w:r>
      <w:r>
        <w:rPr>
          <w:color w:val="231F20"/>
          <w:spacing w:val="-12"/>
          <w:sz w:val="16"/>
        </w:rPr>
        <w:t> </w:t>
      </w:r>
      <w:r>
        <w:rPr>
          <w:color w:val="231F20"/>
          <w:sz w:val="16"/>
        </w:rPr>
        <w:t>the</w:t>
      </w:r>
      <w:r>
        <w:rPr>
          <w:color w:val="231F20"/>
          <w:spacing w:val="-12"/>
          <w:sz w:val="16"/>
        </w:rPr>
        <w:t> </w:t>
      </w:r>
      <w:r>
        <w:rPr>
          <w:color w:val="231F20"/>
          <w:sz w:val="16"/>
        </w:rPr>
        <w:t>validity</w:t>
      </w:r>
      <w:r>
        <w:rPr>
          <w:color w:val="231F20"/>
          <w:spacing w:val="-12"/>
          <w:sz w:val="16"/>
        </w:rPr>
        <w:t> </w:t>
      </w:r>
      <w:r>
        <w:rPr>
          <w:color w:val="231F20"/>
          <w:sz w:val="16"/>
        </w:rPr>
        <w:t>of</w:t>
      </w:r>
      <w:r>
        <w:rPr>
          <w:color w:val="231F20"/>
          <w:spacing w:val="-12"/>
          <w:sz w:val="16"/>
        </w:rPr>
        <w:t> </w:t>
      </w:r>
      <w:r>
        <w:rPr>
          <w:color w:val="231F20"/>
          <w:sz w:val="16"/>
        </w:rPr>
        <w:t>this</w:t>
      </w:r>
      <w:r>
        <w:rPr>
          <w:color w:val="231F20"/>
          <w:spacing w:val="-12"/>
          <w:sz w:val="16"/>
        </w:rPr>
        <w:t> </w:t>
      </w:r>
      <w:r>
        <w:rPr>
          <w:color w:val="231F20"/>
          <w:sz w:val="16"/>
        </w:rPr>
        <w:t>assumption</w:t>
      </w:r>
      <w:r>
        <w:rPr>
          <w:color w:val="231F20"/>
          <w:spacing w:val="-12"/>
          <w:sz w:val="16"/>
        </w:rPr>
        <w:t> </w:t>
      </w:r>
      <w:r>
        <w:rPr>
          <w:color w:val="231F20"/>
          <w:sz w:val="16"/>
        </w:rPr>
        <w:t>by</w:t>
      </w:r>
      <w:r>
        <w:rPr>
          <w:color w:val="231F20"/>
          <w:spacing w:val="-12"/>
          <w:sz w:val="16"/>
        </w:rPr>
        <w:t> </w:t>
      </w:r>
      <w:r>
        <w:rPr>
          <w:color w:val="231F20"/>
          <w:sz w:val="16"/>
        </w:rPr>
        <w:t>constraining</w:t>
      </w:r>
      <w:r>
        <w:rPr>
          <w:color w:val="231F20"/>
          <w:spacing w:val="-12"/>
          <w:sz w:val="16"/>
        </w:rPr>
        <w:t> </w:t>
      </w:r>
      <w:r>
        <w:rPr>
          <w:color w:val="231F20"/>
          <w:sz w:val="16"/>
        </w:rPr>
        <w:t>our</w:t>
      </w:r>
      <w:r>
        <w:rPr>
          <w:color w:val="231F20"/>
          <w:spacing w:val="-12"/>
          <w:sz w:val="16"/>
        </w:rPr>
        <w:t> </w:t>
      </w:r>
      <w:r>
        <w:rPr>
          <w:color w:val="231F20"/>
          <w:sz w:val="16"/>
        </w:rPr>
        <w:t>sample</w:t>
      </w:r>
      <w:r>
        <w:rPr>
          <w:color w:val="231F20"/>
          <w:spacing w:val="-12"/>
          <w:sz w:val="16"/>
        </w:rPr>
        <w:t> </w:t>
      </w:r>
      <w:r>
        <w:rPr>
          <w:color w:val="231F20"/>
          <w:sz w:val="16"/>
        </w:rPr>
        <w:t>to</w:t>
      </w:r>
      <w:r>
        <w:rPr>
          <w:color w:val="231F20"/>
          <w:spacing w:val="-12"/>
          <w:sz w:val="16"/>
        </w:rPr>
        <w:t> </w:t>
      </w:r>
      <w:r>
        <w:rPr>
          <w:color w:val="231F20"/>
          <w:sz w:val="16"/>
        </w:rPr>
        <w:t>firms</w:t>
      </w:r>
      <w:r>
        <w:rPr>
          <w:color w:val="231F20"/>
          <w:spacing w:val="-12"/>
          <w:sz w:val="16"/>
        </w:rPr>
        <w:t> </w:t>
      </w:r>
      <w:r>
        <w:rPr>
          <w:color w:val="231F20"/>
          <w:sz w:val="16"/>
        </w:rPr>
        <w:t>that</w:t>
      </w:r>
      <w:r>
        <w:rPr>
          <w:color w:val="231F20"/>
          <w:spacing w:val="-12"/>
          <w:sz w:val="16"/>
        </w:rPr>
        <w:t> </w:t>
      </w:r>
      <w:r>
        <w:rPr>
          <w:color w:val="231F20"/>
          <w:sz w:val="16"/>
        </w:rPr>
        <w:t>are</w:t>
      </w:r>
      <w:r>
        <w:rPr>
          <w:color w:val="231F20"/>
          <w:spacing w:val="-12"/>
          <w:sz w:val="16"/>
        </w:rPr>
        <w:t> </w:t>
      </w:r>
      <w:r>
        <w:rPr>
          <w:color w:val="231F20"/>
          <w:sz w:val="16"/>
        </w:rPr>
        <w:t>near</w:t>
      </w:r>
      <w:r>
        <w:rPr>
          <w:color w:val="231F20"/>
          <w:spacing w:val="-12"/>
          <w:sz w:val="16"/>
        </w:rPr>
        <w:t> </w:t>
      </w:r>
      <w:r>
        <w:rPr>
          <w:color w:val="231F20"/>
          <w:sz w:val="16"/>
        </w:rPr>
        <w:t>insol- vent</w:t>
      </w:r>
      <w:r>
        <w:rPr>
          <w:color w:val="231F20"/>
          <w:spacing w:val="-12"/>
          <w:sz w:val="16"/>
        </w:rPr>
        <w:t> </w:t>
      </w:r>
      <w:r>
        <w:rPr>
          <w:color w:val="231F20"/>
          <w:sz w:val="16"/>
        </w:rPr>
        <w:t>throughout</w:t>
      </w:r>
      <w:r>
        <w:rPr>
          <w:color w:val="231F20"/>
          <w:spacing w:val="-11"/>
          <w:sz w:val="16"/>
        </w:rPr>
        <w:t> </w:t>
      </w:r>
      <w:r>
        <w:rPr>
          <w:color w:val="231F20"/>
          <w:sz w:val="16"/>
        </w:rPr>
        <w:t>the</w:t>
      </w:r>
      <w:r>
        <w:rPr>
          <w:color w:val="231F20"/>
          <w:spacing w:val="-11"/>
          <w:sz w:val="16"/>
        </w:rPr>
        <w:t> </w:t>
      </w:r>
      <w:r>
        <w:rPr>
          <w:color w:val="231F20"/>
          <w:sz w:val="16"/>
        </w:rPr>
        <w:t>whole</w:t>
      </w:r>
      <w:r>
        <w:rPr>
          <w:color w:val="231F20"/>
          <w:spacing w:val="-12"/>
          <w:sz w:val="16"/>
        </w:rPr>
        <w:t> </w:t>
      </w:r>
      <w:r>
        <w:rPr>
          <w:color w:val="231F20"/>
          <w:sz w:val="16"/>
        </w:rPr>
        <w:t>sample</w:t>
      </w:r>
      <w:r>
        <w:rPr>
          <w:color w:val="231F20"/>
          <w:spacing w:val="-12"/>
          <w:sz w:val="16"/>
        </w:rPr>
        <w:t> </w:t>
      </w:r>
      <w:r>
        <w:rPr>
          <w:color w:val="231F20"/>
          <w:sz w:val="16"/>
        </w:rPr>
        <w:t>period</w:t>
      </w:r>
      <w:r>
        <w:rPr>
          <w:color w:val="231F20"/>
          <w:spacing w:val="-12"/>
          <w:sz w:val="16"/>
        </w:rPr>
        <w:t> </w:t>
      </w:r>
      <w:r>
        <w:rPr>
          <w:color w:val="231F20"/>
          <w:sz w:val="16"/>
        </w:rPr>
        <w:t>and</w:t>
      </w:r>
      <w:r>
        <w:rPr>
          <w:color w:val="231F20"/>
          <w:spacing w:val="-11"/>
          <w:sz w:val="16"/>
        </w:rPr>
        <w:t> </w:t>
      </w:r>
      <w:r>
        <w:rPr>
          <w:color w:val="231F20"/>
          <w:sz w:val="16"/>
        </w:rPr>
        <w:t>by</w:t>
      </w:r>
      <w:r>
        <w:rPr>
          <w:color w:val="231F20"/>
          <w:spacing w:val="-12"/>
          <w:sz w:val="16"/>
        </w:rPr>
        <w:t> </w:t>
      </w:r>
      <w:r>
        <w:rPr>
          <w:color w:val="231F20"/>
          <w:sz w:val="16"/>
        </w:rPr>
        <w:t>shortening</w:t>
      </w:r>
      <w:r>
        <w:rPr>
          <w:color w:val="231F20"/>
          <w:spacing w:val="-11"/>
          <w:sz w:val="16"/>
        </w:rPr>
        <w:t> </w:t>
      </w:r>
      <w:r>
        <w:rPr>
          <w:color w:val="231F20"/>
          <w:sz w:val="16"/>
        </w:rPr>
        <w:t>the</w:t>
      </w:r>
      <w:r>
        <w:rPr>
          <w:color w:val="231F20"/>
          <w:spacing w:val="-11"/>
          <w:sz w:val="16"/>
        </w:rPr>
        <w:t> </w:t>
      </w:r>
      <w:r>
        <w:rPr>
          <w:color w:val="231F20"/>
          <w:sz w:val="16"/>
        </w:rPr>
        <w:t>pre-</w:t>
      </w:r>
      <w:r>
        <w:rPr>
          <w:color w:val="231F20"/>
          <w:spacing w:val="-12"/>
          <w:sz w:val="16"/>
        </w:rPr>
        <w:t> </w:t>
      </w:r>
      <w:r>
        <w:rPr>
          <w:color w:val="231F20"/>
          <w:sz w:val="16"/>
        </w:rPr>
        <w:t>and</w:t>
      </w:r>
      <w:r>
        <w:rPr>
          <w:color w:val="231F20"/>
          <w:spacing w:val="-11"/>
          <w:sz w:val="16"/>
        </w:rPr>
        <w:t> </w:t>
      </w:r>
      <w:r>
        <w:rPr>
          <w:color w:val="231F20"/>
          <w:sz w:val="16"/>
        </w:rPr>
        <w:t>post-ruling</w:t>
      </w:r>
      <w:r>
        <w:rPr>
          <w:color w:val="231F20"/>
          <w:spacing w:val="-12"/>
          <w:sz w:val="16"/>
        </w:rPr>
        <w:t> </w:t>
      </w:r>
      <w:r>
        <w:rPr>
          <w:color w:val="231F20"/>
          <w:sz w:val="16"/>
        </w:rPr>
        <w:t>periods so</w:t>
      </w:r>
      <w:r>
        <w:rPr>
          <w:color w:val="231F20"/>
          <w:spacing w:val="-3"/>
          <w:sz w:val="16"/>
        </w:rPr>
        <w:t> </w:t>
      </w:r>
      <w:r>
        <w:rPr>
          <w:color w:val="231F20"/>
          <w:sz w:val="16"/>
        </w:rPr>
        <w:t>that</w:t>
      </w:r>
      <w:r>
        <w:rPr>
          <w:color w:val="231F20"/>
          <w:spacing w:val="-3"/>
          <w:sz w:val="16"/>
        </w:rPr>
        <w:t> </w:t>
      </w:r>
      <w:r>
        <w:rPr>
          <w:color w:val="231F20"/>
          <w:sz w:val="16"/>
        </w:rPr>
        <w:t>the</w:t>
      </w:r>
      <w:r>
        <w:rPr>
          <w:color w:val="231F20"/>
          <w:spacing w:val="-3"/>
          <w:sz w:val="16"/>
        </w:rPr>
        <w:t> </w:t>
      </w:r>
      <w:r>
        <w:rPr>
          <w:color w:val="231F20"/>
          <w:sz w:val="16"/>
        </w:rPr>
        <w:t>near</w:t>
      </w:r>
      <w:r>
        <w:rPr>
          <w:color w:val="231F20"/>
          <w:spacing w:val="-3"/>
          <w:sz w:val="16"/>
        </w:rPr>
        <w:t> </w:t>
      </w:r>
      <w:r>
        <w:rPr>
          <w:color w:val="231F20"/>
          <w:sz w:val="16"/>
        </w:rPr>
        <w:t>insolvency</w:t>
      </w:r>
      <w:r>
        <w:rPr>
          <w:color w:val="231F20"/>
          <w:spacing w:val="-3"/>
          <w:sz w:val="16"/>
        </w:rPr>
        <w:t> </w:t>
      </w:r>
      <w:r>
        <w:rPr>
          <w:color w:val="231F20"/>
          <w:sz w:val="16"/>
        </w:rPr>
        <w:t>status</w:t>
      </w:r>
      <w:r>
        <w:rPr>
          <w:color w:val="231F20"/>
          <w:spacing w:val="-3"/>
          <w:sz w:val="16"/>
        </w:rPr>
        <w:t> </w:t>
      </w:r>
      <w:r>
        <w:rPr>
          <w:color w:val="231F20"/>
          <w:sz w:val="16"/>
        </w:rPr>
        <w:t>is</w:t>
      </w:r>
      <w:r>
        <w:rPr>
          <w:color w:val="231F20"/>
          <w:spacing w:val="-3"/>
          <w:sz w:val="16"/>
        </w:rPr>
        <w:t> </w:t>
      </w:r>
      <w:r>
        <w:rPr>
          <w:color w:val="231F20"/>
          <w:sz w:val="16"/>
        </w:rPr>
        <w:t>less</w:t>
      </w:r>
      <w:r>
        <w:rPr>
          <w:color w:val="231F20"/>
          <w:spacing w:val="-3"/>
          <w:sz w:val="16"/>
        </w:rPr>
        <w:t> </w:t>
      </w:r>
      <w:r>
        <w:rPr>
          <w:color w:val="231F20"/>
          <w:sz w:val="16"/>
        </w:rPr>
        <w:t>likely</w:t>
      </w:r>
      <w:r>
        <w:rPr>
          <w:color w:val="231F20"/>
          <w:spacing w:val="-3"/>
          <w:sz w:val="16"/>
        </w:rPr>
        <w:t> </w:t>
      </w:r>
      <w:r>
        <w:rPr>
          <w:color w:val="231F20"/>
          <w:sz w:val="16"/>
        </w:rPr>
        <w:t>to</w:t>
      </w:r>
      <w:r>
        <w:rPr>
          <w:color w:val="231F20"/>
          <w:spacing w:val="-3"/>
          <w:sz w:val="16"/>
        </w:rPr>
        <w:t> </w:t>
      </w:r>
      <w:r>
        <w:rPr>
          <w:color w:val="231F20"/>
          <w:sz w:val="16"/>
        </w:rPr>
        <w:t>change</w:t>
      </w:r>
      <w:r>
        <w:rPr>
          <w:color w:val="231F20"/>
          <w:spacing w:val="-3"/>
          <w:sz w:val="16"/>
        </w:rPr>
        <w:t> </w:t>
      </w:r>
      <w:r>
        <w:rPr>
          <w:color w:val="231F20"/>
          <w:sz w:val="16"/>
        </w:rPr>
        <w:t>(online</w:t>
      </w:r>
      <w:r>
        <w:rPr>
          <w:color w:val="231F20"/>
          <w:spacing w:val="-3"/>
          <w:sz w:val="16"/>
        </w:rPr>
        <w:t> </w:t>
      </w:r>
      <w:r>
        <w:rPr>
          <w:color w:val="231F20"/>
          <w:sz w:val="16"/>
        </w:rPr>
        <w:t>appendix</w:t>
      </w:r>
      <w:r>
        <w:rPr>
          <w:color w:val="231F20"/>
          <w:spacing w:val="-3"/>
          <w:sz w:val="16"/>
        </w:rPr>
        <w:t> </w:t>
      </w:r>
      <w:r>
        <w:rPr>
          <w:color w:val="231F20"/>
          <w:sz w:val="16"/>
        </w:rPr>
        <w:t>A15).</w:t>
      </w:r>
    </w:p>
    <w:p>
      <w:pPr>
        <w:spacing w:line="201" w:lineRule="exact" w:before="0"/>
        <w:ind w:left="341" w:right="0" w:firstLine="0"/>
        <w:jc w:val="left"/>
        <w:rPr>
          <w:sz w:val="16"/>
        </w:rPr>
      </w:pPr>
      <w:r>
        <w:rPr>
          <w:color w:val="231F20"/>
          <w:position w:val="6"/>
          <w:sz w:val="12"/>
        </w:rPr>
        <w:t>19 </w:t>
      </w:r>
      <w:r>
        <w:rPr>
          <w:color w:val="231F20"/>
          <w:sz w:val="16"/>
        </w:rPr>
        <w:t>Our pre-ruling period begins in 1988 because 1988 is the first year in which operating</w:t>
      </w:r>
    </w:p>
    <w:p>
      <w:pPr>
        <w:spacing w:before="0"/>
        <w:ind w:left="162" w:right="519" w:firstLine="0"/>
        <w:jc w:val="both"/>
        <w:rPr>
          <w:sz w:val="16"/>
        </w:rPr>
      </w:pPr>
      <w:r>
        <w:rPr/>
        <w:pict>
          <v:line style="position:absolute;mso-position-horizontal-relative:page;mso-position-vertical-relative:paragraph;z-index:-70048" from="368.928009pt,17.443977pt" to="371.322009pt,17.443977pt" stroked="true" strokeweight=".405pt" strokecolor="#000000">
            <v:stroke dashstyle="solid"/>
            <w10:wrap type="none"/>
          </v:line>
        </w:pict>
      </w:r>
      <w:r>
        <w:rPr/>
        <w:pict>
          <v:line style="position:absolute;mso-position-horizontal-relative:page;mso-position-vertical-relative:paragraph;z-index:-70024" from="187.343994pt,27.406979pt" to="189.737994pt,27.406979pt" stroked="true" strokeweight=".405pt" strokecolor="#000000">
            <v:stroke dashstyle="solid"/>
            <w10:wrap type="none"/>
          </v:line>
        </w:pict>
      </w:r>
      <w:r>
        <w:rPr>
          <w:color w:val="231F20"/>
          <w:sz w:val="16"/>
        </w:rPr>
        <w:t>cash</w:t>
      </w:r>
      <w:r>
        <w:rPr>
          <w:color w:val="231F20"/>
          <w:spacing w:val="-23"/>
          <w:sz w:val="16"/>
        </w:rPr>
        <w:t> </w:t>
      </w:r>
      <w:r>
        <w:rPr>
          <w:color w:val="231F20"/>
          <w:sz w:val="16"/>
        </w:rPr>
        <w:t>flows</w:t>
      </w:r>
      <w:r>
        <w:rPr>
          <w:color w:val="231F20"/>
          <w:spacing w:val="-23"/>
          <w:sz w:val="16"/>
        </w:rPr>
        <w:t> </w:t>
      </w:r>
      <w:r>
        <w:rPr>
          <w:color w:val="231F20"/>
          <w:sz w:val="16"/>
        </w:rPr>
        <w:t>data</w:t>
      </w:r>
      <w:r>
        <w:rPr>
          <w:color w:val="231F20"/>
          <w:spacing w:val="-23"/>
          <w:sz w:val="16"/>
        </w:rPr>
        <w:t> </w:t>
      </w:r>
      <w:r>
        <w:rPr>
          <w:color w:val="231F20"/>
          <w:sz w:val="16"/>
        </w:rPr>
        <w:t>become</w:t>
      </w:r>
      <w:r>
        <w:rPr>
          <w:color w:val="231F20"/>
          <w:spacing w:val="-23"/>
          <w:sz w:val="16"/>
        </w:rPr>
        <w:t> </w:t>
      </w:r>
      <w:r>
        <w:rPr>
          <w:color w:val="231F20"/>
          <w:sz w:val="16"/>
        </w:rPr>
        <w:t>widely</w:t>
      </w:r>
      <w:r>
        <w:rPr>
          <w:color w:val="231F20"/>
          <w:spacing w:val="-23"/>
          <w:sz w:val="16"/>
        </w:rPr>
        <w:t> </w:t>
      </w:r>
      <w:r>
        <w:rPr>
          <w:color w:val="231F20"/>
          <w:sz w:val="16"/>
        </w:rPr>
        <w:t>available</w:t>
      </w:r>
      <w:r>
        <w:rPr>
          <w:color w:val="231F20"/>
          <w:spacing w:val="-23"/>
          <w:sz w:val="16"/>
        </w:rPr>
        <w:t> </w:t>
      </w:r>
      <w:r>
        <w:rPr>
          <w:color w:val="231F20"/>
          <w:sz w:val="16"/>
        </w:rPr>
        <w:t>in</w:t>
      </w:r>
      <w:r>
        <w:rPr>
          <w:color w:val="231F20"/>
          <w:spacing w:val="-23"/>
          <w:sz w:val="16"/>
        </w:rPr>
        <w:t> </w:t>
      </w:r>
      <w:r>
        <w:rPr>
          <w:color w:val="231F20"/>
          <w:sz w:val="16"/>
        </w:rPr>
        <w:t>Compustat,</w:t>
      </w:r>
      <w:r>
        <w:rPr>
          <w:color w:val="231F20"/>
          <w:spacing w:val="-23"/>
          <w:sz w:val="16"/>
        </w:rPr>
        <w:t> </w:t>
      </w:r>
      <w:r>
        <w:rPr>
          <w:color w:val="231F20"/>
          <w:sz w:val="16"/>
        </w:rPr>
        <w:t>and</w:t>
      </w:r>
      <w:r>
        <w:rPr>
          <w:color w:val="231F20"/>
          <w:spacing w:val="-23"/>
          <w:sz w:val="16"/>
        </w:rPr>
        <w:t> </w:t>
      </w:r>
      <w:r>
        <w:rPr>
          <w:color w:val="231F20"/>
          <w:sz w:val="16"/>
        </w:rPr>
        <w:t>this</w:t>
      </w:r>
      <w:r>
        <w:rPr>
          <w:color w:val="231F20"/>
          <w:spacing w:val="-23"/>
          <w:sz w:val="16"/>
        </w:rPr>
        <w:t> </w:t>
      </w:r>
      <w:r>
        <w:rPr>
          <w:color w:val="231F20"/>
          <w:sz w:val="16"/>
        </w:rPr>
        <w:t>variable</w:t>
      </w:r>
      <w:r>
        <w:rPr>
          <w:color w:val="231F20"/>
          <w:spacing w:val="-23"/>
          <w:sz w:val="16"/>
        </w:rPr>
        <w:t> </w:t>
      </w:r>
      <w:r>
        <w:rPr>
          <w:color w:val="231F20"/>
          <w:sz w:val="16"/>
        </w:rPr>
        <w:t>is</w:t>
      </w:r>
      <w:r>
        <w:rPr>
          <w:color w:val="231F20"/>
          <w:spacing w:val="-23"/>
          <w:sz w:val="16"/>
        </w:rPr>
        <w:t> </w:t>
      </w:r>
      <w:r>
        <w:rPr>
          <w:color w:val="231F20"/>
          <w:sz w:val="16"/>
        </w:rPr>
        <w:t>required</w:t>
      </w:r>
      <w:r>
        <w:rPr>
          <w:color w:val="231F20"/>
          <w:spacing w:val="-23"/>
          <w:sz w:val="16"/>
        </w:rPr>
        <w:t> </w:t>
      </w:r>
      <w:r>
        <w:rPr>
          <w:color w:val="231F20"/>
          <w:sz w:val="16"/>
        </w:rPr>
        <w:t>to</w:t>
      </w:r>
      <w:r>
        <w:rPr>
          <w:color w:val="231F20"/>
          <w:spacing w:val="-23"/>
          <w:sz w:val="16"/>
        </w:rPr>
        <w:t> </w:t>
      </w:r>
      <w:r>
        <w:rPr>
          <w:color w:val="231F20"/>
          <w:sz w:val="16"/>
        </w:rPr>
        <w:t>estimate two-dimensional</w:t>
      </w:r>
      <w:r>
        <w:rPr>
          <w:color w:val="231F20"/>
          <w:spacing w:val="-3"/>
          <w:sz w:val="16"/>
        </w:rPr>
        <w:t> </w:t>
      </w:r>
      <w:r>
        <w:rPr>
          <w:color w:val="231F20"/>
          <w:sz w:val="16"/>
        </w:rPr>
        <w:t>conservatism</w:t>
      </w:r>
      <w:r>
        <w:rPr>
          <w:color w:val="231F20"/>
          <w:spacing w:val="-3"/>
          <w:sz w:val="16"/>
        </w:rPr>
        <w:t> </w:t>
      </w:r>
      <w:r>
        <w:rPr>
          <w:color w:val="231F20"/>
          <w:sz w:val="16"/>
        </w:rPr>
        <w:t>measures,</w:t>
      </w:r>
      <w:r>
        <w:rPr>
          <w:color w:val="231F20"/>
          <w:spacing w:val="-4"/>
          <w:sz w:val="16"/>
        </w:rPr>
        <w:t> </w:t>
      </w:r>
      <w:r>
        <w:rPr>
          <w:color w:val="231F20"/>
          <w:sz w:val="16"/>
        </w:rPr>
        <w:t>that</w:t>
      </w:r>
      <w:r>
        <w:rPr>
          <w:color w:val="231F20"/>
          <w:spacing w:val="-3"/>
          <w:sz w:val="16"/>
        </w:rPr>
        <w:t> </w:t>
      </w:r>
      <w:r>
        <w:rPr>
          <w:color w:val="231F20"/>
          <w:sz w:val="16"/>
        </w:rPr>
        <w:t>is,</w:t>
      </w:r>
      <w:r>
        <w:rPr>
          <w:color w:val="231F20"/>
          <w:spacing w:val="-3"/>
          <w:sz w:val="16"/>
        </w:rPr>
        <w:t> </w:t>
      </w:r>
      <w:r>
        <w:rPr>
          <w:color w:val="231F20"/>
          <w:sz w:val="16"/>
        </w:rPr>
        <w:t>negative</w:t>
      </w:r>
      <w:r>
        <w:rPr>
          <w:color w:val="231F20"/>
          <w:spacing w:val="-3"/>
          <w:sz w:val="16"/>
        </w:rPr>
        <w:t> </w:t>
      </w:r>
      <w:r>
        <w:rPr>
          <w:color w:val="231F20"/>
          <w:sz w:val="16"/>
        </w:rPr>
        <w:t>non-operating</w:t>
      </w:r>
      <w:r>
        <w:rPr>
          <w:color w:val="231F20"/>
          <w:spacing w:val="-3"/>
          <w:sz w:val="16"/>
        </w:rPr>
        <w:t> </w:t>
      </w:r>
      <w:r>
        <w:rPr>
          <w:color w:val="231F20"/>
          <w:sz w:val="16"/>
        </w:rPr>
        <w:t>accruals</w:t>
      </w:r>
      <w:r>
        <w:rPr>
          <w:color w:val="231F20"/>
          <w:spacing w:val="-3"/>
          <w:sz w:val="16"/>
        </w:rPr>
        <w:t> </w:t>
      </w:r>
      <w:r>
        <w:rPr>
          <w:color w:val="231F20"/>
          <w:sz w:val="16"/>
        </w:rPr>
        <w:t>(</w:t>
      </w:r>
      <w:r>
        <w:rPr>
          <w:i/>
          <w:color w:val="231F20"/>
          <w:sz w:val="16"/>
        </w:rPr>
        <w:t>C</w:t>
      </w:r>
      <w:r>
        <w:rPr>
          <w:i/>
          <w:color w:val="231F20"/>
          <w:spacing w:val="-6"/>
          <w:sz w:val="16"/>
        </w:rPr>
        <w:t> </w:t>
      </w:r>
      <w:r>
        <w:rPr>
          <w:i/>
          <w:color w:val="231F20"/>
          <w:sz w:val="16"/>
        </w:rPr>
        <w:t>ACCR</w:t>
      </w:r>
      <w:r>
        <w:rPr>
          <w:color w:val="231F20"/>
          <w:sz w:val="16"/>
        </w:rPr>
        <w:t>) and</w:t>
      </w:r>
      <w:r>
        <w:rPr>
          <w:color w:val="231F20"/>
          <w:spacing w:val="-19"/>
          <w:sz w:val="16"/>
        </w:rPr>
        <w:t> </w:t>
      </w:r>
      <w:r>
        <w:rPr>
          <w:color w:val="231F20"/>
          <w:sz w:val="16"/>
        </w:rPr>
        <w:t>relative</w:t>
      </w:r>
      <w:r>
        <w:rPr>
          <w:color w:val="231F20"/>
          <w:spacing w:val="-19"/>
          <w:sz w:val="16"/>
        </w:rPr>
        <w:t> </w:t>
      </w:r>
      <w:r>
        <w:rPr>
          <w:color w:val="231F20"/>
          <w:sz w:val="16"/>
        </w:rPr>
        <w:t>earnings</w:t>
      </w:r>
      <w:r>
        <w:rPr>
          <w:color w:val="231F20"/>
          <w:spacing w:val="-19"/>
          <w:sz w:val="16"/>
        </w:rPr>
        <w:t> </w:t>
      </w:r>
      <w:r>
        <w:rPr>
          <w:color w:val="231F20"/>
          <w:sz w:val="16"/>
        </w:rPr>
        <w:t>skewness</w:t>
      </w:r>
      <w:r>
        <w:rPr>
          <w:color w:val="231F20"/>
          <w:spacing w:val="-19"/>
          <w:sz w:val="16"/>
        </w:rPr>
        <w:t> </w:t>
      </w:r>
      <w:r>
        <w:rPr>
          <w:color w:val="231F20"/>
          <w:sz w:val="16"/>
        </w:rPr>
        <w:t>(</w:t>
      </w:r>
      <w:r>
        <w:rPr>
          <w:i/>
          <w:color w:val="231F20"/>
          <w:sz w:val="16"/>
        </w:rPr>
        <w:t>C</w:t>
      </w:r>
      <w:r>
        <w:rPr>
          <w:i/>
          <w:color w:val="231F20"/>
          <w:spacing w:val="-7"/>
          <w:sz w:val="16"/>
        </w:rPr>
        <w:t> </w:t>
      </w:r>
      <w:r>
        <w:rPr>
          <w:i/>
          <w:color w:val="231F20"/>
          <w:sz w:val="16"/>
        </w:rPr>
        <w:t>SKEW</w:t>
      </w:r>
      <w:r>
        <w:rPr>
          <w:color w:val="231F20"/>
          <w:sz w:val="16"/>
        </w:rPr>
        <w:t>).</w:t>
      </w:r>
      <w:r>
        <w:rPr>
          <w:color w:val="231F20"/>
          <w:spacing w:val="-19"/>
          <w:sz w:val="16"/>
        </w:rPr>
        <w:t> </w:t>
      </w:r>
      <w:r>
        <w:rPr>
          <w:color w:val="231F20"/>
          <w:spacing w:val="-5"/>
          <w:sz w:val="16"/>
        </w:rPr>
        <w:t>We</w:t>
      </w:r>
      <w:r>
        <w:rPr>
          <w:color w:val="231F20"/>
          <w:spacing w:val="-19"/>
          <w:sz w:val="16"/>
        </w:rPr>
        <w:t> </w:t>
      </w:r>
      <w:r>
        <w:rPr>
          <w:color w:val="231F20"/>
          <w:sz w:val="16"/>
        </w:rPr>
        <w:t>exclude</w:t>
      </w:r>
      <w:r>
        <w:rPr>
          <w:color w:val="231F20"/>
          <w:spacing w:val="-19"/>
          <w:sz w:val="16"/>
        </w:rPr>
        <w:t> </w:t>
      </w:r>
      <w:r>
        <w:rPr>
          <w:color w:val="231F20"/>
          <w:sz w:val="16"/>
        </w:rPr>
        <w:t>year</w:t>
      </w:r>
      <w:r>
        <w:rPr>
          <w:color w:val="231F20"/>
          <w:spacing w:val="-19"/>
          <w:sz w:val="16"/>
        </w:rPr>
        <w:t> </w:t>
      </w:r>
      <w:r>
        <w:rPr>
          <w:color w:val="231F20"/>
          <w:sz w:val="16"/>
        </w:rPr>
        <w:t>1992</w:t>
      </w:r>
      <w:r>
        <w:rPr>
          <w:color w:val="231F20"/>
          <w:spacing w:val="-19"/>
          <w:sz w:val="16"/>
        </w:rPr>
        <w:t> </w:t>
      </w:r>
      <w:r>
        <w:rPr>
          <w:color w:val="231F20"/>
          <w:sz w:val="16"/>
        </w:rPr>
        <w:t>from</w:t>
      </w:r>
      <w:r>
        <w:rPr>
          <w:color w:val="231F20"/>
          <w:spacing w:val="-19"/>
          <w:sz w:val="16"/>
        </w:rPr>
        <w:t> </w:t>
      </w:r>
      <w:r>
        <w:rPr>
          <w:color w:val="231F20"/>
          <w:sz w:val="16"/>
        </w:rPr>
        <w:t>our</w:t>
      </w:r>
      <w:r>
        <w:rPr>
          <w:color w:val="231F20"/>
          <w:spacing w:val="-19"/>
          <w:sz w:val="16"/>
        </w:rPr>
        <w:t> </w:t>
      </w:r>
      <w:r>
        <w:rPr>
          <w:color w:val="231F20"/>
          <w:sz w:val="16"/>
        </w:rPr>
        <w:t>analysis</w:t>
      </w:r>
      <w:r>
        <w:rPr>
          <w:color w:val="231F20"/>
          <w:spacing w:val="-19"/>
          <w:sz w:val="16"/>
        </w:rPr>
        <w:t> </w:t>
      </w:r>
      <w:r>
        <w:rPr>
          <w:color w:val="231F20"/>
          <w:sz w:val="16"/>
        </w:rPr>
        <w:t>because</w:t>
      </w:r>
      <w:r>
        <w:rPr>
          <w:color w:val="231F20"/>
          <w:spacing w:val="-19"/>
          <w:sz w:val="16"/>
        </w:rPr>
        <w:t> </w:t>
      </w:r>
      <w:r>
        <w:rPr>
          <w:color w:val="231F20"/>
          <w:sz w:val="16"/>
        </w:rPr>
        <w:t>the ruling was passed at the end of 1991, and it is unlikely to be fully implemented during the transition year of</w:t>
      </w:r>
      <w:r>
        <w:rPr>
          <w:color w:val="231F20"/>
          <w:spacing w:val="1"/>
          <w:sz w:val="16"/>
        </w:rPr>
        <w:t> </w:t>
      </w:r>
      <w:r>
        <w:rPr>
          <w:color w:val="231F20"/>
          <w:sz w:val="16"/>
        </w:rPr>
        <w:t>1992.</w:t>
      </w:r>
    </w:p>
    <w:p>
      <w:pPr>
        <w:spacing w:line="200" w:lineRule="exact" w:before="0"/>
        <w:ind w:left="341" w:right="0" w:firstLine="0"/>
        <w:jc w:val="left"/>
        <w:rPr>
          <w:sz w:val="16"/>
        </w:rPr>
      </w:pPr>
      <w:r>
        <w:rPr>
          <w:color w:val="231F20"/>
          <w:position w:val="6"/>
          <w:sz w:val="12"/>
        </w:rPr>
        <w:t>20 </w:t>
      </w:r>
      <w:r>
        <w:rPr>
          <w:color w:val="231F20"/>
          <w:sz w:val="16"/>
        </w:rPr>
        <w:t>Political costs hypothesis suggests a positive association, while income aggregation and</w:t>
      </w:r>
    </w:p>
    <w:p>
      <w:pPr>
        <w:spacing w:before="0"/>
        <w:ind w:left="162" w:right="519" w:firstLine="0"/>
        <w:jc w:val="both"/>
        <w:rPr>
          <w:sz w:val="16"/>
        </w:rPr>
      </w:pPr>
      <w:r>
        <w:rPr>
          <w:color w:val="231F20"/>
          <w:w w:val="95"/>
          <w:sz w:val="16"/>
        </w:rPr>
        <w:t>information asymmetries hypothesis suggests a negative association between conservatism and </w:t>
      </w:r>
      <w:r>
        <w:rPr>
          <w:color w:val="231F20"/>
          <w:sz w:val="16"/>
        </w:rPr>
        <w:t>firm size (LaFond and Watts [2008]).</w:t>
      </w:r>
    </w:p>
    <w:p>
      <w:pPr>
        <w:spacing w:after="0"/>
        <w:jc w:val="both"/>
        <w:rPr>
          <w:sz w:val="16"/>
        </w:rPr>
        <w:sectPr>
          <w:pgSz w:w="9720" w:h="14400"/>
          <w:pgMar w:header="1054" w:footer="0" w:top="1300" w:bottom="280" w:left="1280" w:right="1300"/>
        </w:sectPr>
      </w:pPr>
    </w:p>
    <w:p>
      <w:pPr>
        <w:pStyle w:val="BodyText"/>
        <w:spacing w:line="230" w:lineRule="auto" w:before="178"/>
        <w:ind w:left="532" w:right="149"/>
        <w:jc w:val="both"/>
      </w:pPr>
      <w:r>
        <w:rPr/>
        <w:t>control</w:t>
      </w:r>
      <w:r>
        <w:rPr>
          <w:spacing w:val="-7"/>
        </w:rPr>
        <w:t> </w:t>
      </w:r>
      <w:r>
        <w:rPr/>
        <w:t>for</w:t>
      </w:r>
      <w:r>
        <w:rPr>
          <w:spacing w:val="-7"/>
        </w:rPr>
        <w:t> </w:t>
      </w:r>
      <w:r>
        <w:rPr/>
        <w:t>the</w:t>
      </w:r>
      <w:r>
        <w:rPr>
          <w:spacing w:val="-7"/>
        </w:rPr>
        <w:t> </w:t>
      </w:r>
      <w:r>
        <w:rPr/>
        <w:t>effects</w:t>
      </w:r>
      <w:r>
        <w:rPr>
          <w:spacing w:val="-6"/>
        </w:rPr>
        <w:t> </w:t>
      </w:r>
      <w:r>
        <w:rPr/>
        <w:t>of</w:t>
      </w:r>
      <w:r>
        <w:rPr>
          <w:spacing w:val="-7"/>
        </w:rPr>
        <w:t> </w:t>
      </w:r>
      <w:r>
        <w:rPr/>
        <w:t>firms’</w:t>
      </w:r>
      <w:r>
        <w:rPr>
          <w:spacing w:val="-7"/>
        </w:rPr>
        <w:t> </w:t>
      </w:r>
      <w:r>
        <w:rPr/>
        <w:t>growth</w:t>
      </w:r>
      <w:r>
        <w:rPr>
          <w:spacing w:val="-7"/>
        </w:rPr>
        <w:t> </w:t>
      </w:r>
      <w:r>
        <w:rPr/>
        <w:t>prospects</w:t>
      </w:r>
      <w:r>
        <w:rPr>
          <w:spacing w:val="-7"/>
        </w:rPr>
        <w:t> </w:t>
      </w:r>
      <w:r>
        <w:rPr/>
        <w:t>on</w:t>
      </w:r>
      <w:r>
        <w:rPr>
          <w:spacing w:val="-7"/>
        </w:rPr>
        <w:t> </w:t>
      </w:r>
      <w:r>
        <w:rPr/>
        <w:t>their</w:t>
      </w:r>
      <w:r>
        <w:rPr>
          <w:spacing w:val="-7"/>
        </w:rPr>
        <w:t> </w:t>
      </w:r>
      <w:r>
        <w:rPr/>
        <w:t>financial</w:t>
      </w:r>
      <w:r>
        <w:rPr>
          <w:spacing w:val="-6"/>
        </w:rPr>
        <w:t> </w:t>
      </w:r>
      <w:r>
        <w:rPr/>
        <w:t>report- ing</w:t>
      </w:r>
      <w:r>
        <w:rPr>
          <w:spacing w:val="-34"/>
        </w:rPr>
        <w:t> </w:t>
      </w:r>
      <w:r>
        <w:rPr/>
        <w:t>conservatism.</w:t>
      </w:r>
      <w:r>
        <w:rPr>
          <w:spacing w:val="-34"/>
        </w:rPr>
        <w:t> </w:t>
      </w:r>
      <w:r>
        <w:rPr/>
        <w:t>High</w:t>
      </w:r>
      <w:r>
        <w:rPr>
          <w:spacing w:val="-34"/>
        </w:rPr>
        <w:t> </w:t>
      </w:r>
      <w:r>
        <w:rPr/>
        <w:t>growth</w:t>
      </w:r>
      <w:r>
        <w:rPr>
          <w:spacing w:val="-34"/>
        </w:rPr>
        <w:t> </w:t>
      </w:r>
      <w:r>
        <w:rPr/>
        <w:t>firms</w:t>
      </w:r>
      <w:r>
        <w:rPr>
          <w:spacing w:val="-34"/>
        </w:rPr>
        <w:t> </w:t>
      </w:r>
      <w:r>
        <w:rPr/>
        <w:t>could</w:t>
      </w:r>
      <w:r>
        <w:rPr>
          <w:spacing w:val="-34"/>
        </w:rPr>
        <w:t> </w:t>
      </w:r>
      <w:r>
        <w:rPr/>
        <w:t>prefer</w:t>
      </w:r>
      <w:r>
        <w:rPr>
          <w:spacing w:val="-34"/>
        </w:rPr>
        <w:t> </w:t>
      </w:r>
      <w:r>
        <w:rPr/>
        <w:t>less</w:t>
      </w:r>
      <w:r>
        <w:rPr>
          <w:spacing w:val="-34"/>
        </w:rPr>
        <w:t> </w:t>
      </w:r>
      <w:r>
        <w:rPr/>
        <w:t>conservative</w:t>
      </w:r>
      <w:r>
        <w:rPr>
          <w:spacing w:val="-34"/>
        </w:rPr>
        <w:t> </w:t>
      </w:r>
      <w:r>
        <w:rPr/>
        <w:t>account- ing because of greater pressures to present better accounting and stock performance (Ahmed and Duellman [2013]). </w:t>
      </w:r>
      <w:r>
        <w:rPr>
          <w:spacing w:val="-9"/>
        </w:rPr>
        <w:t>To </w:t>
      </w:r>
      <w:r>
        <w:rPr/>
        <w:t>capture the effect of a greater</w:t>
      </w:r>
      <w:r>
        <w:rPr>
          <w:spacing w:val="-29"/>
        </w:rPr>
        <w:t> </w:t>
      </w:r>
      <w:r>
        <w:rPr/>
        <w:t>demand</w:t>
      </w:r>
      <w:r>
        <w:rPr>
          <w:spacing w:val="-29"/>
        </w:rPr>
        <w:t> </w:t>
      </w:r>
      <w:r>
        <w:rPr/>
        <w:t>for</w:t>
      </w:r>
      <w:r>
        <w:rPr>
          <w:spacing w:val="-29"/>
        </w:rPr>
        <w:t> </w:t>
      </w:r>
      <w:r>
        <w:rPr/>
        <w:t>conservatism</w:t>
      </w:r>
      <w:r>
        <w:rPr>
          <w:spacing w:val="-29"/>
        </w:rPr>
        <w:t> </w:t>
      </w:r>
      <w:r>
        <w:rPr/>
        <w:t>from</w:t>
      </w:r>
      <w:r>
        <w:rPr>
          <w:spacing w:val="-29"/>
        </w:rPr>
        <w:t> </w:t>
      </w:r>
      <w:r>
        <w:rPr/>
        <w:t>firms</w:t>
      </w:r>
      <w:r>
        <w:rPr>
          <w:spacing w:val="-29"/>
        </w:rPr>
        <w:t> </w:t>
      </w:r>
      <w:r>
        <w:rPr/>
        <w:t>in</w:t>
      </w:r>
      <w:r>
        <w:rPr>
          <w:spacing w:val="-29"/>
        </w:rPr>
        <w:t> </w:t>
      </w:r>
      <w:r>
        <w:rPr/>
        <w:t>more</w:t>
      </w:r>
      <w:r>
        <w:rPr>
          <w:spacing w:val="-29"/>
        </w:rPr>
        <w:t> </w:t>
      </w:r>
      <w:r>
        <w:rPr/>
        <w:t>litigious</w:t>
      </w:r>
      <w:r>
        <w:rPr>
          <w:spacing w:val="-29"/>
        </w:rPr>
        <w:t> </w:t>
      </w:r>
      <w:r>
        <w:rPr/>
        <w:t>industries,</w:t>
      </w:r>
      <w:r>
        <w:rPr>
          <w:spacing w:val="-29"/>
        </w:rPr>
        <w:t> </w:t>
      </w:r>
      <w:r>
        <w:rPr/>
        <w:t>we include</w:t>
      </w:r>
      <w:r>
        <w:rPr>
          <w:spacing w:val="-16"/>
        </w:rPr>
        <w:t> </w:t>
      </w:r>
      <w:r>
        <w:rPr/>
        <w:t>a</w:t>
      </w:r>
      <w:r>
        <w:rPr>
          <w:spacing w:val="-16"/>
        </w:rPr>
        <w:t> </w:t>
      </w:r>
      <w:r>
        <w:rPr/>
        <w:t>dichotomous</w:t>
      </w:r>
      <w:r>
        <w:rPr>
          <w:spacing w:val="-16"/>
        </w:rPr>
        <w:t> </w:t>
      </w:r>
      <w:r>
        <w:rPr/>
        <w:t>variable</w:t>
      </w:r>
      <w:r>
        <w:rPr>
          <w:spacing w:val="-16"/>
        </w:rPr>
        <w:t> </w:t>
      </w:r>
      <w:r>
        <w:rPr/>
        <w:t>for</w:t>
      </w:r>
      <w:r>
        <w:rPr>
          <w:spacing w:val="-16"/>
        </w:rPr>
        <w:t> </w:t>
      </w:r>
      <w:r>
        <w:rPr/>
        <w:t>high-litigation</w:t>
      </w:r>
      <w:r>
        <w:rPr>
          <w:spacing w:val="-16"/>
        </w:rPr>
        <w:t> </w:t>
      </w:r>
      <w:r>
        <w:rPr/>
        <w:t>industries,</w:t>
      </w:r>
      <w:r>
        <w:rPr>
          <w:spacing w:val="-16"/>
        </w:rPr>
        <w:t> </w:t>
      </w:r>
      <w:r>
        <w:rPr>
          <w:i/>
        </w:rPr>
        <w:t>LITIG</w:t>
      </w:r>
      <w:r>
        <w:rPr>
          <w:i/>
          <w:spacing w:val="-16"/>
        </w:rPr>
        <w:t> </w:t>
      </w:r>
      <w:r>
        <w:rPr>
          <w:spacing w:val="-3"/>
        </w:rPr>
        <w:t>(Watts </w:t>
      </w:r>
      <w:r>
        <w:rPr/>
        <w:t>[2003], Khan and Watts [2009]). Finally, we also control for institutional </w:t>
      </w:r>
      <w:r>
        <w:rPr>
          <w:w w:val="95"/>
        </w:rPr>
        <w:t>ownership </w:t>
      </w:r>
      <w:r>
        <w:rPr>
          <w:i/>
          <w:w w:val="95"/>
        </w:rPr>
        <w:t>INSTOWN </w:t>
      </w:r>
      <w:r>
        <w:rPr>
          <w:w w:val="95"/>
        </w:rPr>
        <w:t>since prior research shows that institutional investors </w:t>
      </w:r>
      <w:r>
        <w:rPr/>
        <w:t>demand</w:t>
      </w:r>
      <w:r>
        <w:rPr>
          <w:spacing w:val="-18"/>
        </w:rPr>
        <w:t> </w:t>
      </w:r>
      <w:r>
        <w:rPr/>
        <w:t>a</w:t>
      </w:r>
      <w:r>
        <w:rPr>
          <w:spacing w:val="-18"/>
        </w:rPr>
        <w:t> </w:t>
      </w:r>
      <w:r>
        <w:rPr/>
        <w:t>higher</w:t>
      </w:r>
      <w:r>
        <w:rPr>
          <w:spacing w:val="-18"/>
        </w:rPr>
        <w:t> </w:t>
      </w:r>
      <w:r>
        <w:rPr/>
        <w:t>level</w:t>
      </w:r>
      <w:r>
        <w:rPr>
          <w:spacing w:val="-18"/>
        </w:rPr>
        <w:t> </w:t>
      </w:r>
      <w:r>
        <w:rPr/>
        <w:t>of</w:t>
      </w:r>
      <w:r>
        <w:rPr>
          <w:spacing w:val="-18"/>
        </w:rPr>
        <w:t> </w:t>
      </w:r>
      <w:r>
        <w:rPr/>
        <w:t>accounting</w:t>
      </w:r>
      <w:r>
        <w:rPr>
          <w:spacing w:val="-18"/>
        </w:rPr>
        <w:t> </w:t>
      </w:r>
      <w:r>
        <w:rPr/>
        <w:t>conservatism</w:t>
      </w:r>
      <w:r>
        <w:rPr>
          <w:spacing w:val="-18"/>
        </w:rPr>
        <w:t> </w:t>
      </w:r>
      <w:r>
        <w:rPr/>
        <w:t>to</w:t>
      </w:r>
      <w:r>
        <w:rPr>
          <w:spacing w:val="-18"/>
        </w:rPr>
        <w:t> </w:t>
      </w:r>
      <w:r>
        <w:rPr/>
        <w:t>ensure</w:t>
      </w:r>
      <w:r>
        <w:rPr>
          <w:spacing w:val="-18"/>
        </w:rPr>
        <w:t> </w:t>
      </w:r>
      <w:r>
        <w:rPr/>
        <w:t>more</w:t>
      </w:r>
      <w:r>
        <w:rPr>
          <w:spacing w:val="-18"/>
        </w:rPr>
        <w:t> </w:t>
      </w:r>
      <w:r>
        <w:rPr/>
        <w:t>efficient investment</w:t>
      </w:r>
      <w:r>
        <w:rPr>
          <w:spacing w:val="-27"/>
        </w:rPr>
        <w:t> </w:t>
      </w:r>
      <w:r>
        <w:rPr/>
        <w:t>allocation</w:t>
      </w:r>
      <w:r>
        <w:rPr>
          <w:spacing w:val="-27"/>
        </w:rPr>
        <w:t> </w:t>
      </w:r>
      <w:r>
        <w:rPr/>
        <w:t>(Ahmed</w:t>
      </w:r>
      <w:r>
        <w:rPr>
          <w:spacing w:val="-27"/>
        </w:rPr>
        <w:t> </w:t>
      </w:r>
      <w:r>
        <w:rPr/>
        <w:t>and</w:t>
      </w:r>
      <w:r>
        <w:rPr>
          <w:spacing w:val="-27"/>
        </w:rPr>
        <w:t> </w:t>
      </w:r>
      <w:r>
        <w:rPr/>
        <w:t>Duellman</w:t>
      </w:r>
      <w:r>
        <w:rPr>
          <w:spacing w:val="-27"/>
        </w:rPr>
        <w:t> </w:t>
      </w:r>
      <w:r>
        <w:rPr/>
        <w:t>[2007],</w:t>
      </w:r>
      <w:r>
        <w:rPr>
          <w:spacing w:val="-27"/>
        </w:rPr>
        <w:t> </w:t>
      </w:r>
      <w:r>
        <w:rPr/>
        <w:t>Ramalingagowda</w:t>
      </w:r>
      <w:r>
        <w:rPr>
          <w:spacing w:val="-27"/>
        </w:rPr>
        <w:t> </w:t>
      </w:r>
      <w:r>
        <w:rPr/>
        <w:t>and </w:t>
      </w:r>
      <w:r>
        <w:rPr>
          <w:spacing w:val="-4"/>
        </w:rPr>
        <w:t>Yu </w:t>
      </w:r>
      <w:r>
        <w:rPr/>
        <w:t>[2012]). Consistent with prior literature, we measure all control vari- ables</w:t>
      </w:r>
      <w:r>
        <w:rPr>
          <w:spacing w:val="-15"/>
        </w:rPr>
        <w:t> </w:t>
      </w:r>
      <w:r>
        <w:rPr/>
        <w:t>at</w:t>
      </w:r>
      <w:r>
        <w:rPr>
          <w:spacing w:val="-15"/>
        </w:rPr>
        <w:t> </w:t>
      </w:r>
      <w:r>
        <w:rPr/>
        <w:t>the</w:t>
      </w:r>
      <w:r>
        <w:rPr>
          <w:spacing w:val="-15"/>
        </w:rPr>
        <w:t> </w:t>
      </w:r>
      <w:r>
        <w:rPr/>
        <w:t>beginning</w:t>
      </w:r>
      <w:r>
        <w:rPr>
          <w:spacing w:val="-15"/>
        </w:rPr>
        <w:t> </w:t>
      </w:r>
      <w:r>
        <w:rPr/>
        <w:t>of</w:t>
      </w:r>
      <w:r>
        <w:rPr>
          <w:spacing w:val="-15"/>
        </w:rPr>
        <w:t> </w:t>
      </w:r>
      <w:r>
        <w:rPr/>
        <w:t>the</w:t>
      </w:r>
      <w:r>
        <w:rPr>
          <w:spacing w:val="-15"/>
        </w:rPr>
        <w:t> </w:t>
      </w:r>
      <w:r>
        <w:rPr/>
        <w:t>year</w:t>
      </w:r>
      <w:r>
        <w:rPr>
          <w:spacing w:val="-15"/>
        </w:rPr>
        <w:t> </w:t>
      </w:r>
      <w:r>
        <w:rPr/>
        <w:t>with</w:t>
      </w:r>
      <w:r>
        <w:rPr>
          <w:spacing w:val="-15"/>
        </w:rPr>
        <w:t> </w:t>
      </w:r>
      <w:r>
        <w:rPr/>
        <w:t>all</w:t>
      </w:r>
      <w:r>
        <w:rPr>
          <w:spacing w:val="-15"/>
        </w:rPr>
        <w:t> </w:t>
      </w:r>
      <w:r>
        <w:rPr/>
        <w:t>continuous</w:t>
      </w:r>
      <w:r>
        <w:rPr>
          <w:spacing w:val="-15"/>
        </w:rPr>
        <w:t> </w:t>
      </w:r>
      <w:r>
        <w:rPr/>
        <w:t>variables</w:t>
      </w:r>
      <w:r>
        <w:rPr>
          <w:spacing w:val="-15"/>
        </w:rPr>
        <w:t> </w:t>
      </w:r>
      <w:r>
        <w:rPr/>
        <w:t>winsorized at</w:t>
      </w:r>
      <w:r>
        <w:rPr>
          <w:spacing w:val="-13"/>
        </w:rPr>
        <w:t> </w:t>
      </w:r>
      <w:r>
        <w:rPr/>
        <w:t>1%</w:t>
      </w:r>
      <w:r>
        <w:rPr>
          <w:spacing w:val="-13"/>
        </w:rPr>
        <w:t> </w:t>
      </w:r>
      <w:r>
        <w:rPr/>
        <w:t>and</w:t>
      </w:r>
      <w:r>
        <w:rPr>
          <w:spacing w:val="-13"/>
        </w:rPr>
        <w:t> </w:t>
      </w:r>
      <w:r>
        <w:rPr/>
        <w:t>99%.</w:t>
      </w:r>
      <w:r>
        <w:rPr>
          <w:spacing w:val="-13"/>
        </w:rPr>
        <w:t> </w:t>
      </w:r>
      <w:r>
        <w:rPr>
          <w:spacing w:val="-6"/>
        </w:rPr>
        <w:t>We</w:t>
      </w:r>
      <w:r>
        <w:rPr>
          <w:spacing w:val="-13"/>
        </w:rPr>
        <w:t> </w:t>
      </w:r>
      <w:r>
        <w:rPr/>
        <w:t>cluster</w:t>
      </w:r>
      <w:r>
        <w:rPr>
          <w:spacing w:val="-13"/>
        </w:rPr>
        <w:t> </w:t>
      </w:r>
      <w:r>
        <w:rPr/>
        <w:t>standard</w:t>
      </w:r>
      <w:r>
        <w:rPr>
          <w:spacing w:val="-13"/>
        </w:rPr>
        <w:t> </w:t>
      </w:r>
      <w:r>
        <w:rPr/>
        <w:t>errors</w:t>
      </w:r>
      <w:r>
        <w:rPr>
          <w:spacing w:val="-13"/>
        </w:rPr>
        <w:t> </w:t>
      </w:r>
      <w:r>
        <w:rPr/>
        <w:t>in</w:t>
      </w:r>
      <w:r>
        <w:rPr>
          <w:spacing w:val="-13"/>
        </w:rPr>
        <w:t> </w:t>
      </w:r>
      <w:r>
        <w:rPr/>
        <w:t>all</w:t>
      </w:r>
      <w:r>
        <w:rPr>
          <w:spacing w:val="-13"/>
        </w:rPr>
        <w:t> </w:t>
      </w:r>
      <w:r>
        <w:rPr/>
        <w:t>models</w:t>
      </w:r>
      <w:r>
        <w:rPr>
          <w:spacing w:val="-13"/>
        </w:rPr>
        <w:t> </w:t>
      </w:r>
      <w:r>
        <w:rPr/>
        <w:t>by</w:t>
      </w:r>
      <w:r>
        <w:rPr>
          <w:spacing w:val="-13"/>
        </w:rPr>
        <w:t> </w:t>
      </w:r>
      <w:r>
        <w:rPr/>
        <w:t>firm</w:t>
      </w:r>
      <w:r>
        <w:rPr>
          <w:spacing w:val="-13"/>
        </w:rPr>
        <w:t> </w:t>
      </w:r>
      <w:r>
        <w:rPr/>
        <w:t>and</w:t>
      </w:r>
      <w:r>
        <w:rPr>
          <w:spacing w:val="-13"/>
        </w:rPr>
        <w:t> </w:t>
      </w:r>
      <w:r>
        <w:rPr>
          <w:spacing w:val="-3"/>
        </w:rPr>
        <w:t>year.</w:t>
      </w:r>
      <w:r>
        <w:rPr>
          <w:color w:val="231F20"/>
          <w:spacing w:val="-3"/>
          <w:position w:val="7"/>
          <w:sz w:val="14"/>
        </w:rPr>
        <w:t>21 </w:t>
      </w:r>
      <w:r>
        <w:rPr/>
        <w:t>The primary focus of our analysis is </w:t>
      </w:r>
      <w:r>
        <w:rPr>
          <w:rFonts w:ascii="Verdana" w:hAnsi="Verdana"/>
          <w:i/>
          <w:spacing w:val="5"/>
        </w:rPr>
        <w:t>β</w:t>
      </w:r>
      <w:r>
        <w:rPr>
          <w:color w:val="231F20"/>
          <w:spacing w:val="5"/>
          <w:vertAlign w:val="subscript"/>
        </w:rPr>
        <w:t>7</w:t>
      </w:r>
      <w:r>
        <w:rPr>
          <w:spacing w:val="5"/>
          <w:vertAlign w:val="baseline"/>
        </w:rPr>
        <w:t>, </w:t>
      </w:r>
      <w:r>
        <w:rPr>
          <w:vertAlign w:val="baseline"/>
        </w:rPr>
        <w:t>which is predicted to be positive, that</w:t>
      </w:r>
      <w:r>
        <w:rPr>
          <w:spacing w:val="-9"/>
          <w:vertAlign w:val="baseline"/>
        </w:rPr>
        <w:t> </w:t>
      </w:r>
      <w:r>
        <w:rPr>
          <w:vertAlign w:val="baseline"/>
        </w:rPr>
        <w:t>is,</w:t>
      </w:r>
      <w:r>
        <w:rPr>
          <w:spacing w:val="-9"/>
          <w:vertAlign w:val="baseline"/>
        </w:rPr>
        <w:t> </w:t>
      </w:r>
      <w:r>
        <w:rPr>
          <w:vertAlign w:val="baseline"/>
        </w:rPr>
        <w:t>we</w:t>
      </w:r>
      <w:r>
        <w:rPr>
          <w:spacing w:val="-9"/>
          <w:vertAlign w:val="baseline"/>
        </w:rPr>
        <w:t> </w:t>
      </w:r>
      <w:r>
        <w:rPr>
          <w:vertAlign w:val="baseline"/>
        </w:rPr>
        <w:t>expect</w:t>
      </w:r>
      <w:r>
        <w:rPr>
          <w:spacing w:val="-9"/>
          <w:vertAlign w:val="baseline"/>
        </w:rPr>
        <w:t> </w:t>
      </w:r>
      <w:r>
        <w:rPr>
          <w:vertAlign w:val="baseline"/>
        </w:rPr>
        <w:t>near</w:t>
      </w:r>
      <w:r>
        <w:rPr>
          <w:spacing w:val="-9"/>
          <w:vertAlign w:val="baseline"/>
        </w:rPr>
        <w:t> </w:t>
      </w:r>
      <w:r>
        <w:rPr>
          <w:vertAlign w:val="baseline"/>
        </w:rPr>
        <w:t>insolvent</w:t>
      </w:r>
      <w:r>
        <w:rPr>
          <w:spacing w:val="-9"/>
          <w:vertAlign w:val="baseline"/>
        </w:rPr>
        <w:t> </w:t>
      </w:r>
      <w:r>
        <w:rPr>
          <w:vertAlign w:val="baseline"/>
        </w:rPr>
        <w:t>Delaware</w:t>
      </w:r>
      <w:r>
        <w:rPr>
          <w:spacing w:val="-9"/>
          <w:vertAlign w:val="baseline"/>
        </w:rPr>
        <w:t> </w:t>
      </w:r>
      <w:r>
        <w:rPr>
          <w:vertAlign w:val="baseline"/>
        </w:rPr>
        <w:t>firms</w:t>
      </w:r>
      <w:r>
        <w:rPr>
          <w:spacing w:val="-9"/>
          <w:vertAlign w:val="baseline"/>
        </w:rPr>
        <w:t> </w:t>
      </w:r>
      <w:r>
        <w:rPr>
          <w:vertAlign w:val="baseline"/>
        </w:rPr>
        <w:t>to</w:t>
      </w:r>
      <w:r>
        <w:rPr>
          <w:spacing w:val="-9"/>
          <w:vertAlign w:val="baseline"/>
        </w:rPr>
        <w:t> </w:t>
      </w:r>
      <w:r>
        <w:rPr>
          <w:vertAlign w:val="baseline"/>
        </w:rPr>
        <w:t>experience</w:t>
      </w:r>
      <w:r>
        <w:rPr>
          <w:spacing w:val="-9"/>
          <w:vertAlign w:val="baseline"/>
        </w:rPr>
        <w:t> </w:t>
      </w:r>
      <w:r>
        <w:rPr>
          <w:vertAlign w:val="baseline"/>
        </w:rPr>
        <w:t>an</w:t>
      </w:r>
      <w:r>
        <w:rPr>
          <w:spacing w:val="-9"/>
          <w:vertAlign w:val="baseline"/>
        </w:rPr>
        <w:t> </w:t>
      </w:r>
      <w:r>
        <w:rPr>
          <w:vertAlign w:val="baseline"/>
        </w:rPr>
        <w:t>increase in conservatism in the post-ruling</w:t>
      </w:r>
      <w:r>
        <w:rPr>
          <w:spacing w:val="-3"/>
          <w:vertAlign w:val="baseline"/>
        </w:rPr>
        <w:t> </w:t>
      </w:r>
      <w:r>
        <w:rPr>
          <w:vertAlign w:val="baseline"/>
        </w:rPr>
        <w:t>period.</w:t>
      </w:r>
    </w:p>
    <w:p>
      <w:pPr>
        <w:pStyle w:val="ListParagraph"/>
        <w:numPr>
          <w:ilvl w:val="1"/>
          <w:numId w:val="1"/>
        </w:numPr>
        <w:tabs>
          <w:tab w:pos="910" w:val="left" w:leader="none"/>
        </w:tabs>
        <w:spacing w:line="264" w:lineRule="auto" w:before="139" w:after="0"/>
        <w:ind w:left="532" w:right="289" w:firstLine="0"/>
        <w:jc w:val="left"/>
        <w:rPr>
          <w:sz w:val="16"/>
        </w:rPr>
      </w:pPr>
      <w:r>
        <w:rPr>
          <w:w w:val="105"/>
          <w:sz w:val="16"/>
        </w:rPr>
        <w:t>ROLE OF BOARD CHARACTERISTICS IN THE EFFECT OF COURT RULING ON ACCOUNTING</w:t>
      </w:r>
      <w:r>
        <w:rPr>
          <w:spacing w:val="20"/>
          <w:w w:val="105"/>
          <w:sz w:val="16"/>
        </w:rPr>
        <w:t> </w:t>
      </w:r>
      <w:r>
        <w:rPr>
          <w:w w:val="105"/>
          <w:sz w:val="16"/>
        </w:rPr>
        <w:t>CONSERVATISM</w:t>
      </w:r>
    </w:p>
    <w:p>
      <w:pPr>
        <w:pStyle w:val="BodyText"/>
        <w:spacing w:line="230" w:lineRule="auto" w:before="70"/>
        <w:ind w:left="532" w:right="149" w:firstLine="199"/>
        <w:jc w:val="both"/>
      </w:pPr>
      <w:r>
        <w:rPr/>
        <w:pict>
          <v:line style="position:absolute;mso-position-horizontal-relative:page;mso-position-vertical-relative:paragraph;z-index:-69976" from="277.875pt,60.334328pt" to="280.872pt,60.334328pt" stroked="true" strokeweight=".405pt" strokecolor="#000000">
            <v:stroke dashstyle="solid"/>
            <w10:wrap type="none"/>
          </v:line>
        </w:pict>
      </w:r>
      <w:r>
        <w:rPr/>
        <w:pict>
          <v:line style="position:absolute;mso-position-horizontal-relative:page;mso-position-vertical-relative:paragraph;z-index:-69952" from="102.185997pt,72.295326pt" to="105.182997pt,72.295326pt" stroked="true" strokeweight=".405pt" strokecolor="#000000">
            <v:stroke dashstyle="solid"/>
            <w10:wrap type="none"/>
          </v:line>
        </w:pict>
      </w:r>
      <w:r>
        <w:rPr/>
        <w:pict>
          <v:line style="position:absolute;mso-position-horizontal-relative:page;mso-position-vertical-relative:paragraph;z-index:-69928" from="282.140991pt,72.295326pt" to="285.137991pt,72.295326pt" stroked="true" strokeweight=".405pt" strokecolor="#000000">
            <v:stroke dashstyle="solid"/>
            <w10:wrap type="none"/>
          </v:line>
        </w:pict>
      </w:r>
      <w:r>
        <w:rPr/>
        <w:pict>
          <v:line style="position:absolute;mso-position-horizontal-relative:page;mso-position-vertical-relative:paragraph;z-index:-69904" from="144.386993pt,84.24733pt" to="147.383993pt,84.24733pt" stroked="true" strokeweight=".405pt" strokecolor="#000000">
            <v:stroke dashstyle="solid"/>
            <w10:wrap type="none"/>
          </v:line>
        </w:pict>
      </w:r>
      <w:r>
        <w:rPr/>
        <w:pict>
          <v:line style="position:absolute;mso-position-horizontal-relative:page;mso-position-vertical-relative:paragraph;z-index:-69880" from="198.746994pt,84.24733pt" to="201.743994pt,84.24733pt" stroked="true" strokeweight=".405pt" strokecolor="#000000">
            <v:stroke dashstyle="solid"/>
            <w10:wrap type="none"/>
          </v:line>
        </w:pict>
      </w:r>
      <w:r>
        <w:rPr/>
        <w:pict>
          <v:line style="position:absolute;mso-position-horizontal-relative:page;mso-position-vertical-relative:paragraph;z-index:-69856" from="313.065002pt,120.112328pt" to="316.062002pt,120.112328pt" stroked="true" strokeweight=".405pt" strokecolor="#000000">
            <v:stroke dashstyle="solid"/>
            <w10:wrap type="none"/>
          </v:line>
        </w:pict>
      </w:r>
      <w:r>
        <w:rPr/>
        <w:pict>
          <v:line style="position:absolute;mso-position-horizontal-relative:page;mso-position-vertical-relative:paragraph;z-index:-69832" from="244.610992pt,144.02533pt" to="247.607992pt,144.02533pt" stroked="true" strokeweight=".405pt" strokecolor="#000000">
            <v:stroke dashstyle="solid"/>
            <w10:wrap type="none"/>
          </v:line>
        </w:pict>
      </w:r>
      <w:r>
        <w:rPr/>
        <w:pict>
          <v:line style="position:absolute;mso-position-horizontal-relative:page;mso-position-vertical-relative:paragraph;z-index:-69808" from="341.279999pt,167.938324pt" to="344.276999pt,167.938324pt" stroked="true" strokeweight=".405pt" strokecolor="#000000">
            <v:stroke dashstyle="solid"/>
            <w10:wrap type="none"/>
          </v:line>
        </w:pict>
      </w:r>
      <w:r>
        <w:rPr>
          <w:spacing w:val="-9"/>
        </w:rPr>
        <w:t>To </w:t>
      </w:r>
      <w:r>
        <w:rPr/>
        <w:t>corroborate</w:t>
      </w:r>
      <w:r>
        <w:rPr>
          <w:spacing w:val="-9"/>
        </w:rPr>
        <w:t> </w:t>
      </w:r>
      <w:r>
        <w:rPr/>
        <w:t>our</w:t>
      </w:r>
      <w:r>
        <w:rPr>
          <w:spacing w:val="-9"/>
        </w:rPr>
        <w:t> </w:t>
      </w:r>
      <w:r>
        <w:rPr/>
        <w:t>findings</w:t>
      </w:r>
      <w:r>
        <w:rPr>
          <w:spacing w:val="-9"/>
        </w:rPr>
        <w:t> </w:t>
      </w:r>
      <w:r>
        <w:rPr/>
        <w:t>in</w:t>
      </w:r>
      <w:r>
        <w:rPr>
          <w:spacing w:val="-9"/>
        </w:rPr>
        <w:t> </w:t>
      </w:r>
      <w:r>
        <w:rPr/>
        <w:t>section</w:t>
      </w:r>
      <w:r>
        <w:rPr>
          <w:spacing w:val="-9"/>
        </w:rPr>
        <w:t> </w:t>
      </w:r>
      <w:r>
        <w:rPr/>
        <w:t>3.1,</w:t>
      </w:r>
      <w:r>
        <w:rPr>
          <w:spacing w:val="-9"/>
        </w:rPr>
        <w:t> </w:t>
      </w:r>
      <w:r>
        <w:rPr/>
        <w:t>we</w:t>
      </w:r>
      <w:r>
        <w:rPr>
          <w:spacing w:val="-9"/>
        </w:rPr>
        <w:t> </w:t>
      </w:r>
      <w:r>
        <w:rPr/>
        <w:t>explore</w:t>
      </w:r>
      <w:r>
        <w:rPr>
          <w:spacing w:val="-9"/>
        </w:rPr>
        <w:t> </w:t>
      </w:r>
      <w:r>
        <w:rPr/>
        <w:t>board</w:t>
      </w:r>
      <w:r>
        <w:rPr>
          <w:spacing w:val="-9"/>
        </w:rPr>
        <w:t> </w:t>
      </w:r>
      <w:r>
        <w:rPr/>
        <w:t>characteris- tics</w:t>
      </w:r>
      <w:r>
        <w:rPr>
          <w:spacing w:val="-21"/>
        </w:rPr>
        <w:t> </w:t>
      </w:r>
      <w:r>
        <w:rPr/>
        <w:t>identified</w:t>
      </w:r>
      <w:r>
        <w:rPr>
          <w:spacing w:val="-21"/>
        </w:rPr>
        <w:t> </w:t>
      </w:r>
      <w:r>
        <w:rPr/>
        <w:t>in</w:t>
      </w:r>
      <w:r>
        <w:rPr>
          <w:spacing w:val="-21"/>
        </w:rPr>
        <w:t> </w:t>
      </w:r>
      <w:r>
        <w:rPr/>
        <w:t>prior</w:t>
      </w:r>
      <w:r>
        <w:rPr>
          <w:spacing w:val="-21"/>
        </w:rPr>
        <w:t> </w:t>
      </w:r>
      <w:r>
        <w:rPr/>
        <w:t>literature</w:t>
      </w:r>
      <w:r>
        <w:rPr>
          <w:spacing w:val="-21"/>
        </w:rPr>
        <w:t> </w:t>
      </w:r>
      <w:r>
        <w:rPr/>
        <w:t>to</w:t>
      </w:r>
      <w:r>
        <w:rPr>
          <w:spacing w:val="-21"/>
        </w:rPr>
        <w:t> </w:t>
      </w:r>
      <w:r>
        <w:rPr/>
        <w:t>examine</w:t>
      </w:r>
      <w:r>
        <w:rPr>
          <w:spacing w:val="-21"/>
        </w:rPr>
        <w:t> </w:t>
      </w:r>
      <w:r>
        <w:rPr/>
        <w:t>the</w:t>
      </w:r>
      <w:r>
        <w:rPr>
          <w:spacing w:val="-21"/>
        </w:rPr>
        <w:t> </w:t>
      </w:r>
      <w:r>
        <w:rPr/>
        <w:t>role</w:t>
      </w:r>
      <w:r>
        <w:rPr>
          <w:spacing w:val="-21"/>
        </w:rPr>
        <w:t> </w:t>
      </w:r>
      <w:r>
        <w:rPr/>
        <w:t>of</w:t>
      </w:r>
      <w:r>
        <w:rPr>
          <w:spacing w:val="-21"/>
        </w:rPr>
        <w:t> </w:t>
      </w:r>
      <w:r>
        <w:rPr/>
        <w:t>board</w:t>
      </w:r>
      <w:r>
        <w:rPr>
          <w:spacing w:val="-21"/>
        </w:rPr>
        <w:t> </w:t>
      </w:r>
      <w:r>
        <w:rPr/>
        <w:t>characteristics in the adoption of accounting conservatism. </w:t>
      </w:r>
      <w:r>
        <w:rPr>
          <w:spacing w:val="-6"/>
        </w:rPr>
        <w:t>We </w:t>
      </w:r>
      <w:r>
        <w:rPr/>
        <w:t>create a composite mea- sure</w:t>
      </w:r>
      <w:r>
        <w:rPr>
          <w:spacing w:val="-11"/>
        </w:rPr>
        <w:t> </w:t>
      </w:r>
      <w:r>
        <w:rPr/>
        <w:t>of</w:t>
      </w:r>
      <w:r>
        <w:rPr>
          <w:spacing w:val="-10"/>
        </w:rPr>
        <w:t> </w:t>
      </w:r>
      <w:r>
        <w:rPr/>
        <w:t>board</w:t>
      </w:r>
      <w:r>
        <w:rPr>
          <w:spacing w:val="-11"/>
        </w:rPr>
        <w:t> </w:t>
      </w:r>
      <w:r>
        <w:rPr/>
        <w:t>governance,</w:t>
      </w:r>
      <w:r>
        <w:rPr>
          <w:spacing w:val="-10"/>
        </w:rPr>
        <w:t> </w:t>
      </w:r>
      <w:r>
        <w:rPr>
          <w:i/>
        </w:rPr>
        <w:t>BSCORE,</w:t>
      </w:r>
      <w:r>
        <w:rPr>
          <w:i/>
          <w:spacing w:val="-10"/>
        </w:rPr>
        <w:t> </w:t>
      </w:r>
      <w:r>
        <w:rPr/>
        <w:t>that</w:t>
      </w:r>
      <w:r>
        <w:rPr>
          <w:spacing w:val="-10"/>
        </w:rPr>
        <w:t> </w:t>
      </w:r>
      <w:r>
        <w:rPr/>
        <w:t>is</w:t>
      </w:r>
      <w:r>
        <w:rPr>
          <w:spacing w:val="-11"/>
        </w:rPr>
        <w:t> </w:t>
      </w:r>
      <w:r>
        <w:rPr/>
        <w:t>equal</w:t>
      </w:r>
      <w:r>
        <w:rPr>
          <w:spacing w:val="-10"/>
        </w:rPr>
        <w:t> </w:t>
      </w:r>
      <w:r>
        <w:rPr/>
        <w:t>to</w:t>
      </w:r>
      <w:r>
        <w:rPr>
          <w:spacing w:val="-10"/>
        </w:rPr>
        <w:t> </w:t>
      </w:r>
      <w:r>
        <w:rPr/>
        <w:t>the</w:t>
      </w:r>
      <w:r>
        <w:rPr>
          <w:spacing w:val="-10"/>
        </w:rPr>
        <w:t> </w:t>
      </w:r>
      <w:r>
        <w:rPr/>
        <w:t>sum</w:t>
      </w:r>
      <w:r>
        <w:rPr>
          <w:spacing w:val="-11"/>
        </w:rPr>
        <w:t> </w:t>
      </w:r>
      <w:r>
        <w:rPr/>
        <w:t>of</w:t>
      </w:r>
      <w:r>
        <w:rPr>
          <w:spacing w:val="-11"/>
        </w:rPr>
        <w:t> </w:t>
      </w:r>
      <w:r>
        <w:rPr/>
        <w:t>the</w:t>
      </w:r>
      <w:r>
        <w:rPr>
          <w:spacing w:val="-10"/>
        </w:rPr>
        <w:t> </w:t>
      </w:r>
      <w:r>
        <w:rPr/>
        <w:t>four</w:t>
      </w:r>
      <w:r>
        <w:rPr>
          <w:spacing w:val="-10"/>
        </w:rPr>
        <w:t> </w:t>
      </w:r>
      <w:r>
        <w:rPr/>
        <w:t>di- chotomous</w:t>
      </w:r>
      <w:r>
        <w:rPr>
          <w:spacing w:val="-23"/>
        </w:rPr>
        <w:t> </w:t>
      </w:r>
      <w:r>
        <w:rPr/>
        <w:t>variables,</w:t>
      </w:r>
      <w:r>
        <w:rPr>
          <w:spacing w:val="-23"/>
        </w:rPr>
        <w:t> </w:t>
      </w:r>
      <w:r>
        <w:rPr/>
        <w:t>namely:</w:t>
      </w:r>
      <w:r>
        <w:rPr>
          <w:spacing w:val="-23"/>
        </w:rPr>
        <w:t> </w:t>
      </w:r>
      <w:r>
        <w:rPr/>
        <w:t>board</w:t>
      </w:r>
      <w:r>
        <w:rPr>
          <w:spacing w:val="-23"/>
        </w:rPr>
        <w:t> </w:t>
      </w:r>
      <w:r>
        <w:rPr/>
        <w:t>size</w:t>
      </w:r>
      <w:r>
        <w:rPr>
          <w:spacing w:val="-23"/>
        </w:rPr>
        <w:t> </w:t>
      </w:r>
      <w:r>
        <w:rPr/>
        <w:t>(</w:t>
      </w:r>
      <w:r>
        <w:rPr>
          <w:i/>
        </w:rPr>
        <w:t>D</w:t>
      </w:r>
      <w:r>
        <w:rPr>
          <w:i/>
          <w:spacing w:val="-10"/>
        </w:rPr>
        <w:t> </w:t>
      </w:r>
      <w:r>
        <w:rPr>
          <w:i/>
        </w:rPr>
        <w:t>SMBRD</w:t>
      </w:r>
      <w:r>
        <w:rPr/>
        <w:t>),</w:t>
      </w:r>
      <w:r>
        <w:rPr>
          <w:spacing w:val="-23"/>
        </w:rPr>
        <w:t> </w:t>
      </w:r>
      <w:r>
        <w:rPr/>
        <w:t>board</w:t>
      </w:r>
      <w:r>
        <w:rPr>
          <w:spacing w:val="-23"/>
        </w:rPr>
        <w:t> </w:t>
      </w:r>
      <w:r>
        <w:rPr/>
        <w:t>independence (</w:t>
      </w:r>
      <w:r>
        <w:rPr>
          <w:i/>
        </w:rPr>
        <w:t>D</w:t>
      </w:r>
      <w:r>
        <w:rPr>
          <w:i/>
          <w:spacing w:val="-9"/>
        </w:rPr>
        <w:t> </w:t>
      </w:r>
      <w:r>
        <w:rPr>
          <w:i/>
        </w:rPr>
        <w:t>MAJIND</w:t>
      </w:r>
      <w:r>
        <w:rPr/>
        <w:t>),</w:t>
      </w:r>
      <w:r>
        <w:rPr>
          <w:spacing w:val="-22"/>
        </w:rPr>
        <w:t> </w:t>
      </w:r>
      <w:r>
        <w:rPr/>
        <w:t>board</w:t>
      </w:r>
      <w:r>
        <w:rPr>
          <w:spacing w:val="-22"/>
        </w:rPr>
        <w:t> </w:t>
      </w:r>
      <w:r>
        <w:rPr/>
        <w:t>accounting</w:t>
      </w:r>
      <w:r>
        <w:rPr>
          <w:spacing w:val="-22"/>
        </w:rPr>
        <w:t> </w:t>
      </w:r>
      <w:r>
        <w:rPr/>
        <w:t>expertise</w:t>
      </w:r>
      <w:r>
        <w:rPr>
          <w:spacing w:val="-22"/>
        </w:rPr>
        <w:t> </w:t>
      </w:r>
      <w:r>
        <w:rPr/>
        <w:t>(</w:t>
      </w:r>
      <w:r>
        <w:rPr>
          <w:i/>
        </w:rPr>
        <w:t>D</w:t>
      </w:r>
      <w:r>
        <w:rPr>
          <w:i/>
          <w:spacing w:val="-9"/>
        </w:rPr>
        <w:t> </w:t>
      </w:r>
      <w:r>
        <w:rPr>
          <w:i/>
        </w:rPr>
        <w:t>ACCEXP</w:t>
      </w:r>
      <w:r>
        <w:rPr/>
        <w:t>),</w:t>
      </w:r>
      <w:r>
        <w:rPr>
          <w:spacing w:val="-22"/>
        </w:rPr>
        <w:t> </w:t>
      </w:r>
      <w:r>
        <w:rPr/>
        <w:t>and</w:t>
      </w:r>
      <w:r>
        <w:rPr>
          <w:spacing w:val="-22"/>
        </w:rPr>
        <w:t> </w:t>
      </w:r>
      <w:r>
        <w:rPr/>
        <w:t>board</w:t>
      </w:r>
      <w:r>
        <w:rPr>
          <w:spacing w:val="-22"/>
        </w:rPr>
        <w:t> </w:t>
      </w:r>
      <w:r>
        <w:rPr/>
        <w:t>industry expertise</w:t>
      </w:r>
      <w:r>
        <w:rPr>
          <w:spacing w:val="-15"/>
        </w:rPr>
        <w:t> </w:t>
      </w:r>
      <w:r>
        <w:rPr/>
        <w:t>(</w:t>
      </w:r>
      <w:r>
        <w:rPr>
          <w:i/>
        </w:rPr>
        <w:t>D</w:t>
      </w:r>
      <w:r>
        <w:rPr>
          <w:i/>
          <w:spacing w:val="-4"/>
        </w:rPr>
        <w:t> </w:t>
      </w:r>
      <w:r>
        <w:rPr>
          <w:i/>
        </w:rPr>
        <w:t>INDEXP</w:t>
      </w:r>
      <w:r>
        <w:rPr/>
        <w:t>).</w:t>
      </w:r>
      <w:r>
        <w:rPr>
          <w:spacing w:val="-15"/>
        </w:rPr>
        <w:t> </w:t>
      </w:r>
      <w:r>
        <w:rPr>
          <w:i/>
        </w:rPr>
        <w:t>D</w:t>
      </w:r>
      <w:r>
        <w:rPr>
          <w:i/>
          <w:spacing w:val="-4"/>
        </w:rPr>
        <w:t> </w:t>
      </w:r>
      <w:r>
        <w:rPr>
          <w:i/>
        </w:rPr>
        <w:t>SMBRD</w:t>
      </w:r>
      <w:r>
        <w:rPr>
          <w:i/>
          <w:spacing w:val="-15"/>
        </w:rPr>
        <w:t> </w:t>
      </w:r>
      <w:r>
        <w:rPr/>
        <w:t>is</w:t>
      </w:r>
      <w:r>
        <w:rPr>
          <w:spacing w:val="-15"/>
        </w:rPr>
        <w:t> </w:t>
      </w:r>
      <w:r>
        <w:rPr/>
        <w:t>a</w:t>
      </w:r>
      <w:r>
        <w:rPr>
          <w:spacing w:val="-15"/>
        </w:rPr>
        <w:t> </w:t>
      </w:r>
      <w:r>
        <w:rPr/>
        <w:t>dichotomous</w:t>
      </w:r>
      <w:r>
        <w:rPr>
          <w:spacing w:val="-15"/>
        </w:rPr>
        <w:t> </w:t>
      </w:r>
      <w:r>
        <w:rPr/>
        <w:t>variable</w:t>
      </w:r>
      <w:r>
        <w:rPr>
          <w:spacing w:val="-15"/>
        </w:rPr>
        <w:t> </w:t>
      </w:r>
      <w:r>
        <w:rPr/>
        <w:t>equal</w:t>
      </w:r>
      <w:r>
        <w:rPr>
          <w:spacing w:val="-15"/>
        </w:rPr>
        <w:t> </w:t>
      </w:r>
      <w:r>
        <w:rPr/>
        <w:t>to</w:t>
      </w:r>
      <w:r>
        <w:rPr>
          <w:spacing w:val="-15"/>
        </w:rPr>
        <w:t> </w:t>
      </w:r>
      <w:r>
        <w:rPr/>
        <w:t>one</w:t>
      </w:r>
      <w:r>
        <w:rPr>
          <w:spacing w:val="-15"/>
        </w:rPr>
        <w:t> </w:t>
      </w:r>
      <w:r>
        <w:rPr/>
        <w:t>if the</w:t>
      </w:r>
      <w:r>
        <w:rPr>
          <w:spacing w:val="-13"/>
        </w:rPr>
        <w:t> </w:t>
      </w:r>
      <w:r>
        <w:rPr/>
        <w:t>total</w:t>
      </w:r>
      <w:r>
        <w:rPr>
          <w:spacing w:val="-13"/>
        </w:rPr>
        <w:t> </w:t>
      </w:r>
      <w:r>
        <w:rPr/>
        <w:t>count</w:t>
      </w:r>
      <w:r>
        <w:rPr>
          <w:spacing w:val="-13"/>
        </w:rPr>
        <w:t> </w:t>
      </w:r>
      <w:r>
        <w:rPr/>
        <w:t>of</w:t>
      </w:r>
      <w:r>
        <w:rPr>
          <w:spacing w:val="-13"/>
        </w:rPr>
        <w:t> </w:t>
      </w:r>
      <w:r>
        <w:rPr/>
        <w:t>directors</w:t>
      </w:r>
      <w:r>
        <w:rPr>
          <w:spacing w:val="-13"/>
        </w:rPr>
        <w:t> </w:t>
      </w:r>
      <w:r>
        <w:rPr/>
        <w:t>on</w:t>
      </w:r>
      <w:r>
        <w:rPr>
          <w:spacing w:val="-13"/>
        </w:rPr>
        <w:t> </w:t>
      </w:r>
      <w:r>
        <w:rPr/>
        <w:t>the</w:t>
      </w:r>
      <w:r>
        <w:rPr>
          <w:spacing w:val="-13"/>
        </w:rPr>
        <w:t> </w:t>
      </w:r>
      <w:r>
        <w:rPr/>
        <w:t>board</w:t>
      </w:r>
      <w:r>
        <w:rPr>
          <w:spacing w:val="-13"/>
        </w:rPr>
        <w:t> </w:t>
      </w:r>
      <w:r>
        <w:rPr/>
        <w:t>is</w:t>
      </w:r>
      <w:r>
        <w:rPr>
          <w:spacing w:val="-13"/>
        </w:rPr>
        <w:t> </w:t>
      </w:r>
      <w:r>
        <w:rPr/>
        <w:t>smaller</w:t>
      </w:r>
      <w:r>
        <w:rPr>
          <w:spacing w:val="-13"/>
        </w:rPr>
        <w:t> </w:t>
      </w:r>
      <w:r>
        <w:rPr/>
        <w:t>than</w:t>
      </w:r>
      <w:r>
        <w:rPr>
          <w:spacing w:val="-13"/>
        </w:rPr>
        <w:t> </w:t>
      </w:r>
      <w:r>
        <w:rPr/>
        <w:t>the</w:t>
      </w:r>
      <w:r>
        <w:rPr>
          <w:spacing w:val="-13"/>
        </w:rPr>
        <w:t> </w:t>
      </w:r>
      <w:r>
        <w:rPr/>
        <w:t>sample</w:t>
      </w:r>
      <w:r>
        <w:rPr>
          <w:spacing w:val="-13"/>
        </w:rPr>
        <w:t> </w:t>
      </w:r>
      <w:r>
        <w:rPr/>
        <w:t>median of</w:t>
      </w:r>
      <w:r>
        <w:rPr>
          <w:spacing w:val="-15"/>
        </w:rPr>
        <w:t> </w:t>
      </w:r>
      <w:r>
        <w:rPr/>
        <w:t>eight</w:t>
      </w:r>
      <w:r>
        <w:rPr>
          <w:spacing w:val="-15"/>
        </w:rPr>
        <w:t> </w:t>
      </w:r>
      <w:r>
        <w:rPr/>
        <w:t>members</w:t>
      </w:r>
      <w:r>
        <w:rPr>
          <w:spacing w:val="-15"/>
        </w:rPr>
        <w:t> </w:t>
      </w:r>
      <w:r>
        <w:rPr/>
        <w:t>and</w:t>
      </w:r>
      <w:r>
        <w:rPr>
          <w:spacing w:val="-15"/>
        </w:rPr>
        <w:t> </w:t>
      </w:r>
      <w:r>
        <w:rPr/>
        <w:t>zero</w:t>
      </w:r>
      <w:r>
        <w:rPr>
          <w:spacing w:val="-15"/>
        </w:rPr>
        <w:t> </w:t>
      </w:r>
      <w:r>
        <w:rPr/>
        <w:t>otherwise.</w:t>
      </w:r>
      <w:r>
        <w:rPr>
          <w:spacing w:val="-15"/>
        </w:rPr>
        <w:t> </w:t>
      </w:r>
      <w:r>
        <w:rPr/>
        <w:t>Similar</w:t>
      </w:r>
      <w:r>
        <w:rPr>
          <w:spacing w:val="-15"/>
        </w:rPr>
        <w:t> </w:t>
      </w:r>
      <w:r>
        <w:rPr/>
        <w:t>to</w:t>
      </w:r>
      <w:r>
        <w:rPr>
          <w:spacing w:val="-15"/>
        </w:rPr>
        <w:t> </w:t>
      </w:r>
      <w:r>
        <w:rPr/>
        <w:t>Ajinkya,</w:t>
      </w:r>
      <w:r>
        <w:rPr>
          <w:spacing w:val="-15"/>
        </w:rPr>
        <w:t> </w:t>
      </w:r>
      <w:r>
        <w:rPr/>
        <w:t>Bhojraj,</w:t>
      </w:r>
      <w:r>
        <w:rPr>
          <w:spacing w:val="-15"/>
        </w:rPr>
        <w:t> </w:t>
      </w:r>
      <w:r>
        <w:rPr/>
        <w:t>and</w:t>
      </w:r>
      <w:r>
        <w:rPr>
          <w:spacing w:val="-15"/>
        </w:rPr>
        <w:t> </w:t>
      </w:r>
      <w:r>
        <w:rPr/>
        <w:t>Sen- gupta [2005], we measure board independence (</w:t>
      </w:r>
      <w:r>
        <w:rPr>
          <w:i/>
        </w:rPr>
        <w:t>D MAJIND</w:t>
      </w:r>
      <w:r>
        <w:rPr/>
        <w:t>) as a</w:t>
      </w:r>
      <w:r>
        <w:rPr>
          <w:spacing w:val="-21"/>
        </w:rPr>
        <w:t> </w:t>
      </w:r>
      <w:r>
        <w:rPr/>
        <w:t>dichoto- mous</w:t>
      </w:r>
      <w:r>
        <w:rPr>
          <w:spacing w:val="-4"/>
        </w:rPr>
        <w:t> </w:t>
      </w:r>
      <w:r>
        <w:rPr/>
        <w:t>variable</w:t>
      </w:r>
      <w:r>
        <w:rPr>
          <w:spacing w:val="-4"/>
        </w:rPr>
        <w:t> </w:t>
      </w:r>
      <w:r>
        <w:rPr/>
        <w:t>equal</w:t>
      </w:r>
      <w:r>
        <w:rPr>
          <w:spacing w:val="-4"/>
        </w:rPr>
        <w:t> </w:t>
      </w:r>
      <w:r>
        <w:rPr/>
        <w:t>to</w:t>
      </w:r>
      <w:r>
        <w:rPr>
          <w:spacing w:val="-4"/>
        </w:rPr>
        <w:t> </w:t>
      </w:r>
      <w:r>
        <w:rPr/>
        <w:t>one</w:t>
      </w:r>
      <w:r>
        <w:rPr>
          <w:spacing w:val="-4"/>
        </w:rPr>
        <w:t> </w:t>
      </w:r>
      <w:r>
        <w:rPr/>
        <w:t>if</w:t>
      </w:r>
      <w:r>
        <w:rPr>
          <w:spacing w:val="-4"/>
        </w:rPr>
        <w:t> </w:t>
      </w:r>
      <w:r>
        <w:rPr/>
        <w:t>more</w:t>
      </w:r>
      <w:r>
        <w:rPr>
          <w:spacing w:val="-4"/>
        </w:rPr>
        <w:t> </w:t>
      </w:r>
      <w:r>
        <w:rPr/>
        <w:t>than</w:t>
      </w:r>
      <w:r>
        <w:rPr>
          <w:spacing w:val="-4"/>
        </w:rPr>
        <w:t> </w:t>
      </w:r>
      <w:r>
        <w:rPr/>
        <w:t>50%</w:t>
      </w:r>
      <w:r>
        <w:rPr>
          <w:spacing w:val="-4"/>
        </w:rPr>
        <w:t> </w:t>
      </w:r>
      <w:r>
        <w:rPr/>
        <w:t>of</w:t>
      </w:r>
      <w:r>
        <w:rPr>
          <w:spacing w:val="-4"/>
        </w:rPr>
        <w:t> </w:t>
      </w:r>
      <w:r>
        <w:rPr/>
        <w:t>directors</w:t>
      </w:r>
      <w:r>
        <w:rPr>
          <w:spacing w:val="-4"/>
        </w:rPr>
        <w:t> </w:t>
      </w:r>
      <w:r>
        <w:rPr/>
        <w:t>on</w:t>
      </w:r>
      <w:r>
        <w:rPr>
          <w:spacing w:val="-4"/>
        </w:rPr>
        <w:t> </w:t>
      </w:r>
      <w:r>
        <w:rPr/>
        <w:t>the</w:t>
      </w:r>
      <w:r>
        <w:rPr>
          <w:spacing w:val="-4"/>
        </w:rPr>
        <w:t> </w:t>
      </w:r>
      <w:r>
        <w:rPr/>
        <w:t>board</w:t>
      </w:r>
      <w:r>
        <w:rPr>
          <w:spacing w:val="-4"/>
        </w:rPr>
        <w:t> </w:t>
      </w:r>
      <w:r>
        <w:rPr/>
        <w:t>are independent,</w:t>
      </w:r>
      <w:r>
        <w:rPr>
          <w:spacing w:val="-32"/>
        </w:rPr>
        <w:t> </w:t>
      </w:r>
      <w:r>
        <w:rPr/>
        <w:t>and</w:t>
      </w:r>
      <w:r>
        <w:rPr>
          <w:spacing w:val="-32"/>
        </w:rPr>
        <w:t> </w:t>
      </w:r>
      <w:r>
        <w:rPr/>
        <w:t>zero</w:t>
      </w:r>
      <w:r>
        <w:rPr>
          <w:spacing w:val="-32"/>
        </w:rPr>
        <w:t> </w:t>
      </w:r>
      <w:r>
        <w:rPr/>
        <w:t>otherwise.</w:t>
      </w:r>
      <w:r>
        <w:rPr>
          <w:spacing w:val="-32"/>
        </w:rPr>
        <w:t> </w:t>
      </w:r>
      <w:r>
        <w:rPr>
          <w:i/>
        </w:rPr>
        <w:t>D</w:t>
      </w:r>
      <w:r>
        <w:rPr>
          <w:i/>
          <w:spacing w:val="-19"/>
        </w:rPr>
        <w:t> </w:t>
      </w:r>
      <w:r>
        <w:rPr>
          <w:i/>
        </w:rPr>
        <w:t>ACCEXP</w:t>
      </w:r>
      <w:r>
        <w:rPr>
          <w:i/>
          <w:spacing w:val="-32"/>
        </w:rPr>
        <w:t> </w:t>
      </w:r>
      <w:r>
        <w:rPr/>
        <w:t>is</w:t>
      </w:r>
      <w:r>
        <w:rPr>
          <w:spacing w:val="-32"/>
        </w:rPr>
        <w:t> </w:t>
      </w:r>
      <w:r>
        <w:rPr/>
        <w:t>measured</w:t>
      </w:r>
      <w:r>
        <w:rPr>
          <w:spacing w:val="-32"/>
        </w:rPr>
        <w:t> </w:t>
      </w:r>
      <w:r>
        <w:rPr/>
        <w:t>as</w:t>
      </w:r>
      <w:r>
        <w:rPr>
          <w:spacing w:val="-32"/>
        </w:rPr>
        <w:t> </w:t>
      </w:r>
      <w:r>
        <w:rPr/>
        <w:t>a</w:t>
      </w:r>
      <w:r>
        <w:rPr>
          <w:spacing w:val="-32"/>
        </w:rPr>
        <w:t> </w:t>
      </w:r>
      <w:r>
        <w:rPr/>
        <w:t>dichotomous variable</w:t>
      </w:r>
      <w:r>
        <w:rPr>
          <w:spacing w:val="-8"/>
        </w:rPr>
        <w:t> </w:t>
      </w:r>
      <w:r>
        <w:rPr/>
        <w:t>equal</w:t>
      </w:r>
      <w:r>
        <w:rPr>
          <w:spacing w:val="-8"/>
        </w:rPr>
        <w:t> </w:t>
      </w:r>
      <w:r>
        <w:rPr/>
        <w:t>to</w:t>
      </w:r>
      <w:r>
        <w:rPr>
          <w:spacing w:val="-8"/>
        </w:rPr>
        <w:t> </w:t>
      </w:r>
      <w:r>
        <w:rPr/>
        <w:t>one</w:t>
      </w:r>
      <w:r>
        <w:rPr>
          <w:spacing w:val="-8"/>
        </w:rPr>
        <w:t> </w:t>
      </w:r>
      <w:r>
        <w:rPr/>
        <w:t>if</w:t>
      </w:r>
      <w:r>
        <w:rPr>
          <w:spacing w:val="-8"/>
        </w:rPr>
        <w:t> </w:t>
      </w:r>
      <w:r>
        <w:rPr/>
        <w:t>at</w:t>
      </w:r>
      <w:r>
        <w:rPr>
          <w:spacing w:val="-8"/>
        </w:rPr>
        <w:t> </w:t>
      </w:r>
      <w:r>
        <w:rPr/>
        <w:t>least</w:t>
      </w:r>
      <w:r>
        <w:rPr>
          <w:spacing w:val="-8"/>
        </w:rPr>
        <w:t> </w:t>
      </w:r>
      <w:r>
        <w:rPr/>
        <w:t>one</w:t>
      </w:r>
      <w:r>
        <w:rPr>
          <w:spacing w:val="-8"/>
        </w:rPr>
        <w:t> </w:t>
      </w:r>
      <w:r>
        <w:rPr/>
        <w:t>independent</w:t>
      </w:r>
      <w:r>
        <w:rPr>
          <w:spacing w:val="-8"/>
        </w:rPr>
        <w:t> </w:t>
      </w:r>
      <w:r>
        <w:rPr/>
        <w:t>director</w:t>
      </w:r>
      <w:r>
        <w:rPr>
          <w:spacing w:val="-8"/>
        </w:rPr>
        <w:t> </w:t>
      </w:r>
      <w:r>
        <w:rPr/>
        <w:t>on</w:t>
      </w:r>
      <w:r>
        <w:rPr>
          <w:spacing w:val="-8"/>
        </w:rPr>
        <w:t> </w:t>
      </w:r>
      <w:r>
        <w:rPr/>
        <w:t>the</w:t>
      </w:r>
      <w:r>
        <w:rPr>
          <w:spacing w:val="-8"/>
        </w:rPr>
        <w:t> </w:t>
      </w:r>
      <w:r>
        <w:rPr/>
        <w:t>board</w:t>
      </w:r>
      <w:r>
        <w:rPr>
          <w:spacing w:val="-8"/>
        </w:rPr>
        <w:t> </w:t>
      </w:r>
      <w:r>
        <w:rPr/>
        <w:t>has accounting expertise, and zero otherwise.</w:t>
      </w:r>
      <w:r>
        <w:rPr>
          <w:color w:val="231F20"/>
          <w:position w:val="7"/>
          <w:sz w:val="14"/>
        </w:rPr>
        <w:t>22 </w:t>
      </w:r>
      <w:r>
        <w:rPr>
          <w:spacing w:val="-6"/>
        </w:rPr>
        <w:t>We </w:t>
      </w:r>
      <w:r>
        <w:rPr/>
        <w:t>define </w:t>
      </w:r>
      <w:r>
        <w:rPr>
          <w:i/>
        </w:rPr>
        <w:t>D INDEXP </w:t>
      </w:r>
      <w:r>
        <w:rPr/>
        <w:t>as a di- chotomous variable equal to one if at least one independent director on the board has industry expertise, defined as any prior experience in an- other firm that operates in the same two-digit primary SIC industry, and zero</w:t>
      </w:r>
      <w:r>
        <w:rPr>
          <w:spacing w:val="-7"/>
        </w:rPr>
        <w:t> </w:t>
      </w:r>
      <w:r>
        <w:rPr/>
        <w:t>otherwise</w:t>
      </w:r>
      <w:r>
        <w:rPr>
          <w:spacing w:val="-7"/>
        </w:rPr>
        <w:t> </w:t>
      </w:r>
      <w:r>
        <w:rPr/>
        <w:t>(Faleye,</w:t>
      </w:r>
      <w:r>
        <w:rPr>
          <w:spacing w:val="-7"/>
        </w:rPr>
        <w:t> </w:t>
      </w:r>
      <w:r>
        <w:rPr/>
        <w:t>Hoitash,</w:t>
      </w:r>
      <w:r>
        <w:rPr>
          <w:spacing w:val="-7"/>
        </w:rPr>
        <w:t> </w:t>
      </w:r>
      <w:r>
        <w:rPr/>
        <w:t>and</w:t>
      </w:r>
      <w:r>
        <w:rPr>
          <w:spacing w:val="-7"/>
        </w:rPr>
        <w:t> </w:t>
      </w:r>
      <w:r>
        <w:rPr/>
        <w:t>Hoitash</w:t>
      </w:r>
      <w:r>
        <w:rPr>
          <w:spacing w:val="-7"/>
        </w:rPr>
        <w:t> </w:t>
      </w:r>
      <w:r>
        <w:rPr/>
        <w:t>[2012]).</w:t>
      </w:r>
      <w:r>
        <w:rPr>
          <w:spacing w:val="-7"/>
        </w:rPr>
        <w:t> </w:t>
      </w:r>
      <w:r>
        <w:rPr>
          <w:spacing w:val="-9"/>
        </w:rPr>
        <w:t>To</w:t>
      </w:r>
      <w:r>
        <w:rPr>
          <w:spacing w:val="-7"/>
        </w:rPr>
        <w:t> </w:t>
      </w:r>
      <w:r>
        <w:rPr/>
        <w:t>examine</w:t>
      </w:r>
      <w:r>
        <w:rPr>
          <w:spacing w:val="-7"/>
        </w:rPr>
        <w:t> </w:t>
      </w:r>
      <w:r>
        <w:rPr/>
        <w:t>how</w:t>
      </w:r>
      <w:r>
        <w:rPr>
          <w:spacing w:val="-7"/>
        </w:rPr>
        <w:t> </w:t>
      </w:r>
      <w:r>
        <w:rPr/>
        <w:t>the board</w:t>
      </w:r>
      <w:r>
        <w:rPr>
          <w:spacing w:val="-17"/>
        </w:rPr>
        <w:t> </w:t>
      </w:r>
      <w:r>
        <w:rPr/>
        <w:t>of</w:t>
      </w:r>
      <w:r>
        <w:rPr>
          <w:spacing w:val="-17"/>
        </w:rPr>
        <w:t> </w:t>
      </w:r>
      <w:r>
        <w:rPr/>
        <w:t>directors</w:t>
      </w:r>
      <w:r>
        <w:rPr>
          <w:spacing w:val="-17"/>
        </w:rPr>
        <w:t> </w:t>
      </w:r>
      <w:r>
        <w:rPr/>
        <w:t>could</w:t>
      </w:r>
      <w:r>
        <w:rPr>
          <w:spacing w:val="-17"/>
        </w:rPr>
        <w:t> </w:t>
      </w:r>
      <w:r>
        <w:rPr/>
        <w:t>serve</w:t>
      </w:r>
      <w:r>
        <w:rPr>
          <w:spacing w:val="-17"/>
        </w:rPr>
        <w:t> </w:t>
      </w:r>
      <w:r>
        <w:rPr/>
        <w:t>as</w:t>
      </w:r>
      <w:r>
        <w:rPr>
          <w:spacing w:val="-17"/>
        </w:rPr>
        <w:t> </w:t>
      </w:r>
      <w:r>
        <w:rPr/>
        <w:t>a</w:t>
      </w:r>
      <w:r>
        <w:rPr>
          <w:spacing w:val="-17"/>
        </w:rPr>
        <w:t> </w:t>
      </w:r>
      <w:r>
        <w:rPr/>
        <w:t>channel</w:t>
      </w:r>
      <w:r>
        <w:rPr>
          <w:spacing w:val="-17"/>
        </w:rPr>
        <w:t> </w:t>
      </w:r>
      <w:r>
        <w:rPr/>
        <w:t>for</w:t>
      </w:r>
      <w:r>
        <w:rPr>
          <w:spacing w:val="-17"/>
        </w:rPr>
        <w:t> </w:t>
      </w:r>
      <w:r>
        <w:rPr/>
        <w:t>the</w:t>
      </w:r>
      <w:r>
        <w:rPr>
          <w:spacing w:val="-17"/>
        </w:rPr>
        <w:t> </w:t>
      </w:r>
      <w:r>
        <w:rPr/>
        <w:t>court</w:t>
      </w:r>
      <w:r>
        <w:rPr>
          <w:spacing w:val="-18"/>
        </w:rPr>
        <w:t> </w:t>
      </w:r>
      <w:r>
        <w:rPr/>
        <w:t>ruling,</w:t>
      </w:r>
      <w:r>
        <w:rPr>
          <w:spacing w:val="-17"/>
        </w:rPr>
        <w:t> </w:t>
      </w:r>
      <w:r>
        <w:rPr/>
        <w:t>we</w:t>
      </w:r>
      <w:r>
        <w:rPr>
          <w:spacing w:val="-17"/>
        </w:rPr>
        <w:t> </w:t>
      </w:r>
      <w:r>
        <w:rPr/>
        <w:t>estimate</w:t>
      </w:r>
    </w:p>
    <w:p>
      <w:pPr>
        <w:pStyle w:val="BodyText"/>
        <w:spacing w:before="10"/>
        <w:rPr>
          <w:sz w:val="25"/>
        </w:rPr>
      </w:pPr>
      <w:r>
        <w:rPr/>
        <w:pict>
          <v:line style="position:absolute;mso-position-horizontal-relative:page;mso-position-vertical-relative:paragraph;z-index:1720;mso-wrap-distance-left:0;mso-wrap-distance-right:0" from="90.629997pt,18.328026pt" to="126.503997pt,18.328026pt" stroked="true" strokeweight=".504pt" strokecolor="#000000">
            <v:stroke dashstyle="solid"/>
            <w10:wrap type="topAndBottom"/>
          </v:line>
        </w:pict>
      </w:r>
    </w:p>
    <w:p>
      <w:pPr>
        <w:spacing w:before="73"/>
        <w:ind w:left="532" w:right="149" w:firstLine="179"/>
        <w:jc w:val="both"/>
        <w:rPr>
          <w:sz w:val="16"/>
        </w:rPr>
      </w:pPr>
      <w:r>
        <w:rPr>
          <w:color w:val="231F20"/>
          <w:position w:val="6"/>
          <w:sz w:val="12"/>
        </w:rPr>
        <w:t>21</w:t>
      </w:r>
      <w:r>
        <w:rPr>
          <w:color w:val="231F20"/>
          <w:spacing w:val="-14"/>
          <w:position w:val="6"/>
          <w:sz w:val="12"/>
        </w:rPr>
        <w:t> </w:t>
      </w:r>
      <w:r>
        <w:rPr>
          <w:color w:val="231F20"/>
          <w:sz w:val="16"/>
        </w:rPr>
        <w:t>In</w:t>
      </w:r>
      <w:r>
        <w:rPr>
          <w:color w:val="231F20"/>
          <w:spacing w:val="-6"/>
          <w:sz w:val="16"/>
        </w:rPr>
        <w:t> </w:t>
      </w:r>
      <w:r>
        <w:rPr>
          <w:color w:val="231F20"/>
          <w:sz w:val="16"/>
        </w:rPr>
        <w:t>an</w:t>
      </w:r>
      <w:r>
        <w:rPr>
          <w:color w:val="231F20"/>
          <w:spacing w:val="-6"/>
          <w:sz w:val="16"/>
        </w:rPr>
        <w:t> </w:t>
      </w:r>
      <w:r>
        <w:rPr>
          <w:color w:val="231F20"/>
          <w:sz w:val="16"/>
        </w:rPr>
        <w:t>additional</w:t>
      </w:r>
      <w:r>
        <w:rPr>
          <w:color w:val="231F20"/>
          <w:spacing w:val="-6"/>
          <w:sz w:val="16"/>
        </w:rPr>
        <w:t> </w:t>
      </w:r>
      <w:r>
        <w:rPr>
          <w:color w:val="231F20"/>
          <w:sz w:val="16"/>
        </w:rPr>
        <w:t>analysis,</w:t>
      </w:r>
      <w:r>
        <w:rPr>
          <w:color w:val="231F20"/>
          <w:spacing w:val="-6"/>
          <w:sz w:val="16"/>
        </w:rPr>
        <w:t> </w:t>
      </w:r>
      <w:r>
        <w:rPr>
          <w:color w:val="231F20"/>
          <w:sz w:val="16"/>
        </w:rPr>
        <w:t>we</w:t>
      </w:r>
      <w:r>
        <w:rPr>
          <w:color w:val="231F20"/>
          <w:spacing w:val="-6"/>
          <w:sz w:val="16"/>
        </w:rPr>
        <w:t> </w:t>
      </w:r>
      <w:r>
        <w:rPr>
          <w:color w:val="231F20"/>
          <w:sz w:val="16"/>
        </w:rPr>
        <w:t>also</w:t>
      </w:r>
      <w:r>
        <w:rPr>
          <w:color w:val="231F20"/>
          <w:spacing w:val="-6"/>
          <w:sz w:val="16"/>
        </w:rPr>
        <w:t> </w:t>
      </w:r>
      <w:r>
        <w:rPr>
          <w:color w:val="231F20"/>
          <w:sz w:val="16"/>
        </w:rPr>
        <w:t>cluster</w:t>
      </w:r>
      <w:r>
        <w:rPr>
          <w:color w:val="231F20"/>
          <w:spacing w:val="-6"/>
          <w:sz w:val="16"/>
        </w:rPr>
        <w:t> </w:t>
      </w:r>
      <w:r>
        <w:rPr>
          <w:color w:val="231F20"/>
          <w:sz w:val="16"/>
        </w:rPr>
        <w:t>standard</w:t>
      </w:r>
      <w:r>
        <w:rPr>
          <w:color w:val="231F20"/>
          <w:spacing w:val="-6"/>
          <w:sz w:val="16"/>
        </w:rPr>
        <w:t> </w:t>
      </w:r>
      <w:r>
        <w:rPr>
          <w:color w:val="231F20"/>
          <w:sz w:val="16"/>
        </w:rPr>
        <w:t>errors</w:t>
      </w:r>
      <w:r>
        <w:rPr>
          <w:color w:val="231F20"/>
          <w:spacing w:val="-6"/>
          <w:sz w:val="16"/>
        </w:rPr>
        <w:t> </w:t>
      </w:r>
      <w:r>
        <w:rPr>
          <w:color w:val="231F20"/>
          <w:sz w:val="16"/>
        </w:rPr>
        <w:t>of</w:t>
      </w:r>
      <w:r>
        <w:rPr>
          <w:color w:val="231F20"/>
          <w:spacing w:val="-6"/>
          <w:sz w:val="16"/>
        </w:rPr>
        <w:t> </w:t>
      </w:r>
      <w:r>
        <w:rPr>
          <w:color w:val="231F20"/>
          <w:sz w:val="16"/>
        </w:rPr>
        <w:t>the</w:t>
      </w:r>
      <w:r>
        <w:rPr>
          <w:color w:val="231F20"/>
          <w:spacing w:val="-6"/>
          <w:sz w:val="16"/>
        </w:rPr>
        <w:t> </w:t>
      </w:r>
      <w:r>
        <w:rPr>
          <w:color w:val="231F20"/>
          <w:sz w:val="16"/>
        </w:rPr>
        <w:t>main</w:t>
      </w:r>
      <w:r>
        <w:rPr>
          <w:color w:val="231F20"/>
          <w:spacing w:val="-6"/>
          <w:sz w:val="16"/>
        </w:rPr>
        <w:t> </w:t>
      </w:r>
      <w:r>
        <w:rPr>
          <w:color w:val="231F20"/>
          <w:sz w:val="16"/>
        </w:rPr>
        <w:t>model</w:t>
      </w:r>
      <w:r>
        <w:rPr>
          <w:color w:val="231F20"/>
          <w:spacing w:val="-6"/>
          <w:sz w:val="16"/>
        </w:rPr>
        <w:t> </w:t>
      </w:r>
      <w:r>
        <w:rPr>
          <w:color w:val="231F20"/>
          <w:sz w:val="16"/>
        </w:rPr>
        <w:t>by</w:t>
      </w:r>
      <w:r>
        <w:rPr>
          <w:color w:val="231F20"/>
          <w:spacing w:val="-6"/>
          <w:sz w:val="16"/>
        </w:rPr>
        <w:t> </w:t>
      </w:r>
      <w:r>
        <w:rPr>
          <w:color w:val="231F20"/>
          <w:sz w:val="16"/>
        </w:rPr>
        <w:t>firm</w:t>
      </w:r>
      <w:r>
        <w:rPr>
          <w:color w:val="231F20"/>
          <w:spacing w:val="-6"/>
          <w:sz w:val="16"/>
        </w:rPr>
        <w:t> </w:t>
      </w:r>
      <w:r>
        <w:rPr>
          <w:color w:val="231F20"/>
          <w:sz w:val="16"/>
        </w:rPr>
        <w:t>and find</w:t>
      </w:r>
      <w:r>
        <w:rPr>
          <w:color w:val="231F20"/>
          <w:spacing w:val="-10"/>
          <w:sz w:val="16"/>
        </w:rPr>
        <w:t> </w:t>
      </w:r>
      <w:r>
        <w:rPr>
          <w:color w:val="231F20"/>
          <w:sz w:val="16"/>
        </w:rPr>
        <w:t>the</w:t>
      </w:r>
      <w:r>
        <w:rPr>
          <w:color w:val="231F20"/>
          <w:spacing w:val="-10"/>
          <w:sz w:val="16"/>
        </w:rPr>
        <w:t> </w:t>
      </w:r>
      <w:r>
        <w:rPr>
          <w:color w:val="231F20"/>
          <w:sz w:val="16"/>
        </w:rPr>
        <w:t>effect</w:t>
      </w:r>
      <w:r>
        <w:rPr>
          <w:color w:val="231F20"/>
          <w:spacing w:val="-10"/>
          <w:sz w:val="16"/>
        </w:rPr>
        <w:t> </w:t>
      </w:r>
      <w:r>
        <w:rPr>
          <w:color w:val="231F20"/>
          <w:sz w:val="16"/>
        </w:rPr>
        <w:t>of</w:t>
      </w:r>
      <w:r>
        <w:rPr>
          <w:color w:val="231F20"/>
          <w:spacing w:val="-10"/>
          <w:sz w:val="16"/>
        </w:rPr>
        <w:t> </w:t>
      </w:r>
      <w:r>
        <w:rPr>
          <w:color w:val="231F20"/>
          <w:sz w:val="16"/>
        </w:rPr>
        <w:t>ruling</w:t>
      </w:r>
      <w:r>
        <w:rPr>
          <w:color w:val="231F20"/>
          <w:spacing w:val="-10"/>
          <w:sz w:val="16"/>
        </w:rPr>
        <w:t> </w:t>
      </w:r>
      <w:r>
        <w:rPr>
          <w:color w:val="231F20"/>
          <w:sz w:val="16"/>
        </w:rPr>
        <w:t>on</w:t>
      </w:r>
      <w:r>
        <w:rPr>
          <w:color w:val="231F20"/>
          <w:spacing w:val="-10"/>
          <w:sz w:val="16"/>
        </w:rPr>
        <w:t> </w:t>
      </w:r>
      <w:r>
        <w:rPr>
          <w:color w:val="231F20"/>
          <w:sz w:val="16"/>
        </w:rPr>
        <w:t>the</w:t>
      </w:r>
      <w:r>
        <w:rPr>
          <w:color w:val="231F20"/>
          <w:spacing w:val="-10"/>
          <w:sz w:val="16"/>
        </w:rPr>
        <w:t> </w:t>
      </w:r>
      <w:r>
        <w:rPr>
          <w:color w:val="231F20"/>
          <w:sz w:val="16"/>
        </w:rPr>
        <w:t>composite</w:t>
      </w:r>
      <w:r>
        <w:rPr>
          <w:color w:val="231F20"/>
          <w:spacing w:val="-10"/>
          <w:sz w:val="16"/>
        </w:rPr>
        <w:t> </w:t>
      </w:r>
      <w:r>
        <w:rPr>
          <w:color w:val="231F20"/>
          <w:sz w:val="16"/>
        </w:rPr>
        <w:t>conservatism</w:t>
      </w:r>
      <w:r>
        <w:rPr>
          <w:color w:val="231F20"/>
          <w:spacing w:val="-10"/>
          <w:sz w:val="16"/>
        </w:rPr>
        <w:t> </w:t>
      </w:r>
      <w:r>
        <w:rPr>
          <w:color w:val="231F20"/>
          <w:sz w:val="16"/>
        </w:rPr>
        <w:t>measure,</w:t>
      </w:r>
      <w:r>
        <w:rPr>
          <w:color w:val="231F20"/>
          <w:spacing w:val="-10"/>
          <w:sz w:val="16"/>
        </w:rPr>
        <w:t> </w:t>
      </w:r>
      <w:r>
        <w:rPr>
          <w:i/>
          <w:color w:val="231F20"/>
          <w:sz w:val="16"/>
        </w:rPr>
        <w:t>CRANK ALL</w:t>
      </w:r>
      <w:r>
        <w:rPr>
          <w:color w:val="231F20"/>
          <w:sz w:val="16"/>
        </w:rPr>
        <w:t>,</w:t>
      </w:r>
      <w:r>
        <w:rPr>
          <w:color w:val="231F20"/>
          <w:spacing w:val="-10"/>
          <w:sz w:val="16"/>
        </w:rPr>
        <w:t> </w:t>
      </w:r>
      <w:r>
        <w:rPr>
          <w:color w:val="231F20"/>
          <w:sz w:val="16"/>
        </w:rPr>
        <w:t>is</w:t>
      </w:r>
      <w:r>
        <w:rPr>
          <w:color w:val="231F20"/>
          <w:spacing w:val="-10"/>
          <w:sz w:val="16"/>
        </w:rPr>
        <w:t> </w:t>
      </w:r>
      <w:r>
        <w:rPr>
          <w:color w:val="231F20"/>
          <w:sz w:val="16"/>
        </w:rPr>
        <w:t>still</w:t>
      </w:r>
      <w:r>
        <w:rPr>
          <w:color w:val="231F20"/>
          <w:spacing w:val="-10"/>
          <w:sz w:val="16"/>
        </w:rPr>
        <w:t> </w:t>
      </w:r>
      <w:r>
        <w:rPr>
          <w:color w:val="231F20"/>
          <w:sz w:val="16"/>
        </w:rPr>
        <w:t>positive and significant (the coefficient on </w:t>
      </w:r>
      <w:r>
        <w:rPr>
          <w:i/>
          <w:color w:val="231F20"/>
          <w:sz w:val="16"/>
        </w:rPr>
        <w:t>POST  DEL   HEDF93   </w:t>
      </w:r>
      <w:r>
        <w:rPr>
          <w:color w:val="231F20"/>
          <w:sz w:val="16"/>
        </w:rPr>
        <w:t>0.489, </w:t>
      </w:r>
      <w:r>
        <w:rPr>
          <w:i/>
          <w:color w:val="231F20"/>
          <w:sz w:val="16"/>
        </w:rPr>
        <w:t>t</w:t>
      </w:r>
      <w:r>
        <w:rPr>
          <w:color w:val="231F20"/>
          <w:sz w:val="16"/>
        </w:rPr>
        <w:t>-stat   3.10). </w:t>
      </w:r>
      <w:r>
        <w:rPr>
          <w:color w:val="231F20"/>
          <w:spacing w:val="-5"/>
          <w:sz w:val="16"/>
        </w:rPr>
        <w:t>We  </w:t>
      </w:r>
      <w:r>
        <w:rPr>
          <w:color w:val="231F20"/>
          <w:sz w:val="16"/>
        </w:rPr>
        <w:t>present this result in online appendix table</w:t>
      </w:r>
      <w:r>
        <w:rPr>
          <w:color w:val="231F20"/>
          <w:spacing w:val="1"/>
          <w:sz w:val="16"/>
        </w:rPr>
        <w:t> </w:t>
      </w:r>
      <w:r>
        <w:rPr>
          <w:color w:val="231F20"/>
          <w:sz w:val="16"/>
        </w:rPr>
        <w:t>A3.</w:t>
      </w:r>
    </w:p>
    <w:p>
      <w:pPr>
        <w:spacing w:line="199" w:lineRule="exact" w:before="0"/>
        <w:ind w:left="711" w:right="0" w:firstLine="0"/>
        <w:jc w:val="left"/>
        <w:rPr>
          <w:sz w:val="16"/>
        </w:rPr>
      </w:pPr>
      <w:r>
        <w:rPr/>
        <w:pict>
          <v:line style="position:absolute;mso-position-horizontal-relative:page;mso-position-vertical-relative:paragraph;z-index:-69784" from="344.277008pt,-22.321934pt" to="346.671008pt,-22.321934pt" stroked="true" strokeweight=".405pt" strokecolor="#000000">
            <v:stroke dashstyle="solid"/>
            <w10:wrap type="none"/>
          </v:line>
        </w:pict>
      </w:r>
      <w:r>
        <w:rPr/>
        <w:pict>
          <v:shape style="position:absolute;margin-left:233.224106pt;margin-top:-18.500605pt;width:115.2pt;height:13.95pt;mso-position-horizontal-relative:page;mso-position-vertical-relative:paragraph;z-index:-69760" type="#_x0000_t202" filled="false" stroked="false">
            <v:textbox inset="0,0,0,0">
              <w:txbxContent>
                <w:p>
                  <w:pPr>
                    <w:tabs>
                      <w:tab w:pos="414" w:val="left" w:leader="none"/>
                      <w:tab w:pos="1156" w:val="left" w:leader="none"/>
                      <w:tab w:pos="2179"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color w:val="231F20"/>
          <w:position w:val="6"/>
          <w:sz w:val="12"/>
        </w:rPr>
        <w:t>22</w:t>
      </w:r>
      <w:r>
        <w:rPr>
          <w:color w:val="231F20"/>
          <w:spacing w:val="-13"/>
          <w:position w:val="6"/>
          <w:sz w:val="12"/>
        </w:rPr>
        <w:t> </w:t>
      </w:r>
      <w:r>
        <w:rPr>
          <w:color w:val="231F20"/>
          <w:sz w:val="16"/>
        </w:rPr>
        <w:t>Following</w:t>
      </w:r>
      <w:r>
        <w:rPr>
          <w:color w:val="231F20"/>
          <w:spacing w:val="-15"/>
          <w:sz w:val="16"/>
        </w:rPr>
        <w:t> </w:t>
      </w:r>
      <w:r>
        <w:rPr>
          <w:color w:val="231F20"/>
          <w:sz w:val="16"/>
        </w:rPr>
        <w:t>Defond,</w:t>
      </w:r>
      <w:r>
        <w:rPr>
          <w:color w:val="231F20"/>
          <w:spacing w:val="-15"/>
          <w:sz w:val="16"/>
        </w:rPr>
        <w:t> </w:t>
      </w:r>
      <w:r>
        <w:rPr>
          <w:color w:val="231F20"/>
          <w:sz w:val="16"/>
        </w:rPr>
        <w:t>Hann,</w:t>
      </w:r>
      <w:r>
        <w:rPr>
          <w:color w:val="231F20"/>
          <w:spacing w:val="-15"/>
          <w:sz w:val="16"/>
        </w:rPr>
        <w:t> </w:t>
      </w:r>
      <w:r>
        <w:rPr>
          <w:color w:val="231F20"/>
          <w:sz w:val="16"/>
        </w:rPr>
        <w:t>and</w:t>
      </w:r>
      <w:r>
        <w:rPr>
          <w:color w:val="231F20"/>
          <w:spacing w:val="-15"/>
          <w:sz w:val="16"/>
        </w:rPr>
        <w:t> </w:t>
      </w:r>
      <w:r>
        <w:rPr>
          <w:color w:val="231F20"/>
          <w:sz w:val="16"/>
        </w:rPr>
        <w:t>Hu</w:t>
      </w:r>
      <w:r>
        <w:rPr>
          <w:color w:val="231F20"/>
          <w:spacing w:val="-15"/>
          <w:sz w:val="16"/>
        </w:rPr>
        <w:t> </w:t>
      </w:r>
      <w:r>
        <w:rPr>
          <w:color w:val="231F20"/>
          <w:sz w:val="16"/>
        </w:rPr>
        <w:t>[2005],</w:t>
      </w:r>
      <w:r>
        <w:rPr>
          <w:color w:val="231F20"/>
          <w:spacing w:val="-15"/>
          <w:sz w:val="16"/>
        </w:rPr>
        <w:t> </w:t>
      </w:r>
      <w:r>
        <w:rPr>
          <w:color w:val="231F20"/>
          <w:sz w:val="16"/>
        </w:rPr>
        <w:t>we</w:t>
      </w:r>
      <w:r>
        <w:rPr>
          <w:color w:val="231F20"/>
          <w:spacing w:val="-15"/>
          <w:sz w:val="16"/>
        </w:rPr>
        <w:t> </w:t>
      </w:r>
      <w:r>
        <w:rPr>
          <w:color w:val="231F20"/>
          <w:sz w:val="16"/>
        </w:rPr>
        <w:t>define</w:t>
      </w:r>
      <w:r>
        <w:rPr>
          <w:color w:val="231F20"/>
          <w:spacing w:val="-15"/>
          <w:sz w:val="16"/>
        </w:rPr>
        <w:t> </w:t>
      </w:r>
      <w:r>
        <w:rPr>
          <w:color w:val="231F20"/>
          <w:sz w:val="16"/>
        </w:rPr>
        <w:t>accounting</w:t>
      </w:r>
      <w:r>
        <w:rPr>
          <w:color w:val="231F20"/>
          <w:spacing w:val="-15"/>
          <w:sz w:val="16"/>
        </w:rPr>
        <w:t> </w:t>
      </w:r>
      <w:r>
        <w:rPr>
          <w:color w:val="231F20"/>
          <w:sz w:val="16"/>
        </w:rPr>
        <w:t>financial</w:t>
      </w:r>
      <w:r>
        <w:rPr>
          <w:color w:val="231F20"/>
          <w:spacing w:val="-15"/>
          <w:sz w:val="16"/>
        </w:rPr>
        <w:t> </w:t>
      </w:r>
      <w:r>
        <w:rPr>
          <w:color w:val="231F20"/>
          <w:sz w:val="16"/>
        </w:rPr>
        <w:t>experts</w:t>
      </w:r>
      <w:r>
        <w:rPr>
          <w:color w:val="231F20"/>
          <w:spacing w:val="-15"/>
          <w:sz w:val="16"/>
        </w:rPr>
        <w:t> </w:t>
      </w:r>
      <w:r>
        <w:rPr>
          <w:color w:val="231F20"/>
          <w:sz w:val="16"/>
        </w:rPr>
        <w:t>as</w:t>
      </w:r>
      <w:r>
        <w:rPr>
          <w:color w:val="231F20"/>
          <w:spacing w:val="-15"/>
          <w:sz w:val="16"/>
        </w:rPr>
        <w:t> </w:t>
      </w:r>
      <w:r>
        <w:rPr>
          <w:color w:val="231F20"/>
          <w:sz w:val="16"/>
        </w:rPr>
        <w:t>direc-</w:t>
      </w:r>
    </w:p>
    <w:p>
      <w:pPr>
        <w:spacing w:before="1"/>
        <w:ind w:left="532" w:right="142" w:firstLine="0"/>
        <w:jc w:val="left"/>
        <w:rPr>
          <w:sz w:val="16"/>
        </w:rPr>
      </w:pPr>
      <w:r>
        <w:rPr>
          <w:color w:val="231F20"/>
          <w:sz w:val="16"/>
        </w:rPr>
        <w:t>tors</w:t>
      </w:r>
      <w:r>
        <w:rPr>
          <w:color w:val="231F20"/>
          <w:spacing w:val="-15"/>
          <w:sz w:val="16"/>
        </w:rPr>
        <w:t> </w:t>
      </w:r>
      <w:r>
        <w:rPr>
          <w:color w:val="231F20"/>
          <w:sz w:val="16"/>
        </w:rPr>
        <w:t>with</w:t>
      </w:r>
      <w:r>
        <w:rPr>
          <w:color w:val="231F20"/>
          <w:spacing w:val="-15"/>
          <w:sz w:val="16"/>
        </w:rPr>
        <w:t> </w:t>
      </w:r>
      <w:r>
        <w:rPr>
          <w:color w:val="231F20"/>
          <w:sz w:val="16"/>
        </w:rPr>
        <w:t>experience</w:t>
      </w:r>
      <w:r>
        <w:rPr>
          <w:color w:val="231F20"/>
          <w:spacing w:val="-15"/>
          <w:sz w:val="16"/>
        </w:rPr>
        <w:t> </w:t>
      </w:r>
      <w:r>
        <w:rPr>
          <w:color w:val="231F20"/>
          <w:sz w:val="16"/>
        </w:rPr>
        <w:t>as</w:t>
      </w:r>
      <w:r>
        <w:rPr>
          <w:color w:val="231F20"/>
          <w:spacing w:val="-15"/>
          <w:sz w:val="16"/>
        </w:rPr>
        <w:t> </w:t>
      </w:r>
      <w:r>
        <w:rPr>
          <w:color w:val="231F20"/>
          <w:sz w:val="16"/>
        </w:rPr>
        <w:t>a</w:t>
      </w:r>
      <w:r>
        <w:rPr>
          <w:color w:val="231F20"/>
          <w:spacing w:val="-15"/>
          <w:sz w:val="16"/>
        </w:rPr>
        <w:t> </w:t>
      </w:r>
      <w:r>
        <w:rPr>
          <w:color w:val="231F20"/>
          <w:sz w:val="16"/>
        </w:rPr>
        <w:t>certified</w:t>
      </w:r>
      <w:r>
        <w:rPr>
          <w:color w:val="231F20"/>
          <w:spacing w:val="-15"/>
          <w:sz w:val="16"/>
        </w:rPr>
        <w:t> </w:t>
      </w:r>
      <w:r>
        <w:rPr>
          <w:color w:val="231F20"/>
          <w:sz w:val="16"/>
        </w:rPr>
        <w:t>public</w:t>
      </w:r>
      <w:r>
        <w:rPr>
          <w:color w:val="231F20"/>
          <w:spacing w:val="-15"/>
          <w:sz w:val="16"/>
        </w:rPr>
        <w:t> </w:t>
      </w:r>
      <w:r>
        <w:rPr>
          <w:color w:val="231F20"/>
          <w:sz w:val="16"/>
        </w:rPr>
        <w:t>accountant,</w:t>
      </w:r>
      <w:r>
        <w:rPr>
          <w:color w:val="231F20"/>
          <w:spacing w:val="-15"/>
          <w:sz w:val="16"/>
        </w:rPr>
        <w:t> </w:t>
      </w:r>
      <w:r>
        <w:rPr>
          <w:color w:val="231F20"/>
          <w:sz w:val="16"/>
        </w:rPr>
        <w:t>auditor,</w:t>
      </w:r>
      <w:r>
        <w:rPr>
          <w:color w:val="231F20"/>
          <w:spacing w:val="-15"/>
          <w:sz w:val="16"/>
        </w:rPr>
        <w:t> </w:t>
      </w:r>
      <w:r>
        <w:rPr>
          <w:color w:val="231F20"/>
          <w:sz w:val="16"/>
        </w:rPr>
        <w:t>principal/chief</w:t>
      </w:r>
      <w:r>
        <w:rPr>
          <w:color w:val="231F20"/>
          <w:spacing w:val="-15"/>
          <w:sz w:val="16"/>
        </w:rPr>
        <w:t> </w:t>
      </w:r>
      <w:r>
        <w:rPr>
          <w:color w:val="231F20"/>
          <w:sz w:val="16"/>
        </w:rPr>
        <w:t>financial</w:t>
      </w:r>
      <w:r>
        <w:rPr>
          <w:color w:val="231F20"/>
          <w:spacing w:val="-15"/>
          <w:sz w:val="16"/>
        </w:rPr>
        <w:t> </w:t>
      </w:r>
      <w:r>
        <w:rPr>
          <w:color w:val="231F20"/>
          <w:sz w:val="16"/>
        </w:rPr>
        <w:t>officer, controller, or principal/chief accounting</w:t>
      </w:r>
      <w:r>
        <w:rPr>
          <w:color w:val="231F20"/>
          <w:spacing w:val="1"/>
          <w:sz w:val="16"/>
        </w:rPr>
        <w:t> </w:t>
      </w:r>
      <w:r>
        <w:rPr>
          <w:color w:val="231F20"/>
          <w:sz w:val="16"/>
        </w:rPr>
        <w:t>officer.</w:t>
      </w:r>
    </w:p>
    <w:p>
      <w:pPr>
        <w:spacing w:after="0"/>
        <w:jc w:val="left"/>
        <w:rPr>
          <w:sz w:val="16"/>
        </w:rPr>
        <w:sectPr>
          <w:pgSz w:w="9720" w:h="14400"/>
          <w:pgMar w:header="1057" w:footer="0" w:top="1300" w:bottom="280" w:left="1280" w:right="1300"/>
        </w:sectPr>
      </w:pPr>
    </w:p>
    <w:p>
      <w:pPr>
        <w:pStyle w:val="BodyText"/>
        <w:spacing w:before="170"/>
        <w:ind w:left="162"/>
        <w:jc w:val="both"/>
      </w:pPr>
      <w:r>
        <w:rPr/>
        <w:t>the following equation:</w:t>
      </w:r>
    </w:p>
    <w:p>
      <w:pPr>
        <w:spacing w:before="105"/>
        <w:ind w:left="162" w:right="0" w:firstLine="0"/>
        <w:jc w:val="both"/>
        <w:rPr>
          <w:i/>
          <w:sz w:val="20"/>
        </w:rPr>
      </w:pPr>
      <w:r>
        <w:rPr/>
        <w:pict>
          <v:line style="position:absolute;mso-position-horizontal-relative:page;mso-position-vertical-relative:paragraph;z-index:-69712" from="106.443001pt,16.014263pt" to="109.440001pt,16.014263pt" stroked="true" strokeweight=".405pt" strokecolor="#000000">
            <v:stroke dashstyle="solid"/>
            <w10:wrap type="none"/>
          </v:line>
        </w:pict>
      </w:r>
      <w:r>
        <w:rPr>
          <w:i/>
          <w:sz w:val="20"/>
        </w:rPr>
        <w:t>CRANK ALL </w:t>
      </w:r>
      <w:r>
        <w:rPr>
          <w:rFonts w:ascii="Lucida Sans Unicode" w:hAnsi="Lucida Sans Unicode"/>
          <w:sz w:val="20"/>
        </w:rPr>
        <w:t>= </w:t>
      </w:r>
      <w:r>
        <w:rPr>
          <w:rFonts w:ascii="Verdana" w:hAnsi="Verdana"/>
          <w:i/>
          <w:sz w:val="20"/>
        </w:rPr>
        <w:t>β</w:t>
      </w:r>
      <w:r>
        <w:rPr>
          <w:i/>
          <w:color w:val="231F20"/>
          <w:sz w:val="20"/>
          <w:vertAlign w:val="subscript"/>
        </w:rPr>
        <w:t>0</w:t>
      </w:r>
      <w:r>
        <w:rPr>
          <w:i/>
          <w:color w:val="231F20"/>
          <w:sz w:val="20"/>
          <w:vertAlign w:val="baseline"/>
        </w:rPr>
        <w:t>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1</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2</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3</w:t>
      </w:r>
      <w:r>
        <w:rPr>
          <w:i/>
          <w:sz w:val="20"/>
          <w:vertAlign w:val="baseline"/>
        </w:rPr>
        <w:t>DEL </w:t>
      </w:r>
      <w:r>
        <w:rPr>
          <w:rFonts w:ascii="Lucida Sans Unicode" w:hAnsi="Lucida Sans Unicode"/>
          <w:sz w:val="20"/>
          <w:vertAlign w:val="baseline"/>
        </w:rPr>
        <w:t>× </w:t>
      </w:r>
      <w:r>
        <w:rPr>
          <w:i/>
          <w:sz w:val="20"/>
          <w:vertAlign w:val="baseline"/>
        </w:rPr>
        <w:t>HEDF93</w:t>
      </w:r>
    </w:p>
    <w:p>
      <w:pPr>
        <w:spacing w:before="52"/>
        <w:ind w:left="1557"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4</w:t>
      </w:r>
      <w:r>
        <w:rPr>
          <w:i/>
          <w:sz w:val="20"/>
          <w:vertAlign w:val="baseline"/>
        </w:rPr>
        <w:t>BSCORE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5</w:t>
      </w:r>
      <w:r>
        <w:rPr>
          <w:i/>
          <w:sz w:val="20"/>
          <w:vertAlign w:val="baseline"/>
        </w:rPr>
        <w:t>BSCORE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6</w:t>
      </w:r>
      <w:r>
        <w:rPr>
          <w:i/>
          <w:sz w:val="20"/>
          <w:vertAlign w:val="baseline"/>
        </w:rPr>
        <w:t>BSCORE </w:t>
      </w:r>
      <w:r>
        <w:rPr>
          <w:rFonts w:ascii="Lucida Sans Unicode" w:hAnsi="Lucida Sans Unicode"/>
          <w:sz w:val="20"/>
          <w:vertAlign w:val="baseline"/>
        </w:rPr>
        <w:t>× </w:t>
      </w:r>
      <w:r>
        <w:rPr>
          <w:i/>
          <w:sz w:val="20"/>
          <w:vertAlign w:val="baseline"/>
        </w:rPr>
        <w:t>HEDF93</w:t>
      </w:r>
    </w:p>
    <w:p>
      <w:pPr>
        <w:spacing w:before="51"/>
        <w:ind w:left="1557" w:right="0" w:firstLine="0"/>
        <w:jc w:val="left"/>
        <w:rPr>
          <w:i/>
          <w:sz w:val="20"/>
        </w:rPr>
      </w:pPr>
      <w:r>
        <w:rPr>
          <w:rFonts w:ascii="Lucida Sans Unicode" w:hAnsi="Lucida Sans Unicode"/>
          <w:sz w:val="20"/>
        </w:rPr>
        <w:t>+ </w:t>
      </w:r>
      <w:r>
        <w:rPr>
          <w:rFonts w:ascii="Verdana" w:hAnsi="Verdana"/>
          <w:i/>
          <w:sz w:val="20"/>
        </w:rPr>
        <w:t>β</w:t>
      </w:r>
      <w:r>
        <w:rPr>
          <w:i/>
          <w:color w:val="231F20"/>
          <w:sz w:val="20"/>
          <w:vertAlign w:val="subscript"/>
        </w:rPr>
        <w:t>7</w:t>
      </w:r>
      <w:r>
        <w:rPr>
          <w:i/>
          <w:sz w:val="20"/>
          <w:vertAlign w:val="baseline"/>
        </w:rPr>
        <w:t>BSCORE </w:t>
      </w:r>
      <w:r>
        <w:rPr>
          <w:rFonts w:ascii="Lucida Sans Unicode" w:hAnsi="Lucida Sans Unicode"/>
          <w:sz w:val="20"/>
          <w:vertAlign w:val="baseline"/>
        </w:rPr>
        <w:t>× </w:t>
      </w:r>
      <w:r>
        <w:rPr>
          <w:i/>
          <w:sz w:val="20"/>
          <w:vertAlign w:val="baseline"/>
        </w:rPr>
        <w:t>DEL </w:t>
      </w:r>
      <w:r>
        <w:rPr>
          <w:rFonts w:ascii="Lucida Sans Unicode" w:hAnsi="Lucida Sans Unicode"/>
          <w:sz w:val="20"/>
          <w:vertAlign w:val="baseline"/>
        </w:rPr>
        <w:t>× </w:t>
      </w:r>
      <w:r>
        <w:rPr>
          <w:i/>
          <w:sz w:val="20"/>
          <w:vertAlign w:val="baseline"/>
        </w:rPr>
        <w:t>HEDF93 </w:t>
      </w:r>
      <w:r>
        <w:rPr>
          <w:rFonts w:ascii="Lucida Sans Unicode" w:hAnsi="Lucida Sans Unicode"/>
          <w:sz w:val="20"/>
          <w:vertAlign w:val="baseline"/>
        </w:rPr>
        <w:t>+ </w:t>
      </w:r>
      <w:r>
        <w:rPr>
          <w:rFonts w:ascii="Verdana" w:hAnsi="Verdana"/>
          <w:i/>
          <w:sz w:val="20"/>
          <w:vertAlign w:val="baseline"/>
        </w:rPr>
        <w:t>β</w:t>
      </w:r>
      <w:r>
        <w:rPr>
          <w:i/>
          <w:color w:val="231F20"/>
          <w:sz w:val="20"/>
          <w:vertAlign w:val="subscript"/>
        </w:rPr>
        <w:t>8</w:t>
      </w:r>
      <w:r>
        <w:rPr>
          <w:rFonts w:ascii="Lucida Sans Unicode" w:hAnsi="Lucida Sans Unicode"/>
          <w:color w:val="231F20"/>
          <w:sz w:val="20"/>
          <w:vertAlign w:val="subscript"/>
        </w:rPr>
        <w:t>−</w:t>
      </w:r>
      <w:r>
        <w:rPr>
          <w:i/>
          <w:color w:val="231F20"/>
          <w:sz w:val="20"/>
          <w:vertAlign w:val="subscript"/>
        </w:rPr>
        <w:t>13</w:t>
      </w:r>
      <w:r>
        <w:rPr>
          <w:i/>
          <w:sz w:val="20"/>
          <w:vertAlign w:val="baseline"/>
        </w:rPr>
        <w:t>Control Variables</w:t>
      </w:r>
    </w:p>
    <w:p>
      <w:pPr>
        <w:tabs>
          <w:tab w:pos="6340" w:val="left" w:leader="none"/>
        </w:tabs>
        <w:spacing w:before="51"/>
        <w:ind w:left="1557" w:right="0" w:firstLine="0"/>
        <w:jc w:val="left"/>
        <w:rPr>
          <w:sz w:val="20"/>
        </w:rPr>
      </w:pPr>
      <w:r>
        <w:rPr>
          <w:rFonts w:ascii="Lucida Sans Unicode"/>
          <w:sz w:val="20"/>
        </w:rPr>
        <w:t>+</w:t>
      </w:r>
      <w:r>
        <w:rPr>
          <w:rFonts w:ascii="Lucida Sans Unicode"/>
          <w:spacing w:val="-49"/>
          <w:sz w:val="20"/>
        </w:rPr>
        <w:t> </w:t>
      </w:r>
      <w:r>
        <w:rPr>
          <w:i/>
          <w:sz w:val="20"/>
        </w:rPr>
        <w:t>Industry</w:t>
      </w:r>
      <w:r>
        <w:rPr>
          <w:i/>
          <w:spacing w:val="-34"/>
          <w:sz w:val="20"/>
        </w:rPr>
        <w:t> </w:t>
      </w:r>
      <w:r>
        <w:rPr>
          <w:i/>
          <w:sz w:val="20"/>
        </w:rPr>
        <w:t>Dummies</w:t>
      </w:r>
      <w:r>
        <w:rPr>
          <w:i/>
          <w:spacing w:val="-26"/>
          <w:sz w:val="20"/>
        </w:rPr>
        <w:t> </w:t>
      </w:r>
      <w:r>
        <w:rPr>
          <w:rFonts w:ascii="Lucida Sans Unicode"/>
          <w:sz w:val="20"/>
        </w:rPr>
        <w:t>+</w:t>
      </w:r>
      <w:r>
        <w:rPr>
          <w:rFonts w:ascii="Lucida Sans Unicode"/>
          <w:spacing w:val="-44"/>
          <w:sz w:val="20"/>
        </w:rPr>
        <w:t> </w:t>
      </w:r>
      <w:r>
        <w:rPr>
          <w:i/>
          <w:spacing w:val="-6"/>
          <w:sz w:val="20"/>
        </w:rPr>
        <w:t>Year</w:t>
      </w:r>
      <w:r>
        <w:rPr>
          <w:i/>
          <w:spacing w:val="-25"/>
          <w:sz w:val="20"/>
        </w:rPr>
        <w:t> </w:t>
      </w:r>
      <w:r>
        <w:rPr>
          <w:i/>
          <w:sz w:val="20"/>
        </w:rPr>
        <w:t>Dummies</w:t>
      </w:r>
      <w:r>
        <w:rPr>
          <w:i/>
          <w:spacing w:val="-26"/>
          <w:sz w:val="20"/>
        </w:rPr>
        <w:t> </w:t>
      </w:r>
      <w:r>
        <w:rPr>
          <w:rFonts w:ascii="Lucida Sans Unicode"/>
          <w:sz w:val="20"/>
        </w:rPr>
        <w:t>+</w:t>
      </w:r>
      <w:r>
        <w:rPr>
          <w:rFonts w:ascii="Lucida Sans Unicode"/>
          <w:spacing w:val="-44"/>
          <w:sz w:val="20"/>
        </w:rPr>
        <w:t> </w:t>
      </w:r>
      <w:r>
        <w:rPr>
          <w:i/>
          <w:sz w:val="20"/>
        </w:rPr>
        <w:t>e</w:t>
      </w:r>
      <w:r>
        <w:rPr>
          <w:i/>
          <w:spacing w:val="-39"/>
          <w:sz w:val="20"/>
        </w:rPr>
        <w:t> </w:t>
      </w:r>
      <w:r>
        <w:rPr>
          <w:rFonts w:ascii="Verdana"/>
          <w:i/>
          <w:sz w:val="20"/>
        </w:rPr>
        <w:t>.</w:t>
        <w:tab/>
      </w:r>
      <w:r>
        <w:rPr>
          <w:sz w:val="20"/>
        </w:rPr>
        <w:t>(2)</w:t>
      </w:r>
    </w:p>
    <w:p>
      <w:pPr>
        <w:pStyle w:val="BodyText"/>
        <w:spacing w:before="1"/>
        <w:rPr>
          <w:sz w:val="42"/>
        </w:rPr>
      </w:pPr>
    </w:p>
    <w:p>
      <w:pPr>
        <w:pStyle w:val="ListParagraph"/>
        <w:numPr>
          <w:ilvl w:val="1"/>
          <w:numId w:val="1"/>
        </w:numPr>
        <w:tabs>
          <w:tab w:pos="540" w:val="left" w:leader="none"/>
        </w:tabs>
        <w:spacing w:line="264" w:lineRule="auto" w:before="1" w:after="0"/>
        <w:ind w:left="162" w:right="1316" w:firstLine="0"/>
        <w:jc w:val="left"/>
        <w:rPr>
          <w:sz w:val="16"/>
        </w:rPr>
      </w:pPr>
      <w:r>
        <w:rPr>
          <w:sz w:val="16"/>
        </w:rPr>
        <w:t>MEASURING ACCOUNTING CONSERVATISM USING ASYMMETRIC TIMELINESS</w:t>
      </w:r>
      <w:r>
        <w:rPr>
          <w:spacing w:val="12"/>
          <w:sz w:val="16"/>
        </w:rPr>
        <w:t> </w:t>
      </w:r>
      <w:r>
        <w:rPr>
          <w:sz w:val="16"/>
        </w:rPr>
        <w:t>MODELS</w:t>
      </w:r>
    </w:p>
    <w:p>
      <w:pPr>
        <w:pStyle w:val="ListParagraph"/>
        <w:numPr>
          <w:ilvl w:val="2"/>
          <w:numId w:val="2"/>
        </w:numPr>
        <w:tabs>
          <w:tab w:pos="940" w:val="left" w:leader="none"/>
        </w:tabs>
        <w:spacing w:line="208" w:lineRule="auto" w:before="66" w:after="0"/>
        <w:ind w:left="162" w:right="519" w:firstLine="199"/>
        <w:jc w:val="both"/>
        <w:rPr>
          <w:sz w:val="20"/>
        </w:rPr>
      </w:pPr>
      <w:r>
        <w:rPr>
          <w:i/>
          <w:sz w:val="20"/>
        </w:rPr>
        <w:t>Asymmetric</w:t>
      </w:r>
      <w:r>
        <w:rPr>
          <w:i/>
          <w:spacing w:val="-21"/>
          <w:sz w:val="20"/>
        </w:rPr>
        <w:t> </w:t>
      </w:r>
      <w:r>
        <w:rPr>
          <w:i/>
          <w:sz w:val="20"/>
        </w:rPr>
        <w:t>Timeliness</w:t>
      </w:r>
      <w:r>
        <w:rPr>
          <w:i/>
          <w:spacing w:val="-21"/>
          <w:sz w:val="20"/>
        </w:rPr>
        <w:t> </w:t>
      </w:r>
      <w:r>
        <w:rPr>
          <w:i/>
          <w:sz w:val="20"/>
        </w:rPr>
        <w:t>of</w:t>
      </w:r>
      <w:r>
        <w:rPr>
          <w:i/>
          <w:spacing w:val="-21"/>
          <w:sz w:val="20"/>
        </w:rPr>
        <w:t> </w:t>
      </w:r>
      <w:r>
        <w:rPr>
          <w:i/>
          <w:sz w:val="20"/>
        </w:rPr>
        <w:t>Earnings.</w:t>
      </w:r>
      <w:r>
        <w:rPr>
          <w:i/>
          <w:spacing w:val="-2"/>
          <w:sz w:val="20"/>
        </w:rPr>
        <w:t> </w:t>
      </w:r>
      <w:r>
        <w:rPr>
          <w:sz w:val="20"/>
        </w:rPr>
        <w:t>In</w:t>
      </w:r>
      <w:r>
        <w:rPr>
          <w:spacing w:val="-21"/>
          <w:sz w:val="20"/>
        </w:rPr>
        <w:t> </w:t>
      </w:r>
      <w:r>
        <w:rPr>
          <w:sz w:val="20"/>
        </w:rPr>
        <w:t>addition</w:t>
      </w:r>
      <w:r>
        <w:rPr>
          <w:spacing w:val="-21"/>
          <w:sz w:val="20"/>
        </w:rPr>
        <w:t> </w:t>
      </w:r>
      <w:r>
        <w:rPr>
          <w:sz w:val="20"/>
        </w:rPr>
        <w:t>to</w:t>
      </w:r>
      <w:r>
        <w:rPr>
          <w:spacing w:val="-21"/>
          <w:sz w:val="20"/>
        </w:rPr>
        <w:t> </w:t>
      </w:r>
      <w:r>
        <w:rPr>
          <w:sz w:val="20"/>
        </w:rPr>
        <w:t>our</w:t>
      </w:r>
      <w:r>
        <w:rPr>
          <w:spacing w:val="-21"/>
          <w:sz w:val="20"/>
        </w:rPr>
        <w:t> </w:t>
      </w:r>
      <w:r>
        <w:rPr>
          <w:sz w:val="20"/>
        </w:rPr>
        <w:t>primary</w:t>
      </w:r>
      <w:r>
        <w:rPr>
          <w:spacing w:val="-21"/>
          <w:sz w:val="20"/>
        </w:rPr>
        <w:t> </w:t>
      </w:r>
      <w:r>
        <w:rPr>
          <w:sz w:val="20"/>
        </w:rPr>
        <w:t>year- specific</w:t>
      </w:r>
      <w:r>
        <w:rPr>
          <w:spacing w:val="-30"/>
          <w:sz w:val="20"/>
        </w:rPr>
        <w:t> </w:t>
      </w:r>
      <w:r>
        <w:rPr>
          <w:sz w:val="20"/>
        </w:rPr>
        <w:t>conservatism</w:t>
      </w:r>
      <w:r>
        <w:rPr>
          <w:spacing w:val="-30"/>
          <w:sz w:val="20"/>
        </w:rPr>
        <w:t> </w:t>
      </w:r>
      <w:r>
        <w:rPr>
          <w:sz w:val="20"/>
        </w:rPr>
        <w:t>measure,</w:t>
      </w:r>
      <w:r>
        <w:rPr>
          <w:spacing w:val="-30"/>
          <w:sz w:val="20"/>
        </w:rPr>
        <w:t> </w:t>
      </w:r>
      <w:r>
        <w:rPr>
          <w:sz w:val="20"/>
        </w:rPr>
        <w:t>we</w:t>
      </w:r>
      <w:r>
        <w:rPr>
          <w:spacing w:val="-30"/>
          <w:sz w:val="20"/>
        </w:rPr>
        <w:t> </w:t>
      </w:r>
      <w:r>
        <w:rPr>
          <w:sz w:val="20"/>
        </w:rPr>
        <w:t>estimate</w:t>
      </w:r>
      <w:r>
        <w:rPr>
          <w:spacing w:val="-30"/>
          <w:sz w:val="20"/>
        </w:rPr>
        <w:t> </w:t>
      </w:r>
      <w:r>
        <w:rPr>
          <w:sz w:val="20"/>
        </w:rPr>
        <w:t>cross-sectional</w:t>
      </w:r>
      <w:r>
        <w:rPr>
          <w:spacing w:val="-30"/>
          <w:sz w:val="20"/>
        </w:rPr>
        <w:t> </w:t>
      </w:r>
      <w:r>
        <w:rPr>
          <w:sz w:val="20"/>
        </w:rPr>
        <w:t>conditional</w:t>
      </w:r>
      <w:r>
        <w:rPr>
          <w:spacing w:val="-30"/>
          <w:sz w:val="20"/>
        </w:rPr>
        <w:t> </w:t>
      </w:r>
      <w:r>
        <w:rPr>
          <w:sz w:val="20"/>
        </w:rPr>
        <w:t>con- servatism</w:t>
      </w:r>
      <w:r>
        <w:rPr>
          <w:spacing w:val="-6"/>
          <w:sz w:val="20"/>
        </w:rPr>
        <w:t> </w:t>
      </w:r>
      <w:r>
        <w:rPr>
          <w:sz w:val="20"/>
        </w:rPr>
        <w:t>(asymmetric</w:t>
      </w:r>
      <w:r>
        <w:rPr>
          <w:spacing w:val="-5"/>
          <w:sz w:val="20"/>
        </w:rPr>
        <w:t> </w:t>
      </w:r>
      <w:r>
        <w:rPr>
          <w:sz w:val="20"/>
        </w:rPr>
        <w:t>timeliness)</w:t>
      </w:r>
      <w:r>
        <w:rPr>
          <w:spacing w:val="-5"/>
          <w:sz w:val="20"/>
        </w:rPr>
        <w:t> </w:t>
      </w:r>
      <w:r>
        <w:rPr>
          <w:sz w:val="20"/>
        </w:rPr>
        <w:t>models</w:t>
      </w:r>
      <w:r>
        <w:rPr>
          <w:spacing w:val="-5"/>
          <w:sz w:val="20"/>
        </w:rPr>
        <w:t> </w:t>
      </w:r>
      <w:r>
        <w:rPr>
          <w:sz w:val="20"/>
        </w:rPr>
        <w:t>modified</w:t>
      </w:r>
      <w:r>
        <w:rPr>
          <w:spacing w:val="-5"/>
          <w:sz w:val="20"/>
        </w:rPr>
        <w:t> </w:t>
      </w:r>
      <w:r>
        <w:rPr>
          <w:sz w:val="20"/>
        </w:rPr>
        <w:t>to</w:t>
      </w:r>
      <w:r>
        <w:rPr>
          <w:spacing w:val="-5"/>
          <w:sz w:val="20"/>
        </w:rPr>
        <w:t> </w:t>
      </w:r>
      <w:r>
        <w:rPr>
          <w:sz w:val="20"/>
        </w:rPr>
        <w:t>capture</w:t>
      </w:r>
      <w:r>
        <w:rPr>
          <w:spacing w:val="-5"/>
          <w:sz w:val="20"/>
        </w:rPr>
        <w:t> </w:t>
      </w:r>
      <w:r>
        <w:rPr>
          <w:sz w:val="20"/>
        </w:rPr>
        <w:t>the</w:t>
      </w:r>
      <w:r>
        <w:rPr>
          <w:spacing w:val="-5"/>
          <w:sz w:val="20"/>
        </w:rPr>
        <w:t> </w:t>
      </w:r>
      <w:r>
        <w:rPr>
          <w:sz w:val="20"/>
        </w:rPr>
        <w:t>effects of</w:t>
      </w:r>
      <w:r>
        <w:rPr>
          <w:spacing w:val="-12"/>
          <w:sz w:val="20"/>
        </w:rPr>
        <w:t> </w:t>
      </w:r>
      <w:r>
        <w:rPr>
          <w:sz w:val="20"/>
        </w:rPr>
        <w:t>the</w:t>
      </w:r>
      <w:r>
        <w:rPr>
          <w:spacing w:val="-12"/>
          <w:sz w:val="20"/>
        </w:rPr>
        <w:t> </w:t>
      </w:r>
      <w:r>
        <w:rPr>
          <w:sz w:val="20"/>
        </w:rPr>
        <w:t>court</w:t>
      </w:r>
      <w:r>
        <w:rPr>
          <w:spacing w:val="-12"/>
          <w:sz w:val="20"/>
        </w:rPr>
        <w:t> </w:t>
      </w:r>
      <w:r>
        <w:rPr>
          <w:sz w:val="20"/>
        </w:rPr>
        <w:t>ruling</w:t>
      </w:r>
      <w:r>
        <w:rPr>
          <w:spacing w:val="-12"/>
          <w:sz w:val="20"/>
        </w:rPr>
        <w:t> </w:t>
      </w:r>
      <w:r>
        <w:rPr>
          <w:sz w:val="20"/>
        </w:rPr>
        <w:t>on</w:t>
      </w:r>
      <w:r>
        <w:rPr>
          <w:spacing w:val="-12"/>
          <w:sz w:val="20"/>
        </w:rPr>
        <w:t> </w:t>
      </w:r>
      <w:r>
        <w:rPr>
          <w:sz w:val="20"/>
        </w:rPr>
        <w:t>near</w:t>
      </w:r>
      <w:r>
        <w:rPr>
          <w:spacing w:val="-12"/>
          <w:sz w:val="20"/>
        </w:rPr>
        <w:t> </w:t>
      </w:r>
      <w:r>
        <w:rPr>
          <w:sz w:val="20"/>
        </w:rPr>
        <w:t>insolvent</w:t>
      </w:r>
      <w:r>
        <w:rPr>
          <w:spacing w:val="-12"/>
          <w:sz w:val="20"/>
        </w:rPr>
        <w:t> </w:t>
      </w:r>
      <w:r>
        <w:rPr>
          <w:sz w:val="20"/>
        </w:rPr>
        <w:t>Delaware</w:t>
      </w:r>
      <w:r>
        <w:rPr>
          <w:spacing w:val="-12"/>
          <w:sz w:val="20"/>
        </w:rPr>
        <w:t> </w:t>
      </w:r>
      <w:r>
        <w:rPr>
          <w:sz w:val="20"/>
        </w:rPr>
        <w:t>firms.</w:t>
      </w:r>
      <w:r>
        <w:rPr>
          <w:spacing w:val="-12"/>
          <w:sz w:val="20"/>
        </w:rPr>
        <w:t> </w:t>
      </w:r>
      <w:r>
        <w:rPr>
          <w:sz w:val="20"/>
        </w:rPr>
        <w:t>First,</w:t>
      </w:r>
      <w:r>
        <w:rPr>
          <w:spacing w:val="-12"/>
          <w:sz w:val="20"/>
        </w:rPr>
        <w:t> </w:t>
      </w:r>
      <w:r>
        <w:rPr>
          <w:sz w:val="20"/>
        </w:rPr>
        <w:t>we</w:t>
      </w:r>
      <w:r>
        <w:rPr>
          <w:spacing w:val="-12"/>
          <w:sz w:val="20"/>
        </w:rPr>
        <w:t> </w:t>
      </w:r>
      <w:r>
        <w:rPr>
          <w:sz w:val="20"/>
        </w:rPr>
        <w:t>estimate</w:t>
      </w:r>
      <w:r>
        <w:rPr>
          <w:spacing w:val="-12"/>
          <w:sz w:val="20"/>
        </w:rPr>
        <w:t> </w:t>
      </w:r>
      <w:r>
        <w:rPr>
          <w:sz w:val="20"/>
        </w:rPr>
        <w:t>the following regression based on Basu [1997] asymmetric timeliness of</w:t>
      </w:r>
      <w:r>
        <w:rPr>
          <w:spacing w:val="-31"/>
          <w:sz w:val="20"/>
        </w:rPr>
        <w:t> </w:t>
      </w:r>
      <w:r>
        <w:rPr>
          <w:sz w:val="20"/>
        </w:rPr>
        <w:t>earn- ings model</w:t>
      </w:r>
      <w:r>
        <w:rPr>
          <w:color w:val="231F20"/>
          <w:position w:val="7"/>
          <w:sz w:val="14"/>
        </w:rPr>
        <w:t>23</w:t>
      </w:r>
      <w:r>
        <w:rPr>
          <w:sz w:val="20"/>
        </w:rPr>
        <w:t>:</w:t>
      </w:r>
    </w:p>
    <w:p>
      <w:pPr>
        <w:spacing w:before="117"/>
        <w:ind w:left="213" w:right="0" w:firstLine="0"/>
        <w:jc w:val="both"/>
        <w:rPr>
          <w:i/>
          <w:sz w:val="18"/>
        </w:rPr>
      </w:pPr>
      <w:r>
        <w:rPr>
          <w:i/>
          <w:sz w:val="18"/>
        </w:rPr>
        <w:t>X</w:t>
      </w:r>
      <w:r>
        <w:rPr>
          <w:rFonts w:ascii="Verdana" w:hAnsi="Verdana"/>
          <w:i/>
          <w:sz w:val="18"/>
        </w:rPr>
        <w:t>/</w:t>
      </w:r>
      <w:r>
        <w:rPr>
          <w:i/>
          <w:sz w:val="18"/>
        </w:rPr>
        <w:t>P </w:t>
      </w:r>
      <w:r>
        <w:rPr>
          <w:rFonts w:ascii="Lucida Sans Unicode" w:hAnsi="Lucida Sans Unicode"/>
          <w:sz w:val="18"/>
        </w:rPr>
        <w:t>= </w:t>
      </w:r>
      <w:r>
        <w:rPr>
          <w:rFonts w:ascii="Verdana" w:hAnsi="Verdana"/>
          <w:i/>
          <w:sz w:val="18"/>
        </w:rPr>
        <w:t>β</w:t>
      </w:r>
      <w:r>
        <w:rPr>
          <w:i/>
          <w:color w:val="231F20"/>
          <w:sz w:val="18"/>
          <w:vertAlign w:val="subscript"/>
        </w:rPr>
        <w:t>0</w:t>
      </w:r>
      <w:r>
        <w:rPr>
          <w:i/>
          <w:color w:val="231F20"/>
          <w:sz w:val="18"/>
          <w:vertAlign w:val="baseline"/>
        </w:rPr>
        <w: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4</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5</w:t>
      </w:r>
      <w:r>
        <w:rPr>
          <w:i/>
          <w:sz w:val="18"/>
          <w:vertAlign w:val="baseline"/>
        </w:rPr>
        <w:t>POST </w:t>
      </w:r>
      <w:r>
        <w:rPr>
          <w:rFonts w:ascii="Lucida Sans Unicode" w:hAnsi="Lucida Sans Unicode"/>
          <w:sz w:val="18"/>
          <w:vertAlign w:val="baseline"/>
        </w:rPr>
        <w:t>× </w:t>
      </w:r>
      <w:r>
        <w:rPr>
          <w:i/>
          <w:sz w:val="18"/>
          <w:vertAlign w:val="baseline"/>
        </w:rPr>
        <w:t>RET</w:t>
      </w:r>
    </w:p>
    <w:p>
      <w:pPr>
        <w:spacing w:before="63"/>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6</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7</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8</w:t>
      </w:r>
      <w:r>
        <w:rPr>
          <w:i/>
          <w:sz w:val="18"/>
          <w:vertAlign w:val="baseline"/>
        </w:rPr>
        <w:t>HEDF93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9</w:t>
      </w:r>
      <w:r>
        <w:rPr>
          <w:i/>
          <w:sz w:val="18"/>
          <w:vertAlign w:val="baseline"/>
        </w:rPr>
        <w:t>HEDF93</w:t>
      </w:r>
    </w:p>
    <w:p>
      <w:pPr>
        <w:spacing w:before="62"/>
        <w:ind w:left="810" w:right="0" w:firstLine="0"/>
        <w:jc w:val="left"/>
        <w:rPr>
          <w:i/>
          <w:sz w:val="18"/>
        </w:rPr>
      </w:pPr>
      <w:r>
        <w:rPr>
          <w:rFonts w:ascii="Lucida Sans Unicode" w:hAnsi="Lucida Sans Unicode"/>
          <w:sz w:val="18"/>
        </w:rPr>
        <w:t>× </w:t>
      </w:r>
      <w:r>
        <w:rPr>
          <w:i/>
          <w:sz w:val="18"/>
        </w:rPr>
        <w:t>RET </w:t>
      </w:r>
      <w:r>
        <w:rPr>
          <w:rFonts w:ascii="Lucida Sans Unicode" w:hAnsi="Lucida Sans Unicode"/>
          <w:sz w:val="18"/>
        </w:rPr>
        <w:t>+ </w:t>
      </w:r>
      <w:r>
        <w:rPr>
          <w:rFonts w:ascii="Verdana" w:hAnsi="Verdana"/>
          <w:i/>
          <w:sz w:val="18"/>
        </w:rPr>
        <w:t>β</w:t>
      </w:r>
      <w:r>
        <w:rPr>
          <w:i/>
          <w:color w:val="231F20"/>
          <w:sz w:val="18"/>
          <w:vertAlign w:val="subscript"/>
        </w:rPr>
        <w:t>10</w:t>
      </w:r>
      <w:r>
        <w:rPr>
          <w:i/>
          <w:sz w:val="18"/>
          <w:vertAlign w:val="baseline"/>
        </w:rPr>
        <w:t>HEDF93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11</w:t>
      </w:r>
      <w:r>
        <w:rPr>
          <w:i/>
          <w:sz w:val="18"/>
          <w:vertAlign w:val="baseline"/>
        </w:rPr>
        <w:t>HEDF93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12</w:t>
      </w:r>
      <w:r>
        <w:rPr>
          <w:i/>
          <w:sz w:val="18"/>
          <w:vertAlign w:val="baseline"/>
        </w:rPr>
        <w:t>HEDF93</w:t>
      </w:r>
    </w:p>
    <w:p>
      <w:pPr>
        <w:spacing w:before="62"/>
        <w:ind w:left="810" w:right="0" w:firstLine="0"/>
        <w:jc w:val="left"/>
        <w:rPr>
          <w:i/>
          <w:sz w:val="18"/>
        </w:rPr>
      </w:pPr>
      <w:r>
        <w:rPr>
          <w:rFonts w:ascii="Lucida Sans Unicode" w:hAnsi="Lucida Sans Unicode"/>
          <w:sz w:val="18"/>
        </w:rPr>
        <w:t>× </w:t>
      </w:r>
      <w:r>
        <w:rPr>
          <w:i/>
          <w:sz w:val="18"/>
        </w:rPr>
        <w:t>POST </w:t>
      </w:r>
      <w:r>
        <w:rPr>
          <w:rFonts w:ascii="Lucida Sans Unicode" w:hAnsi="Lucida Sans Unicode"/>
          <w:sz w:val="18"/>
        </w:rPr>
        <w:t>+ </w:t>
      </w:r>
      <w:r>
        <w:rPr>
          <w:rFonts w:ascii="Verdana" w:hAnsi="Verdana"/>
          <w:i/>
          <w:sz w:val="18"/>
        </w:rPr>
        <w:t>β</w:t>
      </w:r>
      <w:r>
        <w:rPr>
          <w:i/>
          <w:color w:val="231F20"/>
          <w:sz w:val="18"/>
          <w:vertAlign w:val="subscript"/>
        </w:rPr>
        <w:t>13</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14</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15</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sz w:val="18"/>
          <w:vertAlign w:val="baseline"/>
        </w:rPr>
        <w:t>]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16</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17</w:t>
      </w:r>
      <w:r>
        <w:rPr>
          <w:i/>
          <w:sz w:val="18"/>
          <w:vertAlign w:val="baseline"/>
        </w:rPr>
        <w:t>DEL </w:t>
      </w:r>
      <w:r>
        <w:rPr>
          <w:rFonts w:ascii="Lucida Sans Unicode" w:hAnsi="Lucida Sans Unicode"/>
          <w:sz w:val="18"/>
          <w:vertAlign w:val="baseline"/>
        </w:rPr>
        <w:t>× </w:t>
      </w:r>
      <w:r>
        <w:rPr>
          <w:i/>
          <w:sz w:val="18"/>
          <w:vertAlign w:val="baseline"/>
        </w:rPr>
        <w:t>RET</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18</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19</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20</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21</w:t>
      </w:r>
      <w:r>
        <w:rPr>
          <w:i/>
          <w:sz w:val="18"/>
          <w:vertAlign w:val="baseline"/>
        </w:rPr>
        <w:t>DEL</w:t>
      </w:r>
    </w:p>
    <w:p>
      <w:pPr>
        <w:spacing w:before="62"/>
        <w:ind w:left="810" w:right="0" w:firstLine="0"/>
        <w:jc w:val="left"/>
        <w:rPr>
          <w:sz w:val="18"/>
        </w:rPr>
      </w:pPr>
      <w:r>
        <w:rPr>
          <w:rFonts w:ascii="Lucida Sans Unicode" w:hAnsi="Lucida Sans Unicode"/>
          <w:sz w:val="18"/>
        </w:rPr>
        <w:t>× </w:t>
      </w:r>
      <w:r>
        <w:rPr>
          <w:i/>
          <w:sz w:val="18"/>
        </w:rPr>
        <w:t>POST </w:t>
      </w:r>
      <w:r>
        <w:rPr>
          <w:rFonts w:ascii="Lucida Sans Unicode" w:hAnsi="Lucida Sans Unicode"/>
          <w:sz w:val="18"/>
        </w:rPr>
        <w:t>× </w:t>
      </w:r>
      <w:r>
        <w:rPr>
          <w:i/>
          <w:sz w:val="18"/>
        </w:rPr>
        <w:t>RET </w:t>
      </w:r>
      <w:r>
        <w:rPr>
          <w:rFonts w:ascii="Lucida Sans Unicode" w:hAnsi="Lucida Sans Unicode"/>
          <w:sz w:val="18"/>
        </w:rPr>
        <w:t>+ </w:t>
      </w:r>
      <w:r>
        <w:rPr>
          <w:rFonts w:ascii="Verdana" w:hAnsi="Verdana"/>
          <w:i/>
          <w:sz w:val="18"/>
        </w:rPr>
        <w:t>β</w:t>
      </w:r>
      <w:r>
        <w:rPr>
          <w:i/>
          <w:color w:val="231F20"/>
          <w:sz w:val="18"/>
          <w:vertAlign w:val="subscript"/>
        </w:rPr>
        <w:t>22</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23</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w w:val="110"/>
          <w:sz w:val="18"/>
          <w:vertAlign w:val="baseline"/>
        </w:rPr>
        <w:t>] (3)</w:t>
      </w:r>
    </w:p>
    <w:p>
      <w:pPr>
        <w:spacing w:before="62"/>
        <w:ind w:left="810" w:right="0" w:firstLine="0"/>
        <w:jc w:val="left"/>
        <w:rPr>
          <w:i/>
          <w:sz w:val="18"/>
        </w:rPr>
      </w:pPr>
      <w:r>
        <w:rPr>
          <w:rFonts w:ascii="Lucida Sans Unicode" w:hAnsi="Lucida Sans Unicode"/>
          <w:sz w:val="18"/>
        </w:rPr>
        <w:t>+ </w:t>
      </w:r>
      <w:r>
        <w:rPr>
          <w:sz w:val="18"/>
        </w:rPr>
        <w:t>[</w:t>
      </w:r>
      <w:r>
        <w:rPr>
          <w:rFonts w:ascii="Verdana" w:hAnsi="Verdana"/>
          <w:i/>
          <w:sz w:val="18"/>
        </w:rPr>
        <w:t>β</w:t>
      </w:r>
      <w:r>
        <w:rPr>
          <w:i/>
          <w:color w:val="231F20"/>
          <w:sz w:val="18"/>
          <w:vertAlign w:val="subscript"/>
        </w:rPr>
        <w:t>24</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25</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26</w:t>
      </w:r>
      <w:r>
        <w:rPr>
          <w:i/>
          <w:sz w:val="18"/>
          <w:vertAlign w:val="baseline"/>
        </w:rPr>
        <w:t>HEDF93</w:t>
      </w:r>
    </w:p>
    <w:p>
      <w:pPr>
        <w:spacing w:before="63"/>
        <w:ind w:left="810" w:right="0" w:firstLine="0"/>
        <w:jc w:val="left"/>
        <w:rPr>
          <w:i/>
          <w:sz w:val="18"/>
        </w:rPr>
      </w:pPr>
      <w:r>
        <w:rPr>
          <w:rFonts w:ascii="Lucida Sans Unicode" w:hAnsi="Lucida Sans Unicode"/>
          <w:sz w:val="18"/>
        </w:rPr>
        <w:t>× </w:t>
      </w:r>
      <w:r>
        <w:rPr>
          <w:i/>
          <w:sz w:val="18"/>
        </w:rPr>
        <w:t>DEL </w:t>
      </w:r>
      <w:r>
        <w:rPr>
          <w:rFonts w:ascii="Lucida Sans Unicode" w:hAnsi="Lucida Sans Unicode"/>
          <w:sz w:val="18"/>
        </w:rPr>
        <w:t>× </w:t>
      </w:r>
      <w:r>
        <w:rPr>
          <w:i/>
          <w:sz w:val="18"/>
        </w:rPr>
        <w:t>D </w:t>
      </w:r>
      <w:r>
        <w:rPr>
          <w:rFonts w:ascii="Lucida Sans Unicode" w:hAnsi="Lucida Sans Unicode"/>
          <w:sz w:val="18"/>
        </w:rPr>
        <w:t>+ </w:t>
      </w:r>
      <w:r>
        <w:rPr>
          <w:rFonts w:ascii="Verdana" w:hAnsi="Verdana"/>
          <w:i/>
          <w:sz w:val="18"/>
        </w:rPr>
        <w:t>β</w:t>
      </w:r>
      <w:r>
        <w:rPr>
          <w:i/>
          <w:color w:val="231F20"/>
          <w:sz w:val="18"/>
          <w:vertAlign w:val="subscript"/>
        </w:rPr>
        <w:t>27</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28</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29</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RET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30</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w:t>
      </w:r>
    </w:p>
    <w:p>
      <w:pPr>
        <w:spacing w:before="62"/>
        <w:ind w:left="810"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31</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 </w:t>
      </w:r>
      <w:r>
        <w:rPr>
          <w:rFonts w:ascii="Lucida Sans Unicode" w:hAnsi="Lucida Sans Unicode"/>
          <w:sz w:val="18"/>
          <w:vertAlign w:val="baseline"/>
        </w:rPr>
        <w:t>× </w:t>
      </w:r>
      <w:r>
        <w:rPr>
          <w:i/>
          <w:sz w:val="18"/>
          <w:vertAlign w:val="baseline"/>
        </w:rPr>
        <w:t>RET </w:t>
      </w:r>
      <w:r>
        <w:rPr>
          <w:sz w:val="18"/>
          <w:vertAlign w:val="baseline"/>
        </w:rPr>
        <w:t>] </w:t>
      </w:r>
      <w:r>
        <w:rPr>
          <w:rFonts w:ascii="Lucida Sans Unicode" w:hAnsi="Lucida Sans Unicode"/>
          <w:sz w:val="18"/>
          <w:vertAlign w:val="baseline"/>
        </w:rPr>
        <w:t>+ </w:t>
      </w:r>
      <w:r>
        <w:rPr>
          <w:i/>
          <w:sz w:val="18"/>
          <w:vertAlign w:val="baseline"/>
        </w:rPr>
        <w:t>Control Variables</w:t>
      </w:r>
    </w:p>
    <w:p>
      <w:pPr>
        <w:spacing w:before="62"/>
        <w:ind w:left="810" w:right="0" w:firstLine="0"/>
        <w:jc w:val="left"/>
        <w:rPr>
          <w:i/>
          <w:sz w:val="18"/>
        </w:rPr>
      </w:pPr>
      <w:r>
        <w:rPr>
          <w:rFonts w:ascii="Lucida Sans Unicode" w:hAnsi="Lucida Sans Unicode"/>
          <w:sz w:val="18"/>
        </w:rPr>
        <w:t>+ </w:t>
      </w:r>
      <w:r>
        <w:rPr>
          <w:i/>
          <w:sz w:val="18"/>
        </w:rPr>
        <w:t>Control Variables </w:t>
      </w:r>
      <w:r>
        <w:rPr>
          <w:rFonts w:ascii="Lucida Sans Unicode" w:hAnsi="Lucida Sans Unicode"/>
          <w:sz w:val="18"/>
        </w:rPr>
        <w:t>× </w:t>
      </w:r>
      <w:r>
        <w:rPr>
          <w:i/>
          <w:sz w:val="18"/>
        </w:rPr>
        <w:t>RET </w:t>
      </w:r>
      <w:r>
        <w:rPr>
          <w:rFonts w:ascii="Lucida Sans Unicode" w:hAnsi="Lucida Sans Unicode"/>
          <w:sz w:val="18"/>
        </w:rPr>
        <w:t>+ </w:t>
      </w:r>
      <w:r>
        <w:rPr>
          <w:i/>
          <w:sz w:val="18"/>
        </w:rPr>
        <w:t>Control Variables </w:t>
      </w:r>
      <w:r>
        <w:rPr>
          <w:rFonts w:ascii="Lucida Sans Unicode" w:hAnsi="Lucida Sans Unicode"/>
          <w:sz w:val="18"/>
        </w:rPr>
        <w:t>× </w:t>
      </w:r>
      <w:r>
        <w:rPr>
          <w:i/>
          <w:sz w:val="18"/>
        </w:rPr>
        <w:t>D </w:t>
      </w:r>
      <w:r>
        <w:rPr>
          <w:rFonts w:ascii="Lucida Sans Unicode" w:hAnsi="Lucida Sans Unicode"/>
          <w:sz w:val="18"/>
        </w:rPr>
        <w:t>+ </w:t>
      </w:r>
      <w:r>
        <w:rPr>
          <w:i/>
          <w:sz w:val="18"/>
        </w:rPr>
        <w:t>Control Variables </w:t>
      </w:r>
      <w:r>
        <w:rPr>
          <w:rFonts w:ascii="Lucida Sans Unicode" w:hAnsi="Lucida Sans Unicode"/>
          <w:sz w:val="18"/>
        </w:rPr>
        <w:t>× </w:t>
      </w:r>
      <w:r>
        <w:rPr>
          <w:i/>
          <w:sz w:val="18"/>
        </w:rPr>
        <w:t>D</w:t>
      </w:r>
    </w:p>
    <w:p>
      <w:pPr>
        <w:spacing w:before="62"/>
        <w:ind w:left="810" w:right="0" w:firstLine="0"/>
        <w:jc w:val="left"/>
        <w:rPr>
          <w:rFonts w:ascii="Verdana" w:hAnsi="Verdana"/>
          <w:i/>
          <w:sz w:val="18"/>
        </w:rPr>
      </w:pPr>
      <w:r>
        <w:rPr>
          <w:rFonts w:ascii="Lucida Sans Unicode" w:hAnsi="Lucida Sans Unicode"/>
          <w:sz w:val="18"/>
        </w:rPr>
        <w:t>×</w:t>
      </w:r>
      <w:r>
        <w:rPr>
          <w:i/>
          <w:sz w:val="18"/>
        </w:rPr>
        <w:t>RET </w:t>
      </w:r>
      <w:r>
        <w:rPr>
          <w:rFonts w:ascii="Lucida Sans Unicode" w:hAnsi="Lucida Sans Unicode"/>
          <w:sz w:val="18"/>
        </w:rPr>
        <w:t>+ </w:t>
      </w:r>
      <w:r>
        <w:rPr>
          <w:i/>
          <w:sz w:val="18"/>
        </w:rPr>
        <w:t>Industry Dummies </w:t>
      </w:r>
      <w:r>
        <w:rPr>
          <w:rFonts w:ascii="Lucida Sans Unicode" w:hAnsi="Lucida Sans Unicode"/>
          <w:sz w:val="18"/>
        </w:rPr>
        <w:t>+ </w:t>
      </w:r>
      <w:r>
        <w:rPr>
          <w:i/>
          <w:sz w:val="18"/>
        </w:rPr>
        <w:t>Year Dummies </w:t>
      </w:r>
      <w:r>
        <w:rPr>
          <w:rFonts w:ascii="Lucida Sans Unicode" w:hAnsi="Lucida Sans Unicode"/>
          <w:sz w:val="18"/>
        </w:rPr>
        <w:t>+ </w:t>
      </w:r>
      <w:r>
        <w:rPr>
          <w:i/>
          <w:sz w:val="18"/>
        </w:rPr>
        <w:t>e </w:t>
      </w:r>
      <w:r>
        <w:rPr>
          <w:rFonts w:ascii="Verdana" w:hAnsi="Verdana"/>
          <w:i/>
          <w:sz w:val="18"/>
        </w:rPr>
        <w:t>,</w:t>
      </w:r>
    </w:p>
    <w:p>
      <w:pPr>
        <w:pStyle w:val="BodyText"/>
        <w:spacing w:line="230" w:lineRule="auto" w:before="97"/>
        <w:ind w:left="162" w:right="519"/>
        <w:jc w:val="both"/>
      </w:pPr>
      <w:r>
        <w:rPr/>
        <w:t>where </w:t>
      </w:r>
      <w:r>
        <w:rPr>
          <w:i/>
        </w:rPr>
        <w:t>X/P </w:t>
      </w:r>
      <w:r>
        <w:rPr/>
        <w:t>is a firm’s earnings per share deflated by the beginning of the year</w:t>
      </w:r>
      <w:r>
        <w:rPr>
          <w:spacing w:val="-13"/>
        </w:rPr>
        <w:t> </w:t>
      </w:r>
      <w:r>
        <w:rPr/>
        <w:t>price,</w:t>
      </w:r>
      <w:r>
        <w:rPr>
          <w:spacing w:val="-13"/>
        </w:rPr>
        <w:t> </w:t>
      </w:r>
      <w:r>
        <w:rPr>
          <w:i/>
        </w:rPr>
        <w:t>RET</w:t>
      </w:r>
      <w:r>
        <w:rPr>
          <w:i/>
          <w:spacing w:val="-13"/>
        </w:rPr>
        <w:t> </w:t>
      </w:r>
      <w:r>
        <w:rPr/>
        <w:t>is</w:t>
      </w:r>
      <w:r>
        <w:rPr>
          <w:spacing w:val="-13"/>
        </w:rPr>
        <w:t> </w:t>
      </w:r>
      <w:r>
        <w:rPr/>
        <w:t>a</w:t>
      </w:r>
      <w:r>
        <w:rPr>
          <w:spacing w:val="-13"/>
        </w:rPr>
        <w:t> </w:t>
      </w:r>
      <w:r>
        <w:rPr/>
        <w:t>firm’s</w:t>
      </w:r>
      <w:r>
        <w:rPr>
          <w:spacing w:val="-13"/>
        </w:rPr>
        <w:t> </w:t>
      </w:r>
      <w:r>
        <w:rPr/>
        <w:t>buy-and-hold</w:t>
      </w:r>
      <w:r>
        <w:rPr>
          <w:spacing w:val="-13"/>
        </w:rPr>
        <w:t> </w:t>
      </w:r>
      <w:r>
        <w:rPr/>
        <w:t>annual</w:t>
      </w:r>
      <w:r>
        <w:rPr>
          <w:spacing w:val="-13"/>
        </w:rPr>
        <w:t> </w:t>
      </w:r>
      <w:r>
        <w:rPr/>
        <w:t>stock</w:t>
      </w:r>
      <w:r>
        <w:rPr>
          <w:spacing w:val="-13"/>
        </w:rPr>
        <w:t> </w:t>
      </w:r>
      <w:r>
        <w:rPr/>
        <w:t>return,</w:t>
      </w:r>
      <w:r>
        <w:rPr>
          <w:spacing w:val="-13"/>
        </w:rPr>
        <w:t> </w:t>
      </w:r>
      <w:r>
        <w:rPr/>
        <w:t>and</w:t>
      </w:r>
      <w:r>
        <w:rPr>
          <w:spacing w:val="-12"/>
        </w:rPr>
        <w:t> </w:t>
      </w:r>
      <w:r>
        <w:rPr>
          <w:i/>
        </w:rPr>
        <w:t>D</w:t>
      </w:r>
      <w:r>
        <w:rPr>
          <w:i/>
          <w:spacing w:val="-13"/>
        </w:rPr>
        <w:t> </w:t>
      </w:r>
      <w:r>
        <w:rPr/>
        <w:t>is</w:t>
      </w:r>
      <w:r>
        <w:rPr>
          <w:spacing w:val="-13"/>
        </w:rPr>
        <w:t> </w:t>
      </w:r>
      <w:r>
        <w:rPr/>
        <w:t>a</w:t>
      </w:r>
      <w:r>
        <w:rPr>
          <w:spacing w:val="-13"/>
        </w:rPr>
        <w:t> </w:t>
      </w:r>
      <w:r>
        <w:rPr/>
        <w:t>di- chotomous variable equal to one if </w:t>
      </w:r>
      <w:r>
        <w:rPr>
          <w:i/>
        </w:rPr>
        <w:t>RET </w:t>
      </w:r>
      <w:r>
        <w:rPr/>
        <w:t>is negative and zero otherwise. In</w:t>
      </w:r>
      <w:r>
        <w:rPr>
          <w:spacing w:val="31"/>
        </w:rPr>
        <w:t> </w:t>
      </w:r>
      <w:r>
        <w:rPr/>
        <w:t>addition</w:t>
      </w:r>
      <w:r>
        <w:rPr>
          <w:spacing w:val="31"/>
        </w:rPr>
        <w:t> </w:t>
      </w:r>
      <w:r>
        <w:rPr/>
        <w:t>to</w:t>
      </w:r>
      <w:r>
        <w:rPr>
          <w:spacing w:val="31"/>
        </w:rPr>
        <w:t> </w:t>
      </w:r>
      <w:r>
        <w:rPr/>
        <w:t>the</w:t>
      </w:r>
      <w:r>
        <w:rPr>
          <w:spacing w:val="31"/>
        </w:rPr>
        <w:t> </w:t>
      </w:r>
      <w:r>
        <w:rPr/>
        <w:t>six</w:t>
      </w:r>
      <w:r>
        <w:rPr>
          <w:spacing w:val="31"/>
        </w:rPr>
        <w:t> </w:t>
      </w:r>
      <w:r>
        <w:rPr/>
        <w:t>control</w:t>
      </w:r>
      <w:r>
        <w:rPr>
          <w:spacing w:val="31"/>
        </w:rPr>
        <w:t> </w:t>
      </w:r>
      <w:r>
        <w:rPr/>
        <w:t>variables</w:t>
      </w:r>
      <w:r>
        <w:rPr>
          <w:spacing w:val="31"/>
        </w:rPr>
        <w:t> </w:t>
      </w:r>
      <w:r>
        <w:rPr/>
        <w:t>used</w:t>
      </w:r>
      <w:r>
        <w:rPr>
          <w:spacing w:val="31"/>
        </w:rPr>
        <w:t> </w:t>
      </w:r>
      <w:r>
        <w:rPr/>
        <w:t>in</w:t>
      </w:r>
      <w:r>
        <w:rPr>
          <w:spacing w:val="31"/>
        </w:rPr>
        <w:t> </w:t>
      </w:r>
      <w:r>
        <w:rPr/>
        <w:t>model</w:t>
      </w:r>
      <w:r>
        <w:rPr>
          <w:spacing w:val="31"/>
        </w:rPr>
        <w:t> </w:t>
      </w:r>
      <w:r>
        <w:rPr/>
        <w:t>(1),</w:t>
      </w:r>
      <w:r>
        <w:rPr>
          <w:spacing w:val="31"/>
        </w:rPr>
        <w:t> </w:t>
      </w:r>
      <w:r>
        <w:rPr/>
        <w:t>that</w:t>
      </w:r>
      <w:r>
        <w:rPr>
          <w:spacing w:val="31"/>
        </w:rPr>
        <w:t> </w:t>
      </w:r>
      <w:r>
        <w:rPr/>
        <w:t>is,</w:t>
      </w:r>
      <w:r>
        <w:rPr>
          <w:spacing w:val="31"/>
        </w:rPr>
        <w:t> </w:t>
      </w:r>
      <w:r>
        <w:rPr/>
        <w:t>size</w:t>
      </w:r>
    </w:p>
    <w:p>
      <w:pPr>
        <w:pStyle w:val="BodyText"/>
      </w:pPr>
    </w:p>
    <w:p>
      <w:pPr>
        <w:pStyle w:val="BodyText"/>
        <w:spacing w:before="1"/>
        <w:rPr>
          <w:sz w:val="10"/>
        </w:rPr>
      </w:pPr>
      <w:r>
        <w:rPr/>
        <w:pict>
          <v:line style="position:absolute;mso-position-horizontal-relative:page;mso-position-vertical-relative:paragraph;z-index:1984;mso-wrap-distance-left:0;mso-wrap-distance-right:0" from="72.125999pt,8.538314pt" to="107.999999pt,8.538314pt" stroked="true" strokeweight=".504pt" strokecolor="#000000">
            <v:stroke dashstyle="solid"/>
            <w10:wrap type="topAndBottom"/>
          </v:line>
        </w:pict>
      </w:r>
    </w:p>
    <w:p>
      <w:pPr>
        <w:spacing w:before="72"/>
        <w:ind w:left="162" w:right="519" w:firstLine="179"/>
        <w:jc w:val="both"/>
        <w:rPr>
          <w:sz w:val="16"/>
        </w:rPr>
      </w:pPr>
      <w:r>
        <w:rPr>
          <w:color w:val="231F20"/>
          <w:position w:val="6"/>
          <w:sz w:val="12"/>
        </w:rPr>
        <w:t>23</w:t>
      </w:r>
      <w:r>
        <w:rPr>
          <w:color w:val="231F20"/>
          <w:spacing w:val="-15"/>
          <w:position w:val="6"/>
          <w:sz w:val="12"/>
        </w:rPr>
        <w:t> </w:t>
      </w:r>
      <w:r>
        <w:rPr>
          <w:color w:val="231F20"/>
          <w:sz w:val="16"/>
        </w:rPr>
        <w:t>One</w:t>
      </w:r>
      <w:r>
        <w:rPr>
          <w:color w:val="231F20"/>
          <w:spacing w:val="-2"/>
          <w:sz w:val="16"/>
        </w:rPr>
        <w:t> </w:t>
      </w:r>
      <w:r>
        <w:rPr>
          <w:color w:val="231F20"/>
          <w:sz w:val="16"/>
        </w:rPr>
        <w:t>caveat</w:t>
      </w:r>
      <w:r>
        <w:rPr>
          <w:color w:val="231F20"/>
          <w:spacing w:val="-2"/>
          <w:sz w:val="16"/>
        </w:rPr>
        <w:t> </w:t>
      </w:r>
      <w:r>
        <w:rPr>
          <w:color w:val="231F20"/>
          <w:sz w:val="16"/>
        </w:rPr>
        <w:t>with</w:t>
      </w:r>
      <w:r>
        <w:rPr>
          <w:color w:val="231F20"/>
          <w:spacing w:val="-2"/>
          <w:sz w:val="16"/>
        </w:rPr>
        <w:t> </w:t>
      </w:r>
      <w:r>
        <w:rPr>
          <w:color w:val="231F20"/>
          <w:sz w:val="16"/>
        </w:rPr>
        <w:t>using</w:t>
      </w:r>
      <w:r>
        <w:rPr>
          <w:color w:val="231F20"/>
          <w:spacing w:val="-2"/>
          <w:sz w:val="16"/>
        </w:rPr>
        <w:t> </w:t>
      </w:r>
      <w:r>
        <w:rPr>
          <w:color w:val="231F20"/>
          <w:sz w:val="16"/>
        </w:rPr>
        <w:t>asymmetric</w:t>
      </w:r>
      <w:r>
        <w:rPr>
          <w:color w:val="231F20"/>
          <w:spacing w:val="-2"/>
          <w:sz w:val="16"/>
        </w:rPr>
        <w:t> </w:t>
      </w:r>
      <w:r>
        <w:rPr>
          <w:color w:val="231F20"/>
          <w:sz w:val="16"/>
        </w:rPr>
        <w:t>timeliness</w:t>
      </w:r>
      <w:r>
        <w:rPr>
          <w:color w:val="231F20"/>
          <w:spacing w:val="-2"/>
          <w:sz w:val="16"/>
        </w:rPr>
        <w:t> </w:t>
      </w:r>
      <w:r>
        <w:rPr>
          <w:color w:val="231F20"/>
          <w:sz w:val="16"/>
        </w:rPr>
        <w:t>of</w:t>
      </w:r>
      <w:r>
        <w:rPr>
          <w:color w:val="231F20"/>
          <w:spacing w:val="-2"/>
          <w:sz w:val="16"/>
        </w:rPr>
        <w:t> </w:t>
      </w:r>
      <w:r>
        <w:rPr>
          <w:color w:val="231F20"/>
          <w:sz w:val="16"/>
        </w:rPr>
        <w:t>earnings</w:t>
      </w:r>
      <w:r>
        <w:rPr>
          <w:color w:val="231F20"/>
          <w:spacing w:val="-2"/>
          <w:sz w:val="16"/>
        </w:rPr>
        <w:t> </w:t>
      </w:r>
      <w:r>
        <w:rPr>
          <w:color w:val="231F20"/>
          <w:sz w:val="16"/>
        </w:rPr>
        <w:t>as</w:t>
      </w:r>
      <w:r>
        <w:rPr>
          <w:color w:val="231F20"/>
          <w:spacing w:val="-2"/>
          <w:sz w:val="16"/>
        </w:rPr>
        <w:t> </w:t>
      </w:r>
      <w:r>
        <w:rPr>
          <w:color w:val="231F20"/>
          <w:sz w:val="16"/>
        </w:rPr>
        <w:t>a</w:t>
      </w:r>
      <w:r>
        <w:rPr>
          <w:color w:val="231F20"/>
          <w:spacing w:val="-2"/>
          <w:sz w:val="16"/>
        </w:rPr>
        <w:t> </w:t>
      </w:r>
      <w:r>
        <w:rPr>
          <w:color w:val="231F20"/>
          <w:sz w:val="16"/>
        </w:rPr>
        <w:t>conservatism</w:t>
      </w:r>
      <w:r>
        <w:rPr>
          <w:color w:val="231F20"/>
          <w:spacing w:val="-2"/>
          <w:sz w:val="16"/>
        </w:rPr>
        <w:t> </w:t>
      </w:r>
      <w:r>
        <w:rPr>
          <w:color w:val="231F20"/>
          <w:sz w:val="16"/>
        </w:rPr>
        <w:t>measure</w:t>
      </w:r>
      <w:r>
        <w:rPr>
          <w:color w:val="231F20"/>
          <w:spacing w:val="-2"/>
          <w:sz w:val="16"/>
        </w:rPr>
        <w:t> </w:t>
      </w:r>
      <w:r>
        <w:rPr>
          <w:color w:val="231F20"/>
          <w:sz w:val="16"/>
        </w:rPr>
        <w:t>in our</w:t>
      </w:r>
      <w:r>
        <w:rPr>
          <w:color w:val="231F20"/>
          <w:spacing w:val="-8"/>
          <w:sz w:val="16"/>
        </w:rPr>
        <w:t> </w:t>
      </w:r>
      <w:r>
        <w:rPr>
          <w:color w:val="231F20"/>
          <w:sz w:val="16"/>
        </w:rPr>
        <w:t>setting</w:t>
      </w:r>
      <w:r>
        <w:rPr>
          <w:color w:val="231F20"/>
          <w:spacing w:val="-7"/>
          <w:sz w:val="16"/>
        </w:rPr>
        <w:t> </w:t>
      </w:r>
      <w:r>
        <w:rPr>
          <w:color w:val="231F20"/>
          <w:sz w:val="16"/>
        </w:rPr>
        <w:t>is</w:t>
      </w:r>
      <w:r>
        <w:rPr>
          <w:color w:val="231F20"/>
          <w:spacing w:val="-7"/>
          <w:sz w:val="16"/>
        </w:rPr>
        <w:t> </w:t>
      </w:r>
      <w:r>
        <w:rPr>
          <w:color w:val="231F20"/>
          <w:sz w:val="16"/>
        </w:rPr>
        <w:t>that</w:t>
      </w:r>
      <w:r>
        <w:rPr>
          <w:color w:val="231F20"/>
          <w:spacing w:val="-7"/>
          <w:sz w:val="16"/>
        </w:rPr>
        <w:t> </w:t>
      </w:r>
      <w:r>
        <w:rPr>
          <w:color w:val="231F20"/>
          <w:sz w:val="16"/>
        </w:rPr>
        <w:t>its</w:t>
      </w:r>
      <w:r>
        <w:rPr>
          <w:color w:val="231F20"/>
          <w:spacing w:val="-7"/>
          <w:sz w:val="16"/>
        </w:rPr>
        <w:t> </w:t>
      </w:r>
      <w:r>
        <w:rPr>
          <w:color w:val="231F20"/>
          <w:sz w:val="16"/>
        </w:rPr>
        <w:t>construction</w:t>
      </w:r>
      <w:r>
        <w:rPr>
          <w:color w:val="231F20"/>
          <w:spacing w:val="-7"/>
          <w:sz w:val="16"/>
        </w:rPr>
        <w:t> </w:t>
      </w:r>
      <w:r>
        <w:rPr>
          <w:color w:val="231F20"/>
          <w:sz w:val="16"/>
        </w:rPr>
        <w:t>uses</w:t>
      </w:r>
      <w:r>
        <w:rPr>
          <w:color w:val="231F20"/>
          <w:spacing w:val="-7"/>
          <w:sz w:val="16"/>
        </w:rPr>
        <w:t> </w:t>
      </w:r>
      <w:r>
        <w:rPr>
          <w:color w:val="231F20"/>
          <w:sz w:val="16"/>
        </w:rPr>
        <w:t>market</w:t>
      </w:r>
      <w:r>
        <w:rPr>
          <w:color w:val="231F20"/>
          <w:spacing w:val="-7"/>
          <w:sz w:val="16"/>
        </w:rPr>
        <w:t> </w:t>
      </w:r>
      <w:r>
        <w:rPr>
          <w:color w:val="231F20"/>
          <w:sz w:val="16"/>
        </w:rPr>
        <w:t>returns,</w:t>
      </w:r>
      <w:r>
        <w:rPr>
          <w:color w:val="231F20"/>
          <w:spacing w:val="-7"/>
          <w:sz w:val="16"/>
        </w:rPr>
        <w:t> </w:t>
      </w:r>
      <w:r>
        <w:rPr>
          <w:color w:val="231F20"/>
          <w:sz w:val="16"/>
        </w:rPr>
        <w:t>while</w:t>
      </w:r>
      <w:r>
        <w:rPr>
          <w:color w:val="231F20"/>
          <w:spacing w:val="-7"/>
          <w:sz w:val="16"/>
        </w:rPr>
        <w:t> </w:t>
      </w:r>
      <w:r>
        <w:rPr>
          <w:color w:val="231F20"/>
          <w:sz w:val="16"/>
        </w:rPr>
        <w:t>market</w:t>
      </w:r>
      <w:r>
        <w:rPr>
          <w:color w:val="231F20"/>
          <w:spacing w:val="-7"/>
          <w:sz w:val="16"/>
        </w:rPr>
        <w:t> </w:t>
      </w:r>
      <w:r>
        <w:rPr>
          <w:color w:val="231F20"/>
          <w:sz w:val="16"/>
        </w:rPr>
        <w:t>prices</w:t>
      </w:r>
      <w:r>
        <w:rPr>
          <w:color w:val="231F20"/>
          <w:spacing w:val="-7"/>
          <w:sz w:val="16"/>
        </w:rPr>
        <w:t> </w:t>
      </w:r>
      <w:r>
        <w:rPr>
          <w:color w:val="231F20"/>
          <w:sz w:val="16"/>
        </w:rPr>
        <w:t>possibly</w:t>
      </w:r>
      <w:r>
        <w:rPr>
          <w:color w:val="231F20"/>
          <w:spacing w:val="-8"/>
          <w:sz w:val="16"/>
        </w:rPr>
        <w:t> </w:t>
      </w:r>
      <w:r>
        <w:rPr>
          <w:color w:val="231F20"/>
          <w:sz w:val="16"/>
        </w:rPr>
        <w:t>respond to</w:t>
      </w:r>
      <w:r>
        <w:rPr>
          <w:color w:val="231F20"/>
          <w:spacing w:val="-7"/>
          <w:sz w:val="16"/>
        </w:rPr>
        <w:t> </w:t>
      </w:r>
      <w:r>
        <w:rPr>
          <w:color w:val="231F20"/>
          <w:sz w:val="16"/>
        </w:rPr>
        <w:t>the</w:t>
      </w:r>
      <w:r>
        <w:rPr>
          <w:color w:val="231F20"/>
          <w:spacing w:val="-6"/>
          <w:sz w:val="16"/>
        </w:rPr>
        <w:t> </w:t>
      </w:r>
      <w:r>
        <w:rPr>
          <w:color w:val="231F20"/>
          <w:sz w:val="16"/>
        </w:rPr>
        <w:t>court</w:t>
      </w:r>
      <w:r>
        <w:rPr>
          <w:color w:val="231F20"/>
          <w:spacing w:val="-7"/>
          <w:sz w:val="16"/>
        </w:rPr>
        <w:t> </w:t>
      </w:r>
      <w:r>
        <w:rPr>
          <w:color w:val="231F20"/>
          <w:sz w:val="16"/>
        </w:rPr>
        <w:t>ruling</w:t>
      </w:r>
      <w:r>
        <w:rPr>
          <w:color w:val="231F20"/>
          <w:spacing w:val="-6"/>
          <w:sz w:val="16"/>
        </w:rPr>
        <w:t> </w:t>
      </w:r>
      <w:r>
        <w:rPr>
          <w:color w:val="231F20"/>
          <w:sz w:val="16"/>
        </w:rPr>
        <w:t>and</w:t>
      </w:r>
      <w:r>
        <w:rPr>
          <w:color w:val="231F20"/>
          <w:spacing w:val="-6"/>
          <w:sz w:val="16"/>
        </w:rPr>
        <w:t> </w:t>
      </w:r>
      <w:r>
        <w:rPr>
          <w:color w:val="231F20"/>
          <w:sz w:val="16"/>
        </w:rPr>
        <w:t>may</w:t>
      </w:r>
      <w:r>
        <w:rPr>
          <w:color w:val="231F20"/>
          <w:spacing w:val="-7"/>
          <w:sz w:val="16"/>
        </w:rPr>
        <w:t> </w:t>
      </w:r>
      <w:r>
        <w:rPr>
          <w:color w:val="231F20"/>
          <w:sz w:val="16"/>
        </w:rPr>
        <w:t>embed</w:t>
      </w:r>
      <w:r>
        <w:rPr>
          <w:color w:val="231F20"/>
          <w:spacing w:val="-7"/>
          <w:sz w:val="16"/>
        </w:rPr>
        <w:t> </w:t>
      </w:r>
      <w:r>
        <w:rPr>
          <w:color w:val="231F20"/>
          <w:sz w:val="16"/>
        </w:rPr>
        <w:t>an</w:t>
      </w:r>
      <w:r>
        <w:rPr>
          <w:color w:val="231F20"/>
          <w:spacing w:val="-6"/>
          <w:sz w:val="16"/>
        </w:rPr>
        <w:t> </w:t>
      </w:r>
      <w:r>
        <w:rPr>
          <w:color w:val="231F20"/>
          <w:sz w:val="16"/>
        </w:rPr>
        <w:t>expectation</w:t>
      </w:r>
      <w:r>
        <w:rPr>
          <w:color w:val="231F20"/>
          <w:spacing w:val="-6"/>
          <w:sz w:val="16"/>
        </w:rPr>
        <w:t> </w:t>
      </w:r>
      <w:r>
        <w:rPr>
          <w:color w:val="231F20"/>
          <w:sz w:val="16"/>
        </w:rPr>
        <w:t>of</w:t>
      </w:r>
      <w:r>
        <w:rPr>
          <w:color w:val="231F20"/>
          <w:spacing w:val="-6"/>
          <w:sz w:val="16"/>
        </w:rPr>
        <w:t> </w:t>
      </w:r>
      <w:r>
        <w:rPr>
          <w:color w:val="231F20"/>
          <w:sz w:val="16"/>
        </w:rPr>
        <w:t>what</w:t>
      </w:r>
      <w:r>
        <w:rPr>
          <w:color w:val="231F20"/>
          <w:spacing w:val="-7"/>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will</w:t>
      </w:r>
      <w:r>
        <w:rPr>
          <w:color w:val="231F20"/>
          <w:spacing w:val="-7"/>
          <w:sz w:val="16"/>
        </w:rPr>
        <w:t> </w:t>
      </w:r>
      <w:r>
        <w:rPr>
          <w:color w:val="231F20"/>
          <w:sz w:val="16"/>
        </w:rPr>
        <w:t>do</w:t>
      </w:r>
      <w:r>
        <w:rPr>
          <w:color w:val="231F20"/>
          <w:spacing w:val="-7"/>
          <w:sz w:val="16"/>
        </w:rPr>
        <w:t> </w:t>
      </w:r>
      <w:r>
        <w:rPr>
          <w:color w:val="231F20"/>
          <w:sz w:val="16"/>
        </w:rPr>
        <w:t>in</w:t>
      </w:r>
      <w:r>
        <w:rPr>
          <w:color w:val="231F20"/>
          <w:spacing w:val="-6"/>
          <w:sz w:val="16"/>
        </w:rPr>
        <w:t> </w:t>
      </w:r>
      <w:r>
        <w:rPr>
          <w:color w:val="231F20"/>
          <w:sz w:val="16"/>
        </w:rPr>
        <w:t>response</w:t>
      </w:r>
      <w:r>
        <w:rPr>
          <w:color w:val="231F20"/>
          <w:spacing w:val="-7"/>
          <w:sz w:val="16"/>
        </w:rPr>
        <w:t> </w:t>
      </w:r>
      <w:r>
        <w:rPr>
          <w:color w:val="231F20"/>
          <w:sz w:val="16"/>
        </w:rPr>
        <w:t>to</w:t>
      </w:r>
      <w:r>
        <w:rPr>
          <w:color w:val="231F20"/>
          <w:spacing w:val="-6"/>
          <w:sz w:val="16"/>
        </w:rPr>
        <w:t> </w:t>
      </w:r>
      <w:r>
        <w:rPr>
          <w:color w:val="231F20"/>
          <w:sz w:val="16"/>
        </w:rPr>
        <w:t>the ruling.</w:t>
      </w:r>
      <w:r>
        <w:rPr>
          <w:color w:val="231F20"/>
          <w:spacing w:val="-14"/>
          <w:sz w:val="16"/>
        </w:rPr>
        <w:t> </w:t>
      </w:r>
      <w:r>
        <w:rPr>
          <w:color w:val="231F20"/>
          <w:sz w:val="16"/>
        </w:rPr>
        <w:t>This</w:t>
      </w:r>
      <w:r>
        <w:rPr>
          <w:color w:val="231F20"/>
          <w:spacing w:val="-14"/>
          <w:sz w:val="16"/>
        </w:rPr>
        <w:t> </w:t>
      </w:r>
      <w:r>
        <w:rPr>
          <w:color w:val="231F20"/>
          <w:sz w:val="16"/>
        </w:rPr>
        <w:t>is</w:t>
      </w:r>
      <w:r>
        <w:rPr>
          <w:color w:val="231F20"/>
          <w:spacing w:val="-14"/>
          <w:sz w:val="16"/>
        </w:rPr>
        <w:t> </w:t>
      </w:r>
      <w:r>
        <w:rPr>
          <w:color w:val="231F20"/>
          <w:sz w:val="16"/>
        </w:rPr>
        <w:t>the</w:t>
      </w:r>
      <w:r>
        <w:rPr>
          <w:color w:val="231F20"/>
          <w:spacing w:val="-14"/>
          <w:sz w:val="16"/>
        </w:rPr>
        <w:t> </w:t>
      </w:r>
      <w:r>
        <w:rPr>
          <w:color w:val="231F20"/>
          <w:sz w:val="16"/>
        </w:rPr>
        <w:t>primary</w:t>
      </w:r>
      <w:r>
        <w:rPr>
          <w:color w:val="231F20"/>
          <w:spacing w:val="-14"/>
          <w:sz w:val="16"/>
        </w:rPr>
        <w:t> </w:t>
      </w:r>
      <w:r>
        <w:rPr>
          <w:color w:val="231F20"/>
          <w:sz w:val="16"/>
        </w:rPr>
        <w:t>reason</w:t>
      </w:r>
      <w:r>
        <w:rPr>
          <w:color w:val="231F20"/>
          <w:spacing w:val="-14"/>
          <w:sz w:val="16"/>
        </w:rPr>
        <w:t> </w:t>
      </w:r>
      <w:r>
        <w:rPr>
          <w:color w:val="231F20"/>
          <w:sz w:val="16"/>
        </w:rPr>
        <w:t>why</w:t>
      </w:r>
      <w:r>
        <w:rPr>
          <w:color w:val="231F20"/>
          <w:spacing w:val="-14"/>
          <w:sz w:val="16"/>
        </w:rPr>
        <w:t> </w:t>
      </w:r>
      <w:r>
        <w:rPr>
          <w:color w:val="231F20"/>
          <w:sz w:val="16"/>
        </w:rPr>
        <w:t>we</w:t>
      </w:r>
      <w:r>
        <w:rPr>
          <w:color w:val="231F20"/>
          <w:spacing w:val="-14"/>
          <w:sz w:val="16"/>
        </w:rPr>
        <w:t> </w:t>
      </w:r>
      <w:r>
        <w:rPr>
          <w:color w:val="231F20"/>
          <w:sz w:val="16"/>
        </w:rPr>
        <w:t>rely</w:t>
      </w:r>
      <w:r>
        <w:rPr>
          <w:color w:val="231F20"/>
          <w:spacing w:val="-14"/>
          <w:sz w:val="16"/>
        </w:rPr>
        <w:t> </w:t>
      </w:r>
      <w:r>
        <w:rPr>
          <w:color w:val="231F20"/>
          <w:sz w:val="16"/>
        </w:rPr>
        <w:t>on</w:t>
      </w:r>
      <w:r>
        <w:rPr>
          <w:color w:val="231F20"/>
          <w:spacing w:val="-14"/>
          <w:sz w:val="16"/>
        </w:rPr>
        <w:t> </w:t>
      </w:r>
      <w:r>
        <w:rPr>
          <w:color w:val="231F20"/>
          <w:sz w:val="16"/>
        </w:rPr>
        <w:t>several</w:t>
      </w:r>
      <w:r>
        <w:rPr>
          <w:color w:val="231F20"/>
          <w:spacing w:val="-14"/>
          <w:sz w:val="16"/>
        </w:rPr>
        <w:t> </w:t>
      </w:r>
      <w:r>
        <w:rPr>
          <w:color w:val="231F20"/>
          <w:sz w:val="16"/>
        </w:rPr>
        <w:t>conservatism</w:t>
      </w:r>
      <w:r>
        <w:rPr>
          <w:color w:val="231F20"/>
          <w:spacing w:val="-14"/>
          <w:sz w:val="16"/>
        </w:rPr>
        <w:t> </w:t>
      </w:r>
      <w:r>
        <w:rPr>
          <w:color w:val="231F20"/>
          <w:sz w:val="16"/>
        </w:rPr>
        <w:t>proxies</w:t>
      </w:r>
      <w:r>
        <w:rPr>
          <w:color w:val="231F20"/>
          <w:spacing w:val="-14"/>
          <w:sz w:val="16"/>
        </w:rPr>
        <w:t> </w:t>
      </w:r>
      <w:r>
        <w:rPr>
          <w:color w:val="231F20"/>
          <w:sz w:val="16"/>
        </w:rPr>
        <w:t>in</w:t>
      </w:r>
      <w:r>
        <w:rPr>
          <w:color w:val="231F20"/>
          <w:spacing w:val="-14"/>
          <w:sz w:val="16"/>
        </w:rPr>
        <w:t> </w:t>
      </w:r>
      <w:r>
        <w:rPr>
          <w:color w:val="231F20"/>
          <w:sz w:val="16"/>
        </w:rPr>
        <w:t>our</w:t>
      </w:r>
      <w:r>
        <w:rPr>
          <w:color w:val="231F20"/>
          <w:spacing w:val="-14"/>
          <w:sz w:val="16"/>
        </w:rPr>
        <w:t> </w:t>
      </w:r>
      <w:r>
        <w:rPr>
          <w:color w:val="231F20"/>
          <w:sz w:val="16"/>
        </w:rPr>
        <w:t>study.</w:t>
      </w:r>
    </w:p>
    <w:p>
      <w:pPr>
        <w:spacing w:after="0"/>
        <w:jc w:val="both"/>
        <w:rPr>
          <w:sz w:val="16"/>
        </w:rPr>
        <w:sectPr>
          <w:pgSz w:w="9720" w:h="14400"/>
          <w:pgMar w:header="1054" w:footer="0" w:top="1300" w:bottom="280" w:left="1280" w:right="1300"/>
        </w:sectPr>
      </w:pPr>
    </w:p>
    <w:p>
      <w:pPr>
        <w:pStyle w:val="BodyText"/>
        <w:spacing w:line="230" w:lineRule="auto" w:before="176"/>
        <w:ind w:left="532" w:right="149"/>
        <w:jc w:val="both"/>
      </w:pPr>
      <w:r>
        <w:rPr/>
        <w:pict>
          <v:shape style="position:absolute;margin-left:97.21170pt;margin-top:117.68615pt;width:7.85pt;height:17.45pt;mso-position-horizontal-relative:page;mso-position-vertical-relative:paragraph;z-index:-69664"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t>(</w:t>
      </w:r>
      <w:r>
        <w:rPr>
          <w:i/>
        </w:rPr>
        <w:t>LNMVE</w:t>
      </w:r>
      <w:r>
        <w:rPr/>
        <w:t>),</w:t>
      </w:r>
      <w:r>
        <w:rPr>
          <w:spacing w:val="-15"/>
        </w:rPr>
        <w:t> </w:t>
      </w:r>
      <w:r>
        <w:rPr/>
        <w:t>leverage</w:t>
      </w:r>
      <w:r>
        <w:rPr>
          <w:spacing w:val="-15"/>
        </w:rPr>
        <w:t> </w:t>
      </w:r>
      <w:r>
        <w:rPr/>
        <w:t>(</w:t>
      </w:r>
      <w:r>
        <w:rPr>
          <w:i/>
        </w:rPr>
        <w:t>LEV</w:t>
      </w:r>
      <w:r>
        <w:rPr/>
        <w:t>),</w:t>
      </w:r>
      <w:r>
        <w:rPr>
          <w:spacing w:val="-15"/>
        </w:rPr>
        <w:t> </w:t>
      </w:r>
      <w:r>
        <w:rPr/>
        <w:t>book-to-market</w:t>
      </w:r>
      <w:r>
        <w:rPr>
          <w:spacing w:val="-15"/>
        </w:rPr>
        <w:t> </w:t>
      </w:r>
      <w:r>
        <w:rPr/>
        <w:t>(</w:t>
      </w:r>
      <w:r>
        <w:rPr>
          <w:i/>
        </w:rPr>
        <w:t>BTM</w:t>
      </w:r>
      <w:r>
        <w:rPr/>
        <w:t>),</w:t>
      </w:r>
      <w:r>
        <w:rPr>
          <w:spacing w:val="-15"/>
        </w:rPr>
        <w:t> </w:t>
      </w:r>
      <w:r>
        <w:rPr/>
        <w:t>growth</w:t>
      </w:r>
      <w:r>
        <w:rPr>
          <w:spacing w:val="-15"/>
        </w:rPr>
        <w:t> </w:t>
      </w:r>
      <w:r>
        <w:rPr/>
        <w:t>(</w:t>
      </w:r>
      <w:r>
        <w:rPr>
          <w:i/>
        </w:rPr>
        <w:t>GROWTH</w:t>
      </w:r>
      <w:r>
        <w:rPr/>
        <w:t>),</w:t>
      </w:r>
      <w:r>
        <w:rPr>
          <w:spacing w:val="-15"/>
        </w:rPr>
        <w:t> </w:t>
      </w:r>
      <w:r>
        <w:rPr/>
        <w:t>lit- igation</w:t>
      </w:r>
      <w:r>
        <w:rPr>
          <w:spacing w:val="-18"/>
        </w:rPr>
        <w:t> </w:t>
      </w:r>
      <w:r>
        <w:rPr/>
        <w:t>risk</w:t>
      </w:r>
      <w:r>
        <w:rPr>
          <w:spacing w:val="-19"/>
        </w:rPr>
        <w:t> </w:t>
      </w:r>
      <w:r>
        <w:rPr/>
        <w:t>(</w:t>
      </w:r>
      <w:r>
        <w:rPr>
          <w:i/>
        </w:rPr>
        <w:t>LITIG</w:t>
      </w:r>
      <w:r>
        <w:rPr/>
        <w:t>),</w:t>
      </w:r>
      <w:r>
        <w:rPr>
          <w:spacing w:val="-18"/>
        </w:rPr>
        <w:t> </w:t>
      </w:r>
      <w:r>
        <w:rPr/>
        <w:t>and</w:t>
      </w:r>
      <w:r>
        <w:rPr>
          <w:spacing w:val="-18"/>
        </w:rPr>
        <w:t> </w:t>
      </w:r>
      <w:r>
        <w:rPr/>
        <w:t>institutional</w:t>
      </w:r>
      <w:r>
        <w:rPr>
          <w:spacing w:val="-18"/>
        </w:rPr>
        <w:t> </w:t>
      </w:r>
      <w:r>
        <w:rPr/>
        <w:t>ownership</w:t>
      </w:r>
      <w:r>
        <w:rPr>
          <w:spacing w:val="-18"/>
        </w:rPr>
        <w:t> </w:t>
      </w:r>
      <w:r>
        <w:rPr/>
        <w:t>(</w:t>
      </w:r>
      <w:r>
        <w:rPr>
          <w:i/>
        </w:rPr>
        <w:t>INSTOWN</w:t>
      </w:r>
      <w:r>
        <w:rPr/>
        <w:t>),</w:t>
      </w:r>
      <w:r>
        <w:rPr>
          <w:spacing w:val="-18"/>
        </w:rPr>
        <w:t> </w:t>
      </w:r>
      <w:r>
        <w:rPr/>
        <w:t>we</w:t>
      </w:r>
      <w:r>
        <w:rPr>
          <w:spacing w:val="-18"/>
        </w:rPr>
        <w:t> </w:t>
      </w:r>
      <w:r>
        <w:rPr/>
        <w:t>also</w:t>
      </w:r>
      <w:r>
        <w:rPr>
          <w:spacing w:val="-18"/>
        </w:rPr>
        <w:t> </w:t>
      </w:r>
      <w:r>
        <w:rPr/>
        <w:t>con- trol for stock return volatility (</w:t>
      </w:r>
      <w:r>
        <w:rPr>
          <w:i/>
        </w:rPr>
        <w:t>STDRET</w:t>
      </w:r>
      <w:r>
        <w:rPr/>
        <w:t>) and natural log of stock price (</w:t>
      </w:r>
      <w:r>
        <w:rPr>
          <w:i/>
        </w:rPr>
        <w:t>LNPRC</w:t>
      </w:r>
      <w:r>
        <w:rPr/>
        <w:t>) because these variables have been shown to mitigate biases in the Basu [1997] model (Ball, Kothari, and Nikolaev [2013]). </w:t>
      </w:r>
      <w:r>
        <w:rPr>
          <w:spacing w:val="-6"/>
        </w:rPr>
        <w:t>We </w:t>
      </w:r>
      <w:r>
        <w:rPr/>
        <w:t>measure all control variables at the beginning of the </w:t>
      </w:r>
      <w:r>
        <w:rPr>
          <w:spacing w:val="-4"/>
        </w:rPr>
        <w:t>year. </w:t>
      </w:r>
      <w:r>
        <w:rPr>
          <w:spacing w:val="-9"/>
        </w:rPr>
        <w:t>To </w:t>
      </w:r>
      <w:r>
        <w:rPr/>
        <w:t>control for possible confounding</w:t>
      </w:r>
      <w:r>
        <w:rPr>
          <w:spacing w:val="-11"/>
        </w:rPr>
        <w:t> </w:t>
      </w:r>
      <w:r>
        <w:rPr/>
        <w:t>effects</w:t>
      </w:r>
      <w:r>
        <w:rPr>
          <w:spacing w:val="-11"/>
        </w:rPr>
        <w:t> </w:t>
      </w:r>
      <w:r>
        <w:rPr/>
        <w:t>of</w:t>
      </w:r>
      <w:r>
        <w:rPr>
          <w:spacing w:val="-12"/>
        </w:rPr>
        <w:t> </w:t>
      </w:r>
      <w:r>
        <w:rPr/>
        <w:t>these</w:t>
      </w:r>
      <w:r>
        <w:rPr>
          <w:spacing w:val="-11"/>
        </w:rPr>
        <w:t> </w:t>
      </w:r>
      <w:r>
        <w:rPr/>
        <w:t>control</w:t>
      </w:r>
      <w:r>
        <w:rPr>
          <w:spacing w:val="-11"/>
        </w:rPr>
        <w:t> </w:t>
      </w:r>
      <w:r>
        <w:rPr/>
        <w:t>variables</w:t>
      </w:r>
      <w:r>
        <w:rPr>
          <w:spacing w:val="-11"/>
        </w:rPr>
        <w:t> </w:t>
      </w:r>
      <w:r>
        <w:rPr/>
        <w:t>on</w:t>
      </w:r>
      <w:r>
        <w:rPr>
          <w:spacing w:val="-12"/>
        </w:rPr>
        <w:t> </w:t>
      </w:r>
      <w:r>
        <w:rPr/>
        <w:t>the</w:t>
      </w:r>
      <w:r>
        <w:rPr>
          <w:spacing w:val="-11"/>
        </w:rPr>
        <w:t> </w:t>
      </w:r>
      <w:r>
        <w:rPr/>
        <w:t>cross-sectional</w:t>
      </w:r>
      <w:r>
        <w:rPr>
          <w:spacing w:val="-11"/>
        </w:rPr>
        <w:t> </w:t>
      </w:r>
      <w:r>
        <w:rPr/>
        <w:t>varia- tion in asymmetric timeliness, we include a full set of interaction terms</w:t>
      </w:r>
      <w:r>
        <w:rPr>
          <w:spacing w:val="-29"/>
        </w:rPr>
        <w:t> </w:t>
      </w:r>
      <w:r>
        <w:rPr/>
        <w:t>of these control variables with </w:t>
      </w:r>
      <w:r>
        <w:rPr>
          <w:i/>
        </w:rPr>
        <w:t>D</w:t>
      </w:r>
      <w:r>
        <w:rPr/>
        <w:t>, </w:t>
      </w:r>
      <w:r>
        <w:rPr>
          <w:i/>
        </w:rPr>
        <w:t>RET</w:t>
      </w:r>
      <w:r>
        <w:rPr/>
        <w:t>, and our primary variable of interest </w:t>
      </w:r>
      <w:r>
        <w:rPr>
          <w:i/>
        </w:rPr>
        <w:t>D</w:t>
      </w:r>
      <w:r>
        <w:rPr>
          <w:i/>
          <w:spacing w:val="10"/>
        </w:rPr>
        <w:t> </w:t>
      </w:r>
      <w:r>
        <w:rPr>
          <w:i/>
        </w:rPr>
        <w:t>RET</w:t>
      </w:r>
      <w:r>
        <w:rPr/>
        <w:t>.</w:t>
      </w:r>
      <w:r>
        <w:rPr>
          <w:color w:val="231F20"/>
          <w:position w:val="7"/>
          <w:sz w:val="14"/>
        </w:rPr>
        <w:t>24</w:t>
      </w:r>
      <w:r>
        <w:rPr>
          <w:color w:val="231F20"/>
          <w:spacing w:val="-2"/>
          <w:position w:val="7"/>
          <w:sz w:val="14"/>
        </w:rPr>
        <w:t> </w:t>
      </w:r>
      <w:r>
        <w:rPr/>
        <w:t>Our</w:t>
      </w:r>
      <w:r>
        <w:rPr>
          <w:spacing w:val="-9"/>
        </w:rPr>
        <w:t> </w:t>
      </w:r>
      <w:r>
        <w:rPr/>
        <w:t>hypothesis</w:t>
      </w:r>
      <w:r>
        <w:rPr>
          <w:spacing w:val="-8"/>
        </w:rPr>
        <w:t> </w:t>
      </w:r>
      <w:r>
        <w:rPr/>
        <w:t>predicts</w:t>
      </w:r>
      <w:r>
        <w:rPr>
          <w:spacing w:val="-8"/>
        </w:rPr>
        <w:t> </w:t>
      </w:r>
      <w:r>
        <w:rPr/>
        <w:t>that</w:t>
      </w:r>
      <w:r>
        <w:rPr>
          <w:spacing w:val="-8"/>
        </w:rPr>
        <w:t> </w:t>
      </w:r>
      <w:r>
        <w:rPr>
          <w:rFonts w:ascii="Verdana" w:hAnsi="Verdana"/>
          <w:i/>
          <w:spacing w:val="3"/>
        </w:rPr>
        <w:t>β</w:t>
      </w:r>
      <w:r>
        <w:rPr>
          <w:color w:val="231F20"/>
          <w:spacing w:val="3"/>
          <w:vertAlign w:val="subscript"/>
        </w:rPr>
        <w:t>31</w:t>
      </w:r>
      <w:r>
        <w:rPr>
          <w:color w:val="231F20"/>
          <w:spacing w:val="-17"/>
          <w:vertAlign w:val="baseline"/>
        </w:rPr>
        <w:t> </w:t>
      </w:r>
      <w:r>
        <w:rPr>
          <w:vertAlign w:val="baseline"/>
        </w:rPr>
        <w:t>is</w:t>
      </w:r>
      <w:r>
        <w:rPr>
          <w:spacing w:val="-8"/>
          <w:vertAlign w:val="baseline"/>
        </w:rPr>
        <w:t> </w:t>
      </w:r>
      <w:r>
        <w:rPr>
          <w:vertAlign w:val="baseline"/>
        </w:rPr>
        <w:t>positive</w:t>
      </w:r>
      <w:r>
        <w:rPr>
          <w:spacing w:val="-9"/>
          <w:vertAlign w:val="baseline"/>
        </w:rPr>
        <w:t> </w:t>
      </w:r>
      <w:r>
        <w:rPr>
          <w:vertAlign w:val="baseline"/>
        </w:rPr>
        <w:t>and</w:t>
      </w:r>
      <w:r>
        <w:rPr>
          <w:spacing w:val="-8"/>
          <w:vertAlign w:val="baseline"/>
        </w:rPr>
        <w:t> </w:t>
      </w:r>
      <w:r>
        <w:rPr>
          <w:vertAlign w:val="baseline"/>
        </w:rPr>
        <w:t>significant,</w:t>
      </w:r>
      <w:r>
        <w:rPr>
          <w:spacing w:val="-9"/>
          <w:vertAlign w:val="baseline"/>
        </w:rPr>
        <w:t> </w:t>
      </w:r>
      <w:r>
        <w:rPr>
          <w:vertAlign w:val="baseline"/>
        </w:rPr>
        <w:t>that is,</w:t>
      </w:r>
      <w:r>
        <w:rPr>
          <w:spacing w:val="-19"/>
          <w:vertAlign w:val="baseline"/>
        </w:rPr>
        <w:t> </w:t>
      </w:r>
      <w:r>
        <w:rPr>
          <w:vertAlign w:val="baseline"/>
        </w:rPr>
        <w:t>near</w:t>
      </w:r>
      <w:r>
        <w:rPr>
          <w:spacing w:val="-19"/>
          <w:vertAlign w:val="baseline"/>
        </w:rPr>
        <w:t> </w:t>
      </w:r>
      <w:r>
        <w:rPr>
          <w:vertAlign w:val="baseline"/>
        </w:rPr>
        <w:t>insolvent</w:t>
      </w:r>
      <w:r>
        <w:rPr>
          <w:spacing w:val="-19"/>
          <w:vertAlign w:val="baseline"/>
        </w:rPr>
        <w:t> </w:t>
      </w:r>
      <w:r>
        <w:rPr>
          <w:vertAlign w:val="baseline"/>
        </w:rPr>
        <w:t>Delaware</w:t>
      </w:r>
      <w:r>
        <w:rPr>
          <w:spacing w:val="-19"/>
          <w:vertAlign w:val="baseline"/>
        </w:rPr>
        <w:t> </w:t>
      </w:r>
      <w:r>
        <w:rPr>
          <w:vertAlign w:val="baseline"/>
        </w:rPr>
        <w:t>firms</w:t>
      </w:r>
      <w:r>
        <w:rPr>
          <w:spacing w:val="-19"/>
          <w:vertAlign w:val="baseline"/>
        </w:rPr>
        <w:t> </w:t>
      </w:r>
      <w:r>
        <w:rPr>
          <w:vertAlign w:val="baseline"/>
        </w:rPr>
        <w:t>experience</w:t>
      </w:r>
      <w:r>
        <w:rPr>
          <w:spacing w:val="-19"/>
          <w:vertAlign w:val="baseline"/>
        </w:rPr>
        <w:t> </w:t>
      </w:r>
      <w:r>
        <w:rPr>
          <w:vertAlign w:val="baseline"/>
        </w:rPr>
        <w:t>a</w:t>
      </w:r>
      <w:r>
        <w:rPr>
          <w:spacing w:val="-19"/>
          <w:vertAlign w:val="baseline"/>
        </w:rPr>
        <w:t> </w:t>
      </w:r>
      <w:r>
        <w:rPr>
          <w:vertAlign w:val="baseline"/>
        </w:rPr>
        <w:t>large</w:t>
      </w:r>
      <w:r>
        <w:rPr>
          <w:spacing w:val="-19"/>
          <w:vertAlign w:val="baseline"/>
        </w:rPr>
        <w:t> </w:t>
      </w:r>
      <w:r>
        <w:rPr>
          <w:vertAlign w:val="baseline"/>
        </w:rPr>
        <w:t>increase</w:t>
      </w:r>
      <w:r>
        <w:rPr>
          <w:spacing w:val="-19"/>
          <w:vertAlign w:val="baseline"/>
        </w:rPr>
        <w:t> </w:t>
      </w:r>
      <w:r>
        <w:rPr>
          <w:vertAlign w:val="baseline"/>
        </w:rPr>
        <w:t>in</w:t>
      </w:r>
      <w:r>
        <w:rPr>
          <w:spacing w:val="-19"/>
          <w:vertAlign w:val="baseline"/>
        </w:rPr>
        <w:t> </w:t>
      </w:r>
      <w:r>
        <w:rPr>
          <w:vertAlign w:val="baseline"/>
        </w:rPr>
        <w:t>asymmetric timeliness of earnings in the post-ruling</w:t>
      </w:r>
      <w:r>
        <w:rPr>
          <w:spacing w:val="-6"/>
          <w:vertAlign w:val="baseline"/>
        </w:rPr>
        <w:t> </w:t>
      </w:r>
      <w:r>
        <w:rPr>
          <w:vertAlign w:val="baseline"/>
        </w:rPr>
        <w:t>period.</w:t>
      </w:r>
    </w:p>
    <w:p>
      <w:pPr>
        <w:pStyle w:val="ListParagraph"/>
        <w:numPr>
          <w:ilvl w:val="2"/>
          <w:numId w:val="2"/>
        </w:numPr>
        <w:tabs>
          <w:tab w:pos="1310" w:val="left" w:leader="none"/>
        </w:tabs>
        <w:spacing w:line="211" w:lineRule="auto" w:before="99" w:after="0"/>
        <w:ind w:left="532" w:right="149" w:firstLine="199"/>
        <w:jc w:val="both"/>
        <w:rPr>
          <w:sz w:val="20"/>
        </w:rPr>
      </w:pPr>
      <w:r>
        <w:rPr>
          <w:i/>
          <w:sz w:val="20"/>
        </w:rPr>
        <w:t>Asymmetric</w:t>
      </w:r>
      <w:r>
        <w:rPr>
          <w:i/>
          <w:spacing w:val="-17"/>
          <w:sz w:val="20"/>
        </w:rPr>
        <w:t> </w:t>
      </w:r>
      <w:r>
        <w:rPr>
          <w:i/>
          <w:sz w:val="20"/>
        </w:rPr>
        <w:t>Timeliness</w:t>
      </w:r>
      <w:r>
        <w:rPr>
          <w:i/>
          <w:spacing w:val="-17"/>
          <w:sz w:val="20"/>
        </w:rPr>
        <w:t> </w:t>
      </w:r>
      <w:r>
        <w:rPr>
          <w:i/>
          <w:sz w:val="20"/>
        </w:rPr>
        <w:t>of</w:t>
      </w:r>
      <w:r>
        <w:rPr>
          <w:i/>
          <w:spacing w:val="-17"/>
          <w:sz w:val="20"/>
        </w:rPr>
        <w:t> </w:t>
      </w:r>
      <w:r>
        <w:rPr>
          <w:i/>
          <w:sz w:val="20"/>
        </w:rPr>
        <w:t>Accruals.</w:t>
      </w:r>
      <w:r>
        <w:rPr>
          <w:i/>
          <w:spacing w:val="-9"/>
          <w:sz w:val="20"/>
        </w:rPr>
        <w:t> </w:t>
      </w:r>
      <w:r>
        <w:rPr>
          <w:sz w:val="20"/>
        </w:rPr>
        <w:t>Following</w:t>
      </w:r>
      <w:r>
        <w:rPr>
          <w:spacing w:val="-17"/>
          <w:sz w:val="20"/>
        </w:rPr>
        <w:t> </w:t>
      </w:r>
      <w:r>
        <w:rPr>
          <w:sz w:val="20"/>
        </w:rPr>
        <w:t>Ball</w:t>
      </w:r>
      <w:r>
        <w:rPr>
          <w:spacing w:val="-17"/>
          <w:sz w:val="20"/>
        </w:rPr>
        <w:t> </w:t>
      </w:r>
      <w:r>
        <w:rPr>
          <w:sz w:val="20"/>
        </w:rPr>
        <w:t>and</w:t>
      </w:r>
      <w:r>
        <w:rPr>
          <w:spacing w:val="-17"/>
          <w:sz w:val="20"/>
        </w:rPr>
        <w:t> </w:t>
      </w:r>
      <w:r>
        <w:rPr>
          <w:sz w:val="20"/>
        </w:rPr>
        <w:t>Shivakumar [2006], we also run an accrual-based conditional conservatism model as follows:</w:t>
      </w:r>
    </w:p>
    <w:p>
      <w:pPr>
        <w:spacing w:before="85"/>
        <w:ind w:left="556" w:right="0" w:firstLine="0"/>
        <w:jc w:val="both"/>
        <w:rPr>
          <w:i/>
          <w:sz w:val="18"/>
        </w:rPr>
      </w:pPr>
      <w:r>
        <w:rPr>
          <w:i/>
          <w:sz w:val="18"/>
        </w:rPr>
        <w:t>ACCR </w:t>
      </w:r>
      <w:r>
        <w:rPr>
          <w:rFonts w:ascii="Lucida Sans Unicode" w:hAnsi="Lucida Sans Unicode"/>
          <w:sz w:val="18"/>
        </w:rPr>
        <w:t>= </w:t>
      </w:r>
      <w:r>
        <w:rPr>
          <w:rFonts w:ascii="Verdana" w:hAnsi="Verdana"/>
          <w:i/>
          <w:sz w:val="18"/>
        </w:rPr>
        <w:t>β</w:t>
      </w:r>
      <w:r>
        <w:rPr>
          <w:i/>
          <w:color w:val="231F20"/>
          <w:sz w:val="18"/>
          <w:vertAlign w:val="subscript"/>
        </w:rPr>
        <w:t>0</w:t>
      </w:r>
      <w:r>
        <w:rPr>
          <w:i/>
          <w:color w:val="231F20"/>
          <w:sz w:val="18"/>
          <w:vertAlign w:val="baseline"/>
        </w:rPr>
        <w: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3</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4</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5</w:t>
      </w:r>
      <w:r>
        <w:rPr>
          <w:i/>
          <w:sz w:val="18"/>
          <w:vertAlign w:val="baseline"/>
        </w:rPr>
        <w:t>POST </w:t>
      </w:r>
      <w:r>
        <w:rPr>
          <w:rFonts w:ascii="Lucida Sans Unicode" w:hAnsi="Lucida Sans Unicode"/>
          <w:sz w:val="18"/>
          <w:vertAlign w:val="baseline"/>
        </w:rPr>
        <w:t>× </w:t>
      </w:r>
      <w:r>
        <w:rPr>
          <w:i/>
          <w:sz w:val="18"/>
          <w:vertAlign w:val="baseline"/>
        </w:rPr>
        <w:t>CF </w:t>
      </w:r>
    </w:p>
    <w:p>
      <w:pPr>
        <w:spacing w:before="62"/>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6</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7</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sz w:val="18"/>
          <w:vertAlign w:val="baseline"/>
        </w:rPr>
        <w:t>[</w:t>
      </w:r>
      <w:r>
        <w:rPr>
          <w:rFonts w:ascii="Verdana" w:hAnsi="Verdana"/>
          <w:i/>
          <w:sz w:val="18"/>
          <w:vertAlign w:val="baseline"/>
        </w:rPr>
        <w:t>β</w:t>
      </w:r>
      <w:r>
        <w:rPr>
          <w:i/>
          <w:color w:val="231F20"/>
          <w:sz w:val="18"/>
          <w:vertAlign w:val="subscript"/>
        </w:rPr>
        <w:t>8</w:t>
      </w:r>
      <w:r>
        <w:rPr>
          <w:i/>
          <w:sz w:val="18"/>
          <w:vertAlign w:val="baseline"/>
        </w:rPr>
        <w:t>HEDF93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9</w:t>
      </w:r>
      <w:r>
        <w:rPr>
          <w:i/>
          <w:sz w:val="18"/>
          <w:vertAlign w:val="baseline"/>
        </w:rPr>
        <w:t>HEDF93</w:t>
      </w:r>
    </w:p>
    <w:p>
      <w:pPr>
        <w:spacing w:before="62"/>
        <w:ind w:left="1282" w:right="0" w:firstLine="0"/>
        <w:jc w:val="left"/>
        <w:rPr>
          <w:i/>
          <w:sz w:val="18"/>
        </w:rPr>
      </w:pPr>
      <w:r>
        <w:rPr>
          <w:rFonts w:ascii="Lucida Sans Unicode" w:hAnsi="Lucida Sans Unicode"/>
          <w:sz w:val="18"/>
        </w:rPr>
        <w:t>× </w:t>
      </w:r>
      <w:r>
        <w:rPr>
          <w:i/>
          <w:sz w:val="18"/>
        </w:rPr>
        <w:t>CF </w:t>
      </w:r>
      <w:r>
        <w:rPr>
          <w:rFonts w:ascii="Lucida Sans Unicode" w:hAnsi="Lucida Sans Unicode"/>
          <w:sz w:val="18"/>
        </w:rPr>
        <w:t>+ </w:t>
      </w:r>
      <w:r>
        <w:rPr>
          <w:rFonts w:ascii="Verdana" w:hAnsi="Verdana"/>
          <w:i/>
          <w:sz w:val="18"/>
        </w:rPr>
        <w:t>β</w:t>
      </w:r>
      <w:r>
        <w:rPr>
          <w:i/>
          <w:color w:val="231F20"/>
          <w:sz w:val="18"/>
          <w:vertAlign w:val="subscript"/>
        </w:rPr>
        <w:t>10</w:t>
      </w:r>
      <w:r>
        <w:rPr>
          <w:i/>
          <w:sz w:val="18"/>
          <w:vertAlign w:val="baseline"/>
        </w:rPr>
        <w:t>HEDF93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11</w:t>
      </w:r>
      <w:r>
        <w:rPr>
          <w:i/>
          <w:sz w:val="18"/>
          <w:vertAlign w:val="baseline"/>
        </w:rPr>
        <w:t>HEDF93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position w:val="-4"/>
          <w:sz w:val="10"/>
          <w:vertAlign w:val="baseline"/>
        </w:rPr>
        <w:t>12 </w:t>
      </w:r>
      <w:r>
        <w:rPr>
          <w:i/>
          <w:sz w:val="18"/>
          <w:vertAlign w:val="baseline"/>
        </w:rPr>
        <w:t>HEDF93</w:t>
      </w:r>
    </w:p>
    <w:p>
      <w:pPr>
        <w:spacing w:before="62"/>
        <w:ind w:left="1282" w:right="0" w:firstLine="0"/>
        <w:jc w:val="left"/>
        <w:rPr>
          <w:i/>
          <w:sz w:val="18"/>
        </w:rPr>
      </w:pPr>
      <w:r>
        <w:rPr>
          <w:rFonts w:ascii="Lucida Sans Unicode" w:hAnsi="Lucida Sans Unicode"/>
          <w:sz w:val="18"/>
        </w:rPr>
        <w:t>× </w:t>
      </w:r>
      <w:r>
        <w:rPr>
          <w:i/>
          <w:sz w:val="18"/>
        </w:rPr>
        <w:t>POST </w:t>
      </w:r>
      <w:r>
        <w:rPr>
          <w:rFonts w:ascii="Lucida Sans Unicode" w:hAnsi="Lucida Sans Unicode"/>
          <w:sz w:val="18"/>
        </w:rPr>
        <w:t>+ </w:t>
      </w:r>
      <w:r>
        <w:rPr>
          <w:rFonts w:ascii="Verdana" w:hAnsi="Verdana"/>
          <w:i/>
          <w:sz w:val="18"/>
        </w:rPr>
        <w:t>β</w:t>
      </w:r>
      <w:r>
        <w:rPr>
          <w:i/>
          <w:color w:val="231F20"/>
          <w:sz w:val="18"/>
          <w:vertAlign w:val="subscript"/>
        </w:rPr>
        <w:t>13</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14</w:t>
      </w:r>
      <w:r>
        <w:rPr>
          <w:i/>
          <w:sz w:val="18"/>
          <w:vertAlign w:val="baseline"/>
        </w:rPr>
        <w:t>HEDF93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DCF</w:t>
      </w:r>
    </w:p>
    <w:p>
      <w:pPr>
        <w:tabs>
          <w:tab w:pos="6737" w:val="left" w:leader="none"/>
        </w:tabs>
        <w:spacing w:before="62"/>
        <w:ind w:left="1282" w:right="0" w:firstLine="0"/>
        <w:jc w:val="left"/>
        <w:rPr>
          <w:sz w:val="18"/>
        </w:rPr>
      </w:pPr>
      <w:r>
        <w:rPr>
          <w:rFonts w:ascii="Lucida Sans Unicode" w:hAnsi="Lucida Sans Unicode"/>
          <w:w w:val="105"/>
          <w:sz w:val="18"/>
        </w:rPr>
        <w:t>+</w:t>
      </w:r>
      <w:r>
        <w:rPr>
          <w:rFonts w:ascii="Lucida Sans Unicode" w:hAnsi="Lucida Sans Unicode"/>
          <w:spacing w:val="-48"/>
          <w:w w:val="105"/>
          <w:sz w:val="18"/>
        </w:rPr>
        <w:t> </w:t>
      </w:r>
      <w:r>
        <w:rPr>
          <w:rFonts w:ascii="Verdana" w:hAnsi="Verdana"/>
          <w:i/>
          <w:w w:val="105"/>
          <w:sz w:val="18"/>
        </w:rPr>
        <w:t>β</w:t>
      </w:r>
      <w:r>
        <w:rPr>
          <w:i/>
          <w:color w:val="231F20"/>
          <w:w w:val="105"/>
          <w:sz w:val="18"/>
          <w:vertAlign w:val="subscript"/>
        </w:rPr>
        <w:t>15</w:t>
      </w:r>
      <w:r>
        <w:rPr>
          <w:i/>
          <w:w w:val="105"/>
          <w:sz w:val="18"/>
          <w:vertAlign w:val="baseline"/>
        </w:rPr>
        <w:t>HEDF93</w:t>
      </w:r>
      <w:r>
        <w:rPr>
          <w:i/>
          <w:spacing w:val="-26"/>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w w:val="105"/>
          <w:sz w:val="18"/>
          <w:vertAlign w:val="baseline"/>
        </w:rPr>
        <w:t>POST</w:t>
      </w:r>
      <w:r>
        <w:rPr>
          <w:i/>
          <w:spacing w:val="-21"/>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w w:val="105"/>
          <w:sz w:val="18"/>
          <w:vertAlign w:val="baseline"/>
        </w:rPr>
        <w:t>DCF</w:t>
      </w:r>
      <w:r>
        <w:rPr>
          <w:i/>
          <w:spacing w:val="-17"/>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spacing w:val="6"/>
          <w:w w:val="105"/>
          <w:sz w:val="18"/>
          <w:vertAlign w:val="baseline"/>
        </w:rPr>
        <w:t>CF</w:t>
      </w:r>
      <w:r>
        <w:rPr>
          <w:i/>
          <w:spacing w:val="-35"/>
          <w:w w:val="105"/>
          <w:sz w:val="18"/>
          <w:vertAlign w:val="baseline"/>
        </w:rPr>
        <w:t> </w:t>
      </w:r>
      <w:r>
        <w:rPr>
          <w:w w:val="105"/>
          <w:sz w:val="18"/>
          <w:vertAlign w:val="baseline"/>
        </w:rPr>
        <w:t>]</w:t>
      </w:r>
      <w:r>
        <w:rPr>
          <w:spacing w:val="-31"/>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w w:val="105"/>
          <w:sz w:val="18"/>
          <w:vertAlign w:val="baseline"/>
        </w:rPr>
        <w:t>[</w:t>
      </w:r>
      <w:r>
        <w:rPr>
          <w:rFonts w:ascii="Verdana" w:hAnsi="Verdana"/>
          <w:i/>
          <w:w w:val="105"/>
          <w:sz w:val="18"/>
          <w:vertAlign w:val="baseline"/>
        </w:rPr>
        <w:t>β</w:t>
      </w:r>
      <w:r>
        <w:rPr>
          <w:i/>
          <w:color w:val="231F20"/>
          <w:w w:val="105"/>
          <w:sz w:val="18"/>
          <w:vertAlign w:val="subscript"/>
        </w:rPr>
        <w:t>16</w:t>
      </w:r>
      <w:r>
        <w:rPr>
          <w:i/>
          <w:w w:val="105"/>
          <w:sz w:val="18"/>
          <w:vertAlign w:val="baseline"/>
        </w:rPr>
        <w:t>DEL</w:t>
      </w:r>
      <w:r>
        <w:rPr>
          <w:i/>
          <w:spacing w:val="-28"/>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rFonts w:ascii="Verdana" w:hAnsi="Verdana"/>
          <w:i/>
          <w:w w:val="105"/>
          <w:sz w:val="18"/>
          <w:vertAlign w:val="baseline"/>
        </w:rPr>
        <w:t>β</w:t>
      </w:r>
      <w:r>
        <w:rPr>
          <w:i/>
          <w:color w:val="231F20"/>
          <w:w w:val="105"/>
          <w:sz w:val="18"/>
          <w:vertAlign w:val="subscript"/>
        </w:rPr>
        <w:t>17</w:t>
      </w:r>
      <w:r>
        <w:rPr>
          <w:i/>
          <w:w w:val="105"/>
          <w:sz w:val="18"/>
          <w:vertAlign w:val="baseline"/>
        </w:rPr>
        <w:t>DEL</w:t>
      </w:r>
      <w:r>
        <w:rPr>
          <w:i/>
          <w:spacing w:val="-28"/>
          <w:w w:val="105"/>
          <w:sz w:val="18"/>
          <w:vertAlign w:val="baseline"/>
        </w:rPr>
        <w:t> </w:t>
      </w:r>
      <w:r>
        <w:rPr>
          <w:rFonts w:ascii="Lucida Sans Unicode" w:hAnsi="Lucida Sans Unicode"/>
          <w:w w:val="105"/>
          <w:sz w:val="18"/>
          <w:vertAlign w:val="baseline"/>
        </w:rPr>
        <w:t>×</w:t>
      </w:r>
      <w:r>
        <w:rPr>
          <w:rFonts w:ascii="Lucida Sans Unicode" w:hAnsi="Lucida Sans Unicode"/>
          <w:spacing w:val="-43"/>
          <w:w w:val="105"/>
          <w:sz w:val="18"/>
          <w:vertAlign w:val="baseline"/>
        </w:rPr>
        <w:t> </w:t>
      </w:r>
      <w:r>
        <w:rPr>
          <w:i/>
          <w:spacing w:val="6"/>
          <w:w w:val="105"/>
          <w:sz w:val="18"/>
          <w:vertAlign w:val="baseline"/>
        </w:rPr>
        <w:t>CF</w:t>
        <w:tab/>
      </w:r>
      <w:r>
        <w:rPr>
          <w:w w:val="105"/>
          <w:sz w:val="18"/>
          <w:vertAlign w:val="baseline"/>
        </w:rPr>
        <w:t>(4)</w:t>
      </w:r>
    </w:p>
    <w:p>
      <w:pPr>
        <w:spacing w:before="63"/>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18</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19</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20</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21</w:t>
      </w:r>
      <w:r>
        <w:rPr>
          <w:i/>
          <w:sz w:val="18"/>
          <w:vertAlign w:val="baseline"/>
        </w:rPr>
        <w:t>DEL</w:t>
      </w:r>
    </w:p>
    <w:p>
      <w:pPr>
        <w:spacing w:before="62"/>
        <w:ind w:left="1282" w:right="0" w:firstLine="0"/>
        <w:jc w:val="left"/>
        <w:rPr>
          <w:sz w:val="18"/>
        </w:rPr>
      </w:pPr>
      <w:r>
        <w:rPr>
          <w:rFonts w:ascii="Lucida Sans Unicode" w:hAnsi="Lucida Sans Unicode"/>
          <w:sz w:val="18"/>
        </w:rPr>
        <w:t>×</w:t>
      </w:r>
      <w:r>
        <w:rPr>
          <w:rFonts w:ascii="Lucida Sans Unicode" w:hAnsi="Lucida Sans Unicode"/>
          <w:spacing w:val="-37"/>
          <w:sz w:val="18"/>
        </w:rPr>
        <w:t> </w:t>
      </w:r>
      <w:r>
        <w:rPr>
          <w:i/>
          <w:sz w:val="18"/>
        </w:rPr>
        <w:t>POST</w:t>
      </w:r>
      <w:r>
        <w:rPr>
          <w:i/>
          <w:spacing w:val="-1"/>
          <w:sz w:val="18"/>
        </w:rPr>
        <w:t> </w:t>
      </w:r>
      <w:r>
        <w:rPr>
          <w:rFonts w:ascii="Lucida Sans Unicode" w:hAnsi="Lucida Sans Unicode"/>
          <w:sz w:val="18"/>
        </w:rPr>
        <w:t>×</w:t>
      </w:r>
      <w:r>
        <w:rPr>
          <w:rFonts w:ascii="Lucida Sans Unicode" w:hAnsi="Lucida Sans Unicode"/>
          <w:spacing w:val="-29"/>
          <w:sz w:val="18"/>
        </w:rPr>
        <w:t> </w:t>
      </w:r>
      <w:r>
        <w:rPr>
          <w:i/>
          <w:spacing w:val="6"/>
          <w:sz w:val="18"/>
        </w:rPr>
        <w:t>CF</w:t>
      </w:r>
      <w:r>
        <w:rPr>
          <w:i/>
          <w:spacing w:val="3"/>
          <w:sz w:val="18"/>
        </w:rPr>
        <w:t> </w:t>
      </w:r>
      <w:r>
        <w:rPr>
          <w:rFonts w:ascii="Lucida Sans Unicode" w:hAnsi="Lucida Sans Unicode"/>
          <w:sz w:val="18"/>
        </w:rPr>
        <w:t>+</w:t>
      </w:r>
      <w:r>
        <w:rPr>
          <w:rFonts w:ascii="Lucida Sans Unicode" w:hAnsi="Lucida Sans Unicode"/>
          <w:spacing w:val="-29"/>
          <w:sz w:val="18"/>
        </w:rPr>
        <w:t> </w:t>
      </w:r>
      <w:r>
        <w:rPr>
          <w:rFonts w:ascii="Verdana" w:hAnsi="Verdana"/>
          <w:i/>
          <w:sz w:val="18"/>
        </w:rPr>
        <w:t>β</w:t>
      </w:r>
      <w:r>
        <w:rPr>
          <w:i/>
          <w:color w:val="231F20"/>
          <w:sz w:val="18"/>
          <w:vertAlign w:val="subscript"/>
        </w:rPr>
        <w:t>22</w:t>
      </w:r>
      <w:r>
        <w:rPr>
          <w:i/>
          <w:sz w:val="18"/>
          <w:vertAlign w:val="baseline"/>
        </w:rPr>
        <w:t>DEL</w:t>
      </w:r>
      <w:r>
        <w:rPr>
          <w:i/>
          <w:spacing w:val="-1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rFonts w:ascii="Verdana" w:hAnsi="Verdana"/>
          <w:i/>
          <w:sz w:val="18"/>
          <w:vertAlign w:val="baseline"/>
        </w:rPr>
        <w:t>β</w:t>
      </w:r>
      <w:r>
        <w:rPr>
          <w:i/>
          <w:color w:val="231F20"/>
          <w:sz w:val="18"/>
          <w:vertAlign w:val="subscript"/>
        </w:rPr>
        <w:t>23</w:t>
      </w:r>
      <w:r>
        <w:rPr>
          <w:i/>
          <w:sz w:val="18"/>
          <w:vertAlign w:val="baseline"/>
        </w:rPr>
        <w:t>DEL</w:t>
      </w:r>
      <w:r>
        <w:rPr>
          <w:i/>
          <w:spacing w:val="-1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pacing w:val="6"/>
          <w:sz w:val="18"/>
          <w:vertAlign w:val="baseline"/>
        </w:rPr>
        <w:t>CF</w:t>
      </w:r>
      <w:r>
        <w:rPr>
          <w:i/>
          <w:spacing w:val="-25"/>
          <w:sz w:val="18"/>
          <w:vertAlign w:val="baseline"/>
        </w:rPr>
        <w:t> </w:t>
      </w:r>
      <w:r>
        <w:rPr>
          <w:w w:val="105"/>
          <w:sz w:val="18"/>
          <w:vertAlign w:val="baseline"/>
        </w:rPr>
        <w:t>]</w:t>
      </w:r>
    </w:p>
    <w:p>
      <w:pPr>
        <w:spacing w:before="62"/>
        <w:ind w:left="1282" w:right="0" w:firstLine="0"/>
        <w:jc w:val="left"/>
        <w:rPr>
          <w:i/>
          <w:sz w:val="18"/>
        </w:rPr>
      </w:pPr>
      <w:r>
        <w:rPr>
          <w:rFonts w:ascii="Lucida Sans Unicode" w:hAnsi="Lucida Sans Unicode"/>
          <w:sz w:val="18"/>
        </w:rPr>
        <w:t>+ </w:t>
      </w:r>
      <w:r>
        <w:rPr>
          <w:sz w:val="18"/>
        </w:rPr>
        <w:t>[</w:t>
      </w:r>
      <w:r>
        <w:rPr>
          <w:rFonts w:ascii="Verdana" w:hAnsi="Verdana"/>
          <w:i/>
          <w:sz w:val="18"/>
        </w:rPr>
        <w:t>β</w:t>
      </w:r>
      <w:r>
        <w:rPr>
          <w:i/>
          <w:color w:val="231F20"/>
          <w:sz w:val="18"/>
          <w:vertAlign w:val="subscript"/>
        </w:rPr>
        <w:t>24</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25</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26</w:t>
      </w:r>
      <w:r>
        <w:rPr>
          <w:i/>
          <w:sz w:val="18"/>
          <w:vertAlign w:val="baseline"/>
        </w:rPr>
        <w:t>HEDF93 </w:t>
      </w:r>
      <w:r>
        <w:rPr>
          <w:rFonts w:ascii="Lucida Sans Unicode" w:hAnsi="Lucida Sans Unicode"/>
          <w:sz w:val="18"/>
          <w:vertAlign w:val="baseline"/>
        </w:rPr>
        <w:t>× </w:t>
      </w:r>
      <w:r>
        <w:rPr>
          <w:i/>
          <w:sz w:val="18"/>
          <w:vertAlign w:val="baseline"/>
        </w:rPr>
        <w:t>DEL</w:t>
      </w:r>
    </w:p>
    <w:p>
      <w:pPr>
        <w:spacing w:before="62"/>
        <w:ind w:left="1282" w:right="0" w:firstLine="0"/>
        <w:jc w:val="left"/>
        <w:rPr>
          <w:i/>
          <w:sz w:val="18"/>
        </w:rPr>
      </w:pPr>
      <w:r>
        <w:rPr>
          <w:rFonts w:ascii="Lucida Sans Unicode" w:hAnsi="Lucida Sans Unicode"/>
          <w:sz w:val="18"/>
        </w:rPr>
        <w:t>× </w:t>
      </w:r>
      <w:r>
        <w:rPr>
          <w:i/>
          <w:sz w:val="18"/>
        </w:rPr>
        <w:t>DCF </w:t>
      </w:r>
      <w:r>
        <w:rPr>
          <w:rFonts w:ascii="Lucida Sans Unicode" w:hAnsi="Lucida Sans Unicode"/>
          <w:sz w:val="18"/>
        </w:rPr>
        <w:t>+ </w:t>
      </w:r>
      <w:r>
        <w:rPr>
          <w:rFonts w:ascii="Verdana" w:hAnsi="Verdana"/>
          <w:i/>
          <w:sz w:val="18"/>
        </w:rPr>
        <w:t>β</w:t>
      </w:r>
      <w:r>
        <w:rPr>
          <w:i/>
          <w:color w:val="231F20"/>
          <w:sz w:val="18"/>
          <w:vertAlign w:val="subscript"/>
        </w:rPr>
        <w:t>27</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rFonts w:ascii="Lucida Sans Unicode" w:hAnsi="Lucida Sans Unicode"/>
          <w:sz w:val="18"/>
          <w:vertAlign w:val="baseline"/>
        </w:rPr>
        <w:t>+ </w:t>
      </w:r>
      <w:r>
        <w:rPr>
          <w:rFonts w:ascii="Verdana" w:hAnsi="Verdana"/>
          <w:i/>
          <w:sz w:val="18"/>
          <w:vertAlign w:val="baseline"/>
        </w:rPr>
        <w:t>β</w:t>
      </w:r>
      <w:r>
        <w:rPr>
          <w:i/>
          <w:color w:val="231F20"/>
          <w:sz w:val="18"/>
          <w:vertAlign w:val="subscript"/>
        </w:rPr>
        <w:t>28</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w:t>
      </w:r>
    </w:p>
    <w:p>
      <w:pPr>
        <w:spacing w:before="62"/>
        <w:ind w:left="1282" w:right="0" w:firstLine="0"/>
        <w:jc w:val="left"/>
        <w:rPr>
          <w:i/>
          <w:sz w:val="18"/>
        </w:rPr>
      </w:pPr>
      <w:r>
        <w:rPr>
          <w:rFonts w:ascii="Lucida Sans Unicode" w:hAnsi="Lucida Sans Unicode"/>
          <w:sz w:val="18"/>
        </w:rPr>
        <w:t>+</w:t>
      </w:r>
      <w:r>
        <w:rPr>
          <w:rFonts w:ascii="Lucida Sans Unicode" w:hAnsi="Lucida Sans Unicode"/>
          <w:spacing w:val="-37"/>
          <w:sz w:val="18"/>
        </w:rPr>
        <w:t> </w:t>
      </w:r>
      <w:r>
        <w:rPr>
          <w:rFonts w:ascii="Verdana" w:hAnsi="Verdana"/>
          <w:i/>
          <w:sz w:val="18"/>
        </w:rPr>
        <w:t>β</w:t>
      </w:r>
      <w:r>
        <w:rPr>
          <w:i/>
          <w:color w:val="231F20"/>
          <w:sz w:val="18"/>
          <w:vertAlign w:val="subscript"/>
        </w:rPr>
        <w:t>29</w:t>
      </w:r>
      <w:r>
        <w:rPr>
          <w:i/>
          <w:sz w:val="18"/>
          <w:vertAlign w:val="baseline"/>
        </w:rPr>
        <w:t>HEDF93</w:t>
      </w:r>
      <w:r>
        <w:rPr>
          <w:i/>
          <w:spacing w:val="-11"/>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DEL</w:t>
      </w:r>
      <w:r>
        <w:rPr>
          <w:i/>
          <w:spacing w:val="-13"/>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POST</w:t>
      </w:r>
      <w:r>
        <w:rPr>
          <w:i/>
          <w:spacing w:val="-2"/>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pacing w:val="6"/>
          <w:sz w:val="18"/>
          <w:vertAlign w:val="baseline"/>
        </w:rPr>
        <w:t>CF</w:t>
      </w:r>
      <w:r>
        <w:rPr>
          <w:i/>
          <w:spacing w:val="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rFonts w:ascii="Verdana" w:hAnsi="Verdana"/>
          <w:i/>
          <w:sz w:val="18"/>
          <w:vertAlign w:val="baseline"/>
        </w:rPr>
        <w:t>β</w:t>
      </w:r>
      <w:r>
        <w:rPr>
          <w:i/>
          <w:color w:val="231F20"/>
          <w:sz w:val="18"/>
          <w:vertAlign w:val="subscript"/>
        </w:rPr>
        <w:t>30</w:t>
      </w:r>
      <w:r>
        <w:rPr>
          <w:i/>
          <w:sz w:val="18"/>
          <w:vertAlign w:val="baseline"/>
        </w:rPr>
        <w:t>HEDF93</w:t>
      </w:r>
      <w:r>
        <w:rPr>
          <w:i/>
          <w:spacing w:val="-11"/>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DEL</w:t>
      </w:r>
      <w:r>
        <w:rPr>
          <w:i/>
          <w:spacing w:val="-13"/>
          <w:sz w:val="18"/>
          <w:vertAlign w:val="baseline"/>
        </w:rPr>
        <w:t> </w:t>
      </w:r>
      <w:r>
        <w:rPr>
          <w:rFonts w:ascii="Lucida Sans Unicode" w:hAnsi="Lucida Sans Unicode"/>
          <w:sz w:val="18"/>
          <w:vertAlign w:val="baseline"/>
        </w:rPr>
        <w:t>×</w:t>
      </w:r>
      <w:r>
        <w:rPr>
          <w:rFonts w:ascii="Lucida Sans Unicode" w:hAnsi="Lucida Sans Unicode"/>
          <w:spacing w:val="-29"/>
          <w:sz w:val="18"/>
          <w:vertAlign w:val="baseline"/>
        </w:rPr>
        <w:t> </w:t>
      </w:r>
      <w:r>
        <w:rPr>
          <w:i/>
          <w:sz w:val="18"/>
          <w:vertAlign w:val="baseline"/>
        </w:rPr>
        <w:t>POST</w:t>
      </w:r>
      <w:r>
        <w:rPr>
          <w:i/>
          <w:spacing w:val="-2"/>
          <w:sz w:val="18"/>
          <w:vertAlign w:val="baseline"/>
        </w:rPr>
        <w:t> </w:t>
      </w:r>
      <w:r>
        <w:rPr>
          <w:rFonts w:ascii="Lucida Sans Unicode" w:hAnsi="Lucida Sans Unicode"/>
          <w:sz w:val="18"/>
          <w:vertAlign w:val="baseline"/>
        </w:rPr>
        <w:t>×</w:t>
      </w:r>
      <w:r>
        <w:rPr>
          <w:rFonts w:ascii="Lucida Sans Unicode" w:hAnsi="Lucida Sans Unicode"/>
          <w:spacing w:val="-30"/>
          <w:sz w:val="18"/>
          <w:vertAlign w:val="baseline"/>
        </w:rPr>
        <w:t> </w:t>
      </w:r>
      <w:r>
        <w:rPr>
          <w:i/>
          <w:sz w:val="18"/>
          <w:vertAlign w:val="baseline"/>
        </w:rPr>
        <w:t>DCF</w:t>
      </w:r>
    </w:p>
    <w:p>
      <w:pPr>
        <w:spacing w:before="62"/>
        <w:ind w:left="1282" w:right="0" w:firstLine="0"/>
        <w:jc w:val="left"/>
        <w:rPr>
          <w:i/>
          <w:sz w:val="18"/>
        </w:rPr>
      </w:pPr>
      <w:r>
        <w:rPr>
          <w:rFonts w:ascii="Lucida Sans Unicode" w:hAnsi="Lucida Sans Unicode"/>
          <w:sz w:val="18"/>
        </w:rPr>
        <w:t>+ </w:t>
      </w:r>
      <w:r>
        <w:rPr>
          <w:rFonts w:ascii="Verdana" w:hAnsi="Verdana"/>
          <w:i/>
          <w:sz w:val="18"/>
        </w:rPr>
        <w:t>β</w:t>
      </w:r>
      <w:r>
        <w:rPr>
          <w:i/>
          <w:color w:val="231F20"/>
          <w:sz w:val="18"/>
          <w:vertAlign w:val="subscript"/>
        </w:rPr>
        <w:t>31</w:t>
      </w:r>
      <w:r>
        <w:rPr>
          <w:i/>
          <w:sz w:val="18"/>
          <w:vertAlign w:val="baseline"/>
        </w:rPr>
        <w:t>HEDF93 </w:t>
      </w:r>
      <w:r>
        <w:rPr>
          <w:rFonts w:ascii="Lucida Sans Unicode" w:hAnsi="Lucida Sans Unicode"/>
          <w:sz w:val="18"/>
          <w:vertAlign w:val="baseline"/>
        </w:rPr>
        <w:t>× </w:t>
      </w:r>
      <w:r>
        <w:rPr>
          <w:i/>
          <w:sz w:val="18"/>
          <w:vertAlign w:val="baseline"/>
        </w:rPr>
        <w:t>DEL </w:t>
      </w:r>
      <w:r>
        <w:rPr>
          <w:rFonts w:ascii="Lucida Sans Unicode" w:hAnsi="Lucida Sans Unicode"/>
          <w:sz w:val="18"/>
          <w:vertAlign w:val="baseline"/>
        </w:rPr>
        <w:t>× </w:t>
      </w:r>
      <w:r>
        <w:rPr>
          <w:i/>
          <w:sz w:val="18"/>
          <w:vertAlign w:val="baseline"/>
        </w:rPr>
        <w:t>POST </w:t>
      </w:r>
      <w:r>
        <w:rPr>
          <w:rFonts w:ascii="Lucida Sans Unicode" w:hAnsi="Lucida Sans Unicode"/>
          <w:sz w:val="18"/>
          <w:vertAlign w:val="baseline"/>
        </w:rPr>
        <w:t>× </w:t>
      </w:r>
      <w:r>
        <w:rPr>
          <w:i/>
          <w:sz w:val="18"/>
          <w:vertAlign w:val="baseline"/>
        </w:rPr>
        <w:t>DCF </w:t>
      </w:r>
      <w:r>
        <w:rPr>
          <w:rFonts w:ascii="Lucida Sans Unicode" w:hAnsi="Lucida Sans Unicode"/>
          <w:sz w:val="18"/>
          <w:vertAlign w:val="baseline"/>
        </w:rPr>
        <w:t>× </w:t>
      </w:r>
      <w:r>
        <w:rPr>
          <w:i/>
          <w:sz w:val="18"/>
          <w:vertAlign w:val="baseline"/>
        </w:rPr>
        <w:t>CF </w:t>
      </w:r>
      <w:r>
        <w:rPr>
          <w:sz w:val="18"/>
          <w:vertAlign w:val="baseline"/>
        </w:rPr>
        <w:t>] </w:t>
      </w:r>
      <w:r>
        <w:rPr>
          <w:rFonts w:ascii="Lucida Sans Unicode" w:hAnsi="Lucida Sans Unicode"/>
          <w:sz w:val="18"/>
          <w:vertAlign w:val="baseline"/>
        </w:rPr>
        <w:t>+ </w:t>
      </w:r>
      <w:r>
        <w:rPr>
          <w:i/>
          <w:sz w:val="18"/>
          <w:vertAlign w:val="baseline"/>
        </w:rPr>
        <w:t>Control Variables</w:t>
      </w:r>
    </w:p>
    <w:p>
      <w:pPr>
        <w:spacing w:before="62"/>
        <w:ind w:left="1282" w:right="0" w:firstLine="0"/>
        <w:jc w:val="left"/>
        <w:rPr>
          <w:i/>
          <w:sz w:val="18"/>
        </w:rPr>
      </w:pPr>
      <w:r>
        <w:rPr>
          <w:rFonts w:ascii="Lucida Sans Unicode" w:hAnsi="Lucida Sans Unicode"/>
          <w:sz w:val="18"/>
        </w:rPr>
        <w:t>+ </w:t>
      </w:r>
      <w:r>
        <w:rPr>
          <w:i/>
          <w:sz w:val="18"/>
        </w:rPr>
        <w:t>Control Variables </w:t>
      </w:r>
      <w:r>
        <w:rPr>
          <w:rFonts w:ascii="Lucida Sans Unicode" w:hAnsi="Lucida Sans Unicode"/>
          <w:sz w:val="18"/>
        </w:rPr>
        <w:t>× </w:t>
      </w:r>
      <w:r>
        <w:rPr>
          <w:i/>
          <w:sz w:val="18"/>
        </w:rPr>
        <w:t>CF </w:t>
      </w:r>
      <w:r>
        <w:rPr>
          <w:rFonts w:ascii="Lucida Sans Unicode" w:hAnsi="Lucida Sans Unicode"/>
          <w:sz w:val="18"/>
        </w:rPr>
        <w:t>+ </w:t>
      </w:r>
      <w:r>
        <w:rPr>
          <w:i/>
          <w:sz w:val="18"/>
        </w:rPr>
        <w:t>Control Variables </w:t>
      </w:r>
      <w:r>
        <w:rPr>
          <w:rFonts w:ascii="Lucida Sans Unicode" w:hAnsi="Lucida Sans Unicode"/>
          <w:sz w:val="18"/>
        </w:rPr>
        <w:t>× </w:t>
      </w:r>
      <w:r>
        <w:rPr>
          <w:i/>
          <w:sz w:val="18"/>
        </w:rPr>
        <w:t>DCF</w:t>
      </w:r>
    </w:p>
    <w:p>
      <w:pPr>
        <w:spacing w:before="62"/>
        <w:ind w:left="1282" w:right="0" w:firstLine="0"/>
        <w:jc w:val="left"/>
        <w:rPr>
          <w:rFonts w:ascii="Verdana" w:hAnsi="Verdana"/>
          <w:i/>
          <w:sz w:val="18"/>
        </w:rPr>
      </w:pPr>
      <w:r>
        <w:rPr>
          <w:rFonts w:ascii="Lucida Sans Unicode" w:hAnsi="Lucida Sans Unicode"/>
          <w:sz w:val="18"/>
        </w:rPr>
        <w:t>+</w:t>
      </w:r>
      <w:r>
        <w:rPr>
          <w:i/>
          <w:sz w:val="18"/>
        </w:rPr>
        <w:t>Control</w:t>
      </w:r>
      <w:r>
        <w:rPr>
          <w:i/>
          <w:spacing w:val="-17"/>
          <w:sz w:val="18"/>
        </w:rPr>
        <w:t> </w:t>
      </w:r>
      <w:r>
        <w:rPr>
          <w:i/>
          <w:sz w:val="18"/>
        </w:rPr>
        <w:t>Variables</w:t>
      </w:r>
      <w:r>
        <w:rPr>
          <w:i/>
          <w:spacing w:val="-16"/>
          <w:sz w:val="18"/>
        </w:rPr>
        <w:t> </w:t>
      </w:r>
      <w:r>
        <w:rPr>
          <w:rFonts w:ascii="Lucida Sans Unicode" w:hAnsi="Lucida Sans Unicode"/>
          <w:sz w:val="18"/>
        </w:rPr>
        <w:t>×</w:t>
      </w:r>
      <w:r>
        <w:rPr>
          <w:rFonts w:ascii="Lucida Sans Unicode" w:hAnsi="Lucida Sans Unicode"/>
          <w:spacing w:val="-33"/>
          <w:sz w:val="18"/>
        </w:rPr>
        <w:t> </w:t>
      </w:r>
      <w:r>
        <w:rPr>
          <w:i/>
          <w:sz w:val="18"/>
        </w:rPr>
        <w:t>DCF</w:t>
      </w:r>
      <w:r>
        <w:rPr>
          <w:i/>
          <w:spacing w:val="-2"/>
          <w:sz w:val="18"/>
        </w:rPr>
        <w:t> </w:t>
      </w:r>
      <w:r>
        <w:rPr>
          <w:rFonts w:ascii="Lucida Sans Unicode" w:hAnsi="Lucida Sans Unicode"/>
          <w:sz w:val="18"/>
        </w:rPr>
        <w:t>×</w:t>
      </w:r>
      <w:r>
        <w:rPr>
          <w:rFonts w:ascii="Lucida Sans Unicode" w:hAnsi="Lucida Sans Unicode"/>
          <w:spacing w:val="-32"/>
          <w:sz w:val="18"/>
        </w:rPr>
        <w:t> </w:t>
      </w:r>
      <w:r>
        <w:rPr>
          <w:i/>
          <w:spacing w:val="6"/>
          <w:sz w:val="18"/>
        </w:rPr>
        <w:t>CF</w:t>
      </w:r>
      <w:r>
        <w:rPr>
          <w:i/>
          <w:spacing w:val="-2"/>
          <w:sz w:val="18"/>
        </w:rPr>
        <w:t> </w:t>
      </w:r>
      <w:r>
        <w:rPr>
          <w:rFonts w:ascii="Lucida Sans Unicode" w:hAnsi="Lucida Sans Unicode"/>
          <w:sz w:val="18"/>
        </w:rPr>
        <w:t>+</w:t>
      </w:r>
      <w:r>
        <w:rPr>
          <w:rFonts w:ascii="Lucida Sans Unicode" w:hAnsi="Lucida Sans Unicode"/>
          <w:spacing w:val="-33"/>
          <w:sz w:val="18"/>
        </w:rPr>
        <w:t> </w:t>
      </w:r>
      <w:r>
        <w:rPr>
          <w:i/>
          <w:sz w:val="18"/>
        </w:rPr>
        <w:t>Industry</w:t>
      </w:r>
      <w:r>
        <w:rPr>
          <w:i/>
          <w:spacing w:val="-25"/>
          <w:sz w:val="18"/>
        </w:rPr>
        <w:t> </w:t>
      </w:r>
      <w:r>
        <w:rPr>
          <w:i/>
          <w:sz w:val="18"/>
        </w:rPr>
        <w:t>Dummies</w:t>
      </w:r>
      <w:r>
        <w:rPr>
          <w:i/>
          <w:spacing w:val="-16"/>
          <w:sz w:val="18"/>
        </w:rPr>
        <w:t> </w:t>
      </w:r>
      <w:r>
        <w:rPr>
          <w:rFonts w:ascii="Lucida Sans Unicode" w:hAnsi="Lucida Sans Unicode"/>
          <w:sz w:val="18"/>
        </w:rPr>
        <w:t>+</w:t>
      </w:r>
      <w:r>
        <w:rPr>
          <w:rFonts w:ascii="Lucida Sans Unicode" w:hAnsi="Lucida Sans Unicode"/>
          <w:spacing w:val="-33"/>
          <w:sz w:val="18"/>
        </w:rPr>
        <w:t> </w:t>
      </w:r>
      <w:r>
        <w:rPr>
          <w:i/>
          <w:spacing w:val="-5"/>
          <w:sz w:val="18"/>
        </w:rPr>
        <w:t>Year</w:t>
      </w:r>
      <w:r>
        <w:rPr>
          <w:i/>
          <w:spacing w:val="-15"/>
          <w:sz w:val="18"/>
        </w:rPr>
        <w:t> </w:t>
      </w:r>
      <w:r>
        <w:rPr>
          <w:i/>
          <w:sz w:val="18"/>
        </w:rPr>
        <w:t>Dummies</w:t>
      </w:r>
      <w:r>
        <w:rPr>
          <w:i/>
          <w:spacing w:val="-16"/>
          <w:sz w:val="18"/>
        </w:rPr>
        <w:t> </w:t>
      </w:r>
      <w:r>
        <w:rPr>
          <w:rFonts w:ascii="Lucida Sans Unicode" w:hAnsi="Lucida Sans Unicode"/>
          <w:sz w:val="18"/>
        </w:rPr>
        <w:t>+</w:t>
      </w:r>
      <w:r>
        <w:rPr>
          <w:rFonts w:ascii="Lucida Sans Unicode" w:hAnsi="Lucida Sans Unicode"/>
          <w:spacing w:val="-33"/>
          <w:sz w:val="18"/>
        </w:rPr>
        <w:t> </w:t>
      </w:r>
      <w:r>
        <w:rPr>
          <w:i/>
          <w:sz w:val="18"/>
        </w:rPr>
        <w:t>e</w:t>
      </w:r>
      <w:r>
        <w:rPr>
          <w:i/>
          <w:spacing w:val="-32"/>
          <w:sz w:val="18"/>
        </w:rPr>
        <w:t> </w:t>
      </w:r>
      <w:r>
        <w:rPr>
          <w:rFonts w:ascii="Verdana" w:hAnsi="Verdana"/>
          <w:i/>
          <w:sz w:val="18"/>
        </w:rPr>
        <w:t>,</w:t>
      </w:r>
    </w:p>
    <w:p>
      <w:pPr>
        <w:pStyle w:val="BodyText"/>
        <w:spacing w:line="228" w:lineRule="auto" w:before="70"/>
        <w:ind w:left="532" w:right="149"/>
        <w:jc w:val="both"/>
        <w:rPr>
          <w:i/>
        </w:rPr>
      </w:pPr>
      <w:r>
        <w:rPr/>
        <w:t>where</w:t>
      </w:r>
      <w:r>
        <w:rPr>
          <w:spacing w:val="-18"/>
        </w:rPr>
        <w:t> </w:t>
      </w:r>
      <w:r>
        <w:rPr>
          <w:i/>
        </w:rPr>
        <w:t>ACCR</w:t>
      </w:r>
      <w:r>
        <w:rPr>
          <w:i/>
          <w:spacing w:val="-18"/>
        </w:rPr>
        <w:t> </w:t>
      </w:r>
      <w:r>
        <w:rPr/>
        <w:t>is</w:t>
      </w:r>
      <w:r>
        <w:rPr>
          <w:spacing w:val="-18"/>
        </w:rPr>
        <w:t> </w:t>
      </w:r>
      <w:r>
        <w:rPr/>
        <w:t>a</w:t>
      </w:r>
      <w:r>
        <w:rPr>
          <w:spacing w:val="-18"/>
        </w:rPr>
        <w:t> </w:t>
      </w:r>
      <w:r>
        <w:rPr/>
        <w:t>firm’s</w:t>
      </w:r>
      <w:r>
        <w:rPr>
          <w:spacing w:val="-18"/>
        </w:rPr>
        <w:t> </w:t>
      </w:r>
      <w:r>
        <w:rPr/>
        <w:t>accruals</w:t>
      </w:r>
      <w:r>
        <w:rPr>
          <w:spacing w:val="-18"/>
        </w:rPr>
        <w:t> </w:t>
      </w:r>
      <w:r>
        <w:rPr/>
        <w:t>(defined</w:t>
      </w:r>
      <w:r>
        <w:rPr>
          <w:spacing w:val="-18"/>
        </w:rPr>
        <w:t> </w:t>
      </w:r>
      <w:r>
        <w:rPr/>
        <w:t>as</w:t>
      </w:r>
      <w:r>
        <w:rPr>
          <w:spacing w:val="-18"/>
        </w:rPr>
        <w:t> </w:t>
      </w:r>
      <w:r>
        <w:rPr/>
        <w:t>the</w:t>
      </w:r>
      <w:r>
        <w:rPr>
          <w:spacing w:val="-18"/>
        </w:rPr>
        <w:t> </w:t>
      </w:r>
      <w:r>
        <w:rPr/>
        <w:t>difference</w:t>
      </w:r>
      <w:r>
        <w:rPr>
          <w:spacing w:val="-18"/>
        </w:rPr>
        <w:t> </w:t>
      </w:r>
      <w:r>
        <w:rPr/>
        <w:t>between</w:t>
      </w:r>
      <w:r>
        <w:rPr>
          <w:spacing w:val="-17"/>
        </w:rPr>
        <w:t> </w:t>
      </w:r>
      <w:r>
        <w:rPr/>
        <w:t>income from</w:t>
      </w:r>
      <w:r>
        <w:rPr>
          <w:spacing w:val="-19"/>
        </w:rPr>
        <w:t> </w:t>
      </w:r>
      <w:r>
        <w:rPr/>
        <w:t>continuing</w:t>
      </w:r>
      <w:r>
        <w:rPr>
          <w:spacing w:val="-18"/>
        </w:rPr>
        <w:t> </w:t>
      </w:r>
      <w:r>
        <w:rPr/>
        <w:t>operations</w:t>
      </w:r>
      <w:r>
        <w:rPr>
          <w:spacing w:val="-18"/>
        </w:rPr>
        <w:t> </w:t>
      </w:r>
      <w:r>
        <w:rPr/>
        <w:t>and</w:t>
      </w:r>
      <w:r>
        <w:rPr>
          <w:spacing w:val="-18"/>
        </w:rPr>
        <w:t> </w:t>
      </w:r>
      <w:r>
        <w:rPr/>
        <w:t>operating</w:t>
      </w:r>
      <w:r>
        <w:rPr>
          <w:spacing w:val="-18"/>
        </w:rPr>
        <w:t> </w:t>
      </w:r>
      <w:r>
        <w:rPr/>
        <w:t>cash</w:t>
      </w:r>
      <w:r>
        <w:rPr>
          <w:spacing w:val="-19"/>
        </w:rPr>
        <w:t> </w:t>
      </w:r>
      <w:r>
        <w:rPr/>
        <w:t>flows)</w:t>
      </w:r>
      <w:r>
        <w:rPr>
          <w:spacing w:val="-19"/>
        </w:rPr>
        <w:t> </w:t>
      </w:r>
      <w:r>
        <w:rPr/>
        <w:t>scaled</w:t>
      </w:r>
      <w:r>
        <w:rPr>
          <w:spacing w:val="-18"/>
        </w:rPr>
        <w:t> </w:t>
      </w:r>
      <w:r>
        <w:rPr/>
        <w:t>by</w:t>
      </w:r>
      <w:r>
        <w:rPr>
          <w:spacing w:val="-19"/>
        </w:rPr>
        <w:t> </w:t>
      </w:r>
      <w:r>
        <w:rPr/>
        <w:t>beginning of</w:t>
      </w:r>
      <w:r>
        <w:rPr>
          <w:spacing w:val="-11"/>
        </w:rPr>
        <w:t> </w:t>
      </w:r>
      <w:r>
        <w:rPr/>
        <w:t>the</w:t>
      </w:r>
      <w:r>
        <w:rPr>
          <w:spacing w:val="-11"/>
        </w:rPr>
        <w:t> </w:t>
      </w:r>
      <w:r>
        <w:rPr/>
        <w:t>year</w:t>
      </w:r>
      <w:r>
        <w:rPr>
          <w:spacing w:val="-11"/>
        </w:rPr>
        <w:t> </w:t>
      </w:r>
      <w:r>
        <w:rPr/>
        <w:t>total</w:t>
      </w:r>
      <w:r>
        <w:rPr>
          <w:spacing w:val="-11"/>
        </w:rPr>
        <w:t> </w:t>
      </w:r>
      <w:r>
        <w:rPr/>
        <w:t>assets,</w:t>
      </w:r>
      <w:r>
        <w:rPr>
          <w:spacing w:val="-11"/>
        </w:rPr>
        <w:t> </w:t>
      </w:r>
      <w:r>
        <w:rPr>
          <w:i/>
        </w:rPr>
        <w:t>CF</w:t>
      </w:r>
      <w:r>
        <w:rPr>
          <w:i/>
          <w:spacing w:val="-11"/>
        </w:rPr>
        <w:t> </w:t>
      </w:r>
      <w:r>
        <w:rPr/>
        <w:t>is</w:t>
      </w:r>
      <w:r>
        <w:rPr>
          <w:spacing w:val="-11"/>
        </w:rPr>
        <w:t> </w:t>
      </w:r>
      <w:r>
        <w:rPr/>
        <w:t>a</w:t>
      </w:r>
      <w:r>
        <w:rPr>
          <w:spacing w:val="-11"/>
        </w:rPr>
        <w:t> </w:t>
      </w:r>
      <w:r>
        <w:rPr/>
        <w:t>firm’s</w:t>
      </w:r>
      <w:r>
        <w:rPr>
          <w:spacing w:val="-11"/>
        </w:rPr>
        <w:t> </w:t>
      </w:r>
      <w:r>
        <w:rPr/>
        <w:t>operating</w:t>
      </w:r>
      <w:r>
        <w:rPr>
          <w:spacing w:val="-11"/>
        </w:rPr>
        <w:t> </w:t>
      </w:r>
      <w:r>
        <w:rPr/>
        <w:t>cash</w:t>
      </w:r>
      <w:r>
        <w:rPr>
          <w:spacing w:val="-11"/>
        </w:rPr>
        <w:t> </w:t>
      </w:r>
      <w:r>
        <w:rPr/>
        <w:t>flows</w:t>
      </w:r>
      <w:r>
        <w:rPr>
          <w:spacing w:val="-11"/>
        </w:rPr>
        <w:t> </w:t>
      </w:r>
      <w:r>
        <w:rPr/>
        <w:t>scaled</w:t>
      </w:r>
      <w:r>
        <w:rPr>
          <w:spacing w:val="-11"/>
        </w:rPr>
        <w:t> </w:t>
      </w:r>
      <w:r>
        <w:rPr/>
        <w:t>by</w:t>
      </w:r>
      <w:r>
        <w:rPr>
          <w:spacing w:val="-11"/>
        </w:rPr>
        <w:t> </w:t>
      </w:r>
      <w:r>
        <w:rPr/>
        <w:t>begin- ning of the year total assets, and </w:t>
      </w:r>
      <w:r>
        <w:rPr>
          <w:i/>
        </w:rPr>
        <w:t>DCF </w:t>
      </w:r>
      <w:r>
        <w:rPr/>
        <w:t>is a dichotomous variable equal to one</w:t>
      </w:r>
      <w:r>
        <w:rPr>
          <w:spacing w:val="-17"/>
        </w:rPr>
        <w:t> </w:t>
      </w:r>
      <w:r>
        <w:rPr/>
        <w:t>if</w:t>
      </w:r>
      <w:r>
        <w:rPr>
          <w:spacing w:val="-17"/>
        </w:rPr>
        <w:t> </w:t>
      </w:r>
      <w:r>
        <w:rPr>
          <w:i/>
        </w:rPr>
        <w:t>CF</w:t>
      </w:r>
      <w:r>
        <w:rPr>
          <w:i/>
          <w:spacing w:val="-17"/>
        </w:rPr>
        <w:t> </w:t>
      </w:r>
      <w:r>
        <w:rPr/>
        <w:t>is</w:t>
      </w:r>
      <w:r>
        <w:rPr>
          <w:spacing w:val="-17"/>
        </w:rPr>
        <w:t> </w:t>
      </w:r>
      <w:r>
        <w:rPr/>
        <w:t>negative</w:t>
      </w:r>
      <w:r>
        <w:rPr>
          <w:spacing w:val="-17"/>
        </w:rPr>
        <w:t> </w:t>
      </w:r>
      <w:r>
        <w:rPr/>
        <w:t>and</w:t>
      </w:r>
      <w:r>
        <w:rPr>
          <w:spacing w:val="-17"/>
        </w:rPr>
        <w:t> </w:t>
      </w:r>
      <w:r>
        <w:rPr/>
        <w:t>zero</w:t>
      </w:r>
      <w:r>
        <w:rPr>
          <w:spacing w:val="-17"/>
        </w:rPr>
        <w:t> </w:t>
      </w:r>
      <w:r>
        <w:rPr/>
        <w:t>otherwise.</w:t>
      </w:r>
      <w:r>
        <w:rPr>
          <w:spacing w:val="-17"/>
        </w:rPr>
        <w:t> </w:t>
      </w:r>
      <w:r>
        <w:rPr>
          <w:spacing w:val="-6"/>
        </w:rPr>
        <w:t>We</w:t>
      </w:r>
      <w:r>
        <w:rPr>
          <w:spacing w:val="-17"/>
        </w:rPr>
        <w:t> </w:t>
      </w:r>
      <w:r>
        <w:rPr/>
        <w:t>include</w:t>
      </w:r>
      <w:r>
        <w:rPr>
          <w:spacing w:val="-17"/>
        </w:rPr>
        <w:t> </w:t>
      </w:r>
      <w:r>
        <w:rPr/>
        <w:t>the</w:t>
      </w:r>
      <w:r>
        <w:rPr>
          <w:spacing w:val="-17"/>
        </w:rPr>
        <w:t> </w:t>
      </w:r>
      <w:r>
        <w:rPr/>
        <w:t>same</w:t>
      </w:r>
      <w:r>
        <w:rPr>
          <w:spacing w:val="-17"/>
        </w:rPr>
        <w:t> </w:t>
      </w:r>
      <w:r>
        <w:rPr/>
        <w:t>set</w:t>
      </w:r>
      <w:r>
        <w:rPr>
          <w:spacing w:val="-17"/>
        </w:rPr>
        <w:t> </w:t>
      </w:r>
      <w:r>
        <w:rPr/>
        <w:t>of</w:t>
      </w:r>
      <w:r>
        <w:rPr>
          <w:spacing w:val="-17"/>
        </w:rPr>
        <w:t> </w:t>
      </w:r>
      <w:r>
        <w:rPr/>
        <w:t>control variables as in model (1). Similar to model (3), to control for possible</w:t>
      </w:r>
      <w:r>
        <w:rPr>
          <w:spacing w:val="-23"/>
        </w:rPr>
        <w:t> </w:t>
      </w:r>
      <w:r>
        <w:rPr/>
        <w:t>con- founding</w:t>
      </w:r>
      <w:r>
        <w:rPr>
          <w:spacing w:val="-10"/>
        </w:rPr>
        <w:t> </w:t>
      </w:r>
      <w:r>
        <w:rPr/>
        <w:t>effects</w:t>
      </w:r>
      <w:r>
        <w:rPr>
          <w:spacing w:val="-10"/>
        </w:rPr>
        <w:t> </w:t>
      </w:r>
      <w:r>
        <w:rPr/>
        <w:t>of</w:t>
      </w:r>
      <w:r>
        <w:rPr>
          <w:spacing w:val="-10"/>
        </w:rPr>
        <w:t> </w:t>
      </w:r>
      <w:r>
        <w:rPr/>
        <w:t>control</w:t>
      </w:r>
      <w:r>
        <w:rPr>
          <w:spacing w:val="-10"/>
        </w:rPr>
        <w:t> </w:t>
      </w:r>
      <w:r>
        <w:rPr/>
        <w:t>variables</w:t>
      </w:r>
      <w:r>
        <w:rPr>
          <w:spacing w:val="-10"/>
        </w:rPr>
        <w:t> </w:t>
      </w:r>
      <w:r>
        <w:rPr/>
        <w:t>on</w:t>
      </w:r>
      <w:r>
        <w:rPr>
          <w:spacing w:val="-10"/>
        </w:rPr>
        <w:t> </w:t>
      </w:r>
      <w:r>
        <w:rPr/>
        <w:t>asymmetric</w:t>
      </w:r>
      <w:r>
        <w:rPr>
          <w:spacing w:val="-10"/>
        </w:rPr>
        <w:t> </w:t>
      </w:r>
      <w:r>
        <w:rPr/>
        <w:t>timeliness</w:t>
      </w:r>
      <w:r>
        <w:rPr>
          <w:spacing w:val="-10"/>
        </w:rPr>
        <w:t> </w:t>
      </w:r>
      <w:r>
        <w:rPr/>
        <w:t>of</w:t>
      </w:r>
      <w:r>
        <w:rPr>
          <w:spacing w:val="-10"/>
        </w:rPr>
        <w:t> </w:t>
      </w:r>
      <w:r>
        <w:rPr/>
        <w:t>accruals, we</w:t>
      </w:r>
      <w:r>
        <w:rPr>
          <w:spacing w:val="-15"/>
        </w:rPr>
        <w:t> </w:t>
      </w:r>
      <w:r>
        <w:rPr/>
        <w:t>include</w:t>
      </w:r>
      <w:r>
        <w:rPr>
          <w:spacing w:val="-15"/>
        </w:rPr>
        <w:t> </w:t>
      </w:r>
      <w:r>
        <w:rPr/>
        <w:t>a</w:t>
      </w:r>
      <w:r>
        <w:rPr>
          <w:spacing w:val="-15"/>
        </w:rPr>
        <w:t> </w:t>
      </w:r>
      <w:r>
        <w:rPr/>
        <w:t>full</w:t>
      </w:r>
      <w:r>
        <w:rPr>
          <w:spacing w:val="-15"/>
        </w:rPr>
        <w:t> </w:t>
      </w:r>
      <w:r>
        <w:rPr/>
        <w:t>set</w:t>
      </w:r>
      <w:r>
        <w:rPr>
          <w:spacing w:val="-15"/>
        </w:rPr>
        <w:t> </w:t>
      </w:r>
      <w:r>
        <w:rPr/>
        <w:t>of</w:t>
      </w:r>
      <w:r>
        <w:rPr>
          <w:spacing w:val="-15"/>
        </w:rPr>
        <w:t> </w:t>
      </w:r>
      <w:r>
        <w:rPr/>
        <w:t>interaction</w:t>
      </w:r>
      <w:r>
        <w:rPr>
          <w:spacing w:val="-15"/>
        </w:rPr>
        <w:t> </w:t>
      </w:r>
      <w:r>
        <w:rPr/>
        <w:t>terms</w:t>
      </w:r>
      <w:r>
        <w:rPr>
          <w:spacing w:val="-15"/>
        </w:rPr>
        <w:t> </w:t>
      </w:r>
      <w:r>
        <w:rPr/>
        <w:t>of</w:t>
      </w:r>
      <w:r>
        <w:rPr>
          <w:spacing w:val="-15"/>
        </w:rPr>
        <w:t> </w:t>
      </w:r>
      <w:r>
        <w:rPr/>
        <w:t>control</w:t>
      </w:r>
      <w:r>
        <w:rPr>
          <w:spacing w:val="-15"/>
        </w:rPr>
        <w:t> </w:t>
      </w:r>
      <w:r>
        <w:rPr/>
        <w:t>variables</w:t>
      </w:r>
      <w:r>
        <w:rPr>
          <w:spacing w:val="-15"/>
        </w:rPr>
        <w:t> </w:t>
      </w:r>
      <w:r>
        <w:rPr/>
        <w:t>with</w:t>
      </w:r>
      <w:r>
        <w:rPr>
          <w:spacing w:val="-14"/>
        </w:rPr>
        <w:t> </w:t>
      </w:r>
      <w:r>
        <w:rPr>
          <w:i/>
        </w:rPr>
        <w:t>DCF</w:t>
      </w:r>
      <w:r>
        <w:rPr/>
        <w:t>,</w:t>
      </w:r>
      <w:r>
        <w:rPr>
          <w:spacing w:val="-15"/>
        </w:rPr>
        <w:t> </w:t>
      </w:r>
      <w:r>
        <w:rPr>
          <w:i/>
        </w:rPr>
        <w:t>CF</w:t>
      </w:r>
      <w:r>
        <w:rPr/>
        <w:t>, and </w:t>
      </w:r>
      <w:r>
        <w:rPr>
          <w:i/>
          <w:spacing w:val="-3"/>
        </w:rPr>
        <w:t>DCF</w:t>
      </w:r>
      <w:r>
        <w:rPr>
          <w:rFonts w:ascii="Lucida Sans Unicode" w:hAnsi="Lucida Sans Unicode"/>
          <w:spacing w:val="-3"/>
        </w:rPr>
        <w:t>×</w:t>
      </w:r>
      <w:r>
        <w:rPr>
          <w:i/>
          <w:spacing w:val="-3"/>
        </w:rPr>
        <w:t>CF.</w:t>
      </w:r>
    </w:p>
    <w:p>
      <w:pPr>
        <w:pStyle w:val="BodyText"/>
        <w:spacing w:before="1"/>
        <w:rPr>
          <w:i/>
          <w:sz w:val="9"/>
        </w:rPr>
      </w:pPr>
      <w:r>
        <w:rPr/>
        <w:pict>
          <v:line style="position:absolute;mso-position-horizontal-relative:page;mso-position-vertical-relative:paragraph;z-index:2032;mso-wrap-distance-left:0;mso-wrap-distance-right:0" from="90.629997pt,7.750593pt" to="126.503997pt,7.750593pt" stroked="true" strokeweight=".504pt" strokecolor="#000000">
            <v:stroke dashstyle="solid"/>
            <w10:wrap type="topAndBottom"/>
          </v:line>
        </w:pict>
      </w:r>
    </w:p>
    <w:p>
      <w:pPr>
        <w:spacing w:before="72"/>
        <w:ind w:left="532" w:right="148" w:firstLine="179"/>
        <w:jc w:val="both"/>
        <w:rPr>
          <w:sz w:val="16"/>
        </w:rPr>
      </w:pPr>
      <w:r>
        <w:rPr>
          <w:color w:val="231F20"/>
          <w:position w:val="6"/>
          <w:sz w:val="12"/>
        </w:rPr>
        <w:t>24 </w:t>
      </w:r>
      <w:r>
        <w:rPr>
          <w:color w:val="231F20"/>
          <w:spacing w:val="-8"/>
          <w:sz w:val="16"/>
        </w:rPr>
        <w:t>To </w:t>
      </w:r>
      <w:r>
        <w:rPr>
          <w:color w:val="231F20"/>
          <w:sz w:val="16"/>
        </w:rPr>
        <w:t>alleviate multicollinearity concerns due to a very large number of interaction terms, we demean all continuous variables in this model.</w:t>
      </w:r>
    </w:p>
    <w:p>
      <w:pPr>
        <w:spacing w:after="0"/>
        <w:jc w:val="both"/>
        <w:rPr>
          <w:sz w:val="16"/>
        </w:rPr>
        <w:sectPr>
          <w:pgSz w:w="9720" w:h="14400"/>
          <w:pgMar w:header="1057" w:footer="0" w:top="1300" w:bottom="280" w:left="1280" w:right="1300"/>
        </w:sectPr>
      </w:pPr>
    </w:p>
    <w:p>
      <w:pPr>
        <w:pStyle w:val="BodyText"/>
        <w:rPr>
          <w:sz w:val="18"/>
        </w:rPr>
      </w:pPr>
    </w:p>
    <w:p>
      <w:pPr>
        <w:pStyle w:val="BodyText"/>
        <w:rPr>
          <w:sz w:val="18"/>
        </w:rPr>
      </w:pPr>
    </w:p>
    <w:p>
      <w:pPr>
        <w:pStyle w:val="BodyText"/>
        <w:spacing w:before="3"/>
      </w:pPr>
    </w:p>
    <w:p>
      <w:pPr>
        <w:spacing w:before="0"/>
        <w:ind w:left="162" w:right="0" w:firstLine="0"/>
        <w:jc w:val="left"/>
        <w:rPr>
          <w:rFonts w:ascii="Times New Roman"/>
          <w:b/>
          <w:sz w:val="16"/>
        </w:rPr>
      </w:pPr>
      <w:r>
        <w:rPr>
          <w:rFonts w:ascii="Times New Roman"/>
          <w:b/>
          <w:color w:val="231F20"/>
          <w:w w:val="105"/>
          <w:sz w:val="16"/>
        </w:rPr>
        <w:t>Panel</w:t>
      </w:r>
      <w:r>
        <w:rPr>
          <w:rFonts w:ascii="Times New Roman"/>
          <w:b/>
          <w:color w:val="231F20"/>
          <w:spacing w:val="-21"/>
          <w:w w:val="105"/>
          <w:sz w:val="16"/>
        </w:rPr>
        <w:t> </w:t>
      </w:r>
      <w:r>
        <w:rPr>
          <w:rFonts w:ascii="Times New Roman"/>
          <w:b/>
          <w:color w:val="231F20"/>
          <w:w w:val="105"/>
          <w:sz w:val="16"/>
        </w:rPr>
        <w:t>A:</w:t>
      </w:r>
      <w:r>
        <w:rPr>
          <w:rFonts w:ascii="Times New Roman"/>
          <w:b/>
          <w:color w:val="231F20"/>
          <w:spacing w:val="-21"/>
          <w:w w:val="105"/>
          <w:sz w:val="16"/>
        </w:rPr>
        <w:t> </w:t>
      </w:r>
      <w:r>
        <w:rPr>
          <w:rFonts w:ascii="Times New Roman"/>
          <w:b/>
          <w:color w:val="231F20"/>
          <w:w w:val="105"/>
          <w:sz w:val="16"/>
        </w:rPr>
        <w:t>Sample</w:t>
      </w:r>
      <w:r>
        <w:rPr>
          <w:rFonts w:ascii="Times New Roman"/>
          <w:b/>
          <w:color w:val="231F20"/>
          <w:spacing w:val="-21"/>
          <w:w w:val="105"/>
          <w:sz w:val="16"/>
        </w:rPr>
        <w:t> </w:t>
      </w:r>
      <w:r>
        <w:rPr>
          <w:rFonts w:ascii="Times New Roman"/>
          <w:b/>
          <w:color w:val="231F20"/>
          <w:w w:val="105"/>
          <w:sz w:val="16"/>
        </w:rPr>
        <w:t>selection</w:t>
      </w:r>
      <w:r>
        <w:rPr>
          <w:rFonts w:ascii="Times New Roman"/>
          <w:b/>
          <w:color w:val="231F20"/>
          <w:spacing w:val="-21"/>
          <w:w w:val="105"/>
          <w:sz w:val="16"/>
        </w:rPr>
        <w:t> </w:t>
      </w:r>
      <w:r>
        <w:rPr>
          <w:rFonts w:ascii="Times New Roman"/>
          <w:b/>
          <w:color w:val="231F20"/>
          <w:w w:val="105"/>
          <w:sz w:val="16"/>
        </w:rPr>
        <w:t>procedure</w:t>
      </w:r>
    </w:p>
    <w:p>
      <w:pPr>
        <w:pStyle w:val="BodyText"/>
        <w:spacing w:before="9"/>
        <w:rPr>
          <w:rFonts w:ascii="Times New Roman"/>
          <w:b/>
          <w:sz w:val="15"/>
        </w:rPr>
      </w:pPr>
      <w:r>
        <w:rPr/>
        <w:br w:type="column"/>
      </w:r>
      <w:r>
        <w:rPr>
          <w:rFonts w:ascii="Times New Roman"/>
          <w:b/>
          <w:sz w:val="15"/>
        </w:rPr>
      </w:r>
    </w:p>
    <w:p>
      <w:pPr>
        <w:spacing w:before="0"/>
        <w:ind w:left="12" w:right="3162" w:firstLine="0"/>
        <w:jc w:val="center"/>
        <w:rPr>
          <w:rFonts w:ascii="Times New Roman"/>
          <w:b/>
          <w:sz w:val="16"/>
        </w:rPr>
      </w:pPr>
      <w:r>
        <w:rPr>
          <w:rFonts w:ascii="Times New Roman"/>
          <w:b/>
          <w:color w:val="231F20"/>
          <w:sz w:val="16"/>
        </w:rPr>
        <w:t>TA B L E 1</w:t>
      </w:r>
    </w:p>
    <w:p>
      <w:pPr>
        <w:spacing w:before="17"/>
        <w:ind w:left="12" w:right="3124" w:firstLine="0"/>
        <w:jc w:val="center"/>
        <w:rPr>
          <w:i/>
          <w:sz w:val="16"/>
        </w:rPr>
      </w:pPr>
      <w:r>
        <w:rPr/>
        <w:pict>
          <v:group style="position:absolute;margin-left:72.125999pt;margin-top:11.523229pt;width:322.8pt;height:2.6pt;mso-position-horizontal-relative:page;mso-position-vertical-relative:paragraph;z-index:2104" coordorigin="1443,230" coordsize="6456,52">
            <v:line style="position:absolute" from="1443,236" to="7898,236" stroked="true" strokeweight=".504pt" strokecolor="#000000">
              <v:stroke dashstyle="solid"/>
            </v:line>
            <v:line style="position:absolute" from="1443,277" to="7898,277" stroked="true" strokeweight=".504pt" strokecolor="#000000">
              <v:stroke dashstyle="solid"/>
            </v:line>
            <w10:wrap type="none"/>
          </v:group>
        </w:pict>
      </w:r>
      <w:r>
        <w:rPr>
          <w:i/>
          <w:color w:val="231F20"/>
          <w:w w:val="95"/>
          <w:sz w:val="16"/>
        </w:rPr>
        <w:t>Sample Description</w:t>
      </w:r>
    </w:p>
    <w:p>
      <w:pPr>
        <w:spacing w:after="0"/>
        <w:jc w:val="center"/>
        <w:rPr>
          <w:sz w:val="16"/>
        </w:rPr>
        <w:sectPr>
          <w:headerReference w:type="even" r:id="rId12"/>
          <w:headerReference w:type="default" r:id="rId13"/>
          <w:pgSz w:w="9720" w:h="14400"/>
          <w:pgMar w:header="1055" w:footer="0" w:top="1300" w:bottom="280" w:left="1280" w:right="1300"/>
          <w:cols w:num="2" w:equalWidth="0">
            <w:col w:w="2716" w:space="40"/>
            <w:col w:w="4384"/>
          </w:cols>
        </w:sectPr>
      </w:pPr>
    </w:p>
    <w:p>
      <w:pPr>
        <w:tabs>
          <w:tab w:pos="6020" w:val="left" w:leader="none"/>
          <w:tab w:pos="6091" w:val="left" w:leader="none"/>
        </w:tabs>
        <w:spacing w:before="11"/>
        <w:ind w:left="321" w:right="530" w:hanging="160"/>
        <w:jc w:val="left"/>
        <w:rPr>
          <w:sz w:val="16"/>
        </w:rPr>
      </w:pPr>
      <w:r>
        <w:rPr>
          <w:color w:val="231F20"/>
          <w:sz w:val="16"/>
        </w:rPr>
        <w:t>All</w:t>
      </w:r>
      <w:r>
        <w:rPr>
          <w:color w:val="231F20"/>
          <w:spacing w:val="-8"/>
          <w:sz w:val="16"/>
        </w:rPr>
        <w:t> </w:t>
      </w:r>
      <w:r>
        <w:rPr>
          <w:color w:val="231F20"/>
          <w:sz w:val="16"/>
        </w:rPr>
        <w:t>Compustat</w:t>
      </w:r>
      <w:r>
        <w:rPr>
          <w:color w:val="231F20"/>
          <w:spacing w:val="-8"/>
          <w:sz w:val="16"/>
        </w:rPr>
        <w:t> </w:t>
      </w:r>
      <w:r>
        <w:rPr>
          <w:color w:val="231F20"/>
          <w:sz w:val="16"/>
        </w:rPr>
        <w:t>observations</w:t>
      </w:r>
      <w:r>
        <w:rPr>
          <w:color w:val="231F20"/>
          <w:spacing w:val="-8"/>
          <w:sz w:val="16"/>
        </w:rPr>
        <w:t> </w:t>
      </w:r>
      <w:r>
        <w:rPr>
          <w:color w:val="231F20"/>
          <w:sz w:val="16"/>
        </w:rPr>
        <w:t>from</w:t>
      </w:r>
      <w:r>
        <w:rPr>
          <w:color w:val="231F20"/>
          <w:spacing w:val="-8"/>
          <w:sz w:val="16"/>
        </w:rPr>
        <w:t> </w:t>
      </w:r>
      <w:r>
        <w:rPr>
          <w:color w:val="231F20"/>
          <w:sz w:val="16"/>
        </w:rPr>
        <w:t>calendar</w:t>
      </w:r>
      <w:r>
        <w:rPr>
          <w:color w:val="231F20"/>
          <w:spacing w:val="-8"/>
          <w:sz w:val="16"/>
        </w:rPr>
        <w:t> </w:t>
      </w:r>
      <w:r>
        <w:rPr>
          <w:color w:val="231F20"/>
          <w:sz w:val="16"/>
        </w:rPr>
        <w:t>years</w:t>
      </w:r>
      <w:r>
        <w:rPr>
          <w:color w:val="231F20"/>
          <w:spacing w:val="-8"/>
          <w:sz w:val="16"/>
        </w:rPr>
        <w:t> </w:t>
      </w:r>
      <w:r>
        <w:rPr>
          <w:color w:val="231F20"/>
          <w:sz w:val="16"/>
        </w:rPr>
        <w:t>1988–1991</w:t>
      </w:r>
      <w:r>
        <w:rPr>
          <w:color w:val="231F20"/>
          <w:spacing w:val="-8"/>
          <w:sz w:val="16"/>
        </w:rPr>
        <w:t> </w:t>
      </w:r>
      <w:r>
        <w:rPr>
          <w:color w:val="231F20"/>
          <w:sz w:val="16"/>
        </w:rPr>
        <w:t>&amp;</w:t>
      </w:r>
      <w:r>
        <w:rPr>
          <w:color w:val="231F20"/>
          <w:spacing w:val="-8"/>
          <w:sz w:val="16"/>
        </w:rPr>
        <w:t> </w:t>
      </w:r>
      <w:r>
        <w:rPr>
          <w:color w:val="231F20"/>
          <w:sz w:val="16"/>
        </w:rPr>
        <w:t>1993–1996</w:t>
        <w:tab/>
        <w:tab/>
        <w:t>86,672 less</w:t>
      </w:r>
      <w:r>
        <w:rPr>
          <w:color w:val="231F20"/>
          <w:spacing w:val="-17"/>
          <w:sz w:val="16"/>
        </w:rPr>
        <w:t> </w:t>
      </w:r>
      <w:r>
        <w:rPr>
          <w:color w:val="231F20"/>
          <w:sz w:val="16"/>
        </w:rPr>
        <w:t>observations</w:t>
      </w:r>
      <w:r>
        <w:rPr>
          <w:color w:val="231F20"/>
          <w:spacing w:val="-17"/>
          <w:sz w:val="16"/>
        </w:rPr>
        <w:t> </w:t>
      </w:r>
      <w:r>
        <w:rPr>
          <w:color w:val="231F20"/>
          <w:sz w:val="16"/>
        </w:rPr>
        <w:t>with</w:t>
      </w:r>
      <w:r>
        <w:rPr>
          <w:color w:val="231F20"/>
          <w:spacing w:val="-17"/>
          <w:sz w:val="16"/>
        </w:rPr>
        <w:t> </w:t>
      </w:r>
      <w:r>
        <w:rPr>
          <w:color w:val="231F20"/>
          <w:sz w:val="16"/>
        </w:rPr>
        <w:t>missing</w:t>
      </w:r>
      <w:r>
        <w:rPr>
          <w:color w:val="231F20"/>
          <w:spacing w:val="-17"/>
          <w:sz w:val="16"/>
        </w:rPr>
        <w:t> </w:t>
      </w:r>
      <w:r>
        <w:rPr>
          <w:color w:val="231F20"/>
          <w:sz w:val="16"/>
        </w:rPr>
        <w:t>incorporation</w:t>
      </w:r>
      <w:r>
        <w:rPr>
          <w:color w:val="231F20"/>
          <w:spacing w:val="-17"/>
          <w:sz w:val="16"/>
        </w:rPr>
        <w:t> </w:t>
      </w:r>
      <w:r>
        <w:rPr>
          <w:color w:val="231F20"/>
          <w:sz w:val="16"/>
        </w:rPr>
        <w:t>data</w:t>
        <w:tab/>
      </w:r>
      <w:r>
        <w:rPr>
          <w:color w:val="231F20"/>
          <w:spacing w:val="-1"/>
          <w:sz w:val="16"/>
        </w:rPr>
        <w:t>(11,092)</w:t>
      </w:r>
    </w:p>
    <w:p>
      <w:pPr>
        <w:tabs>
          <w:tab w:pos="6021" w:val="left" w:leader="none"/>
        </w:tabs>
        <w:spacing w:before="1"/>
        <w:ind w:left="321" w:right="0" w:firstLine="0"/>
        <w:jc w:val="left"/>
        <w:rPr>
          <w:sz w:val="16"/>
        </w:rPr>
      </w:pPr>
      <w:r>
        <w:rPr>
          <w:color w:val="231F20"/>
          <w:sz w:val="16"/>
        </w:rPr>
        <w:t>less</w:t>
      </w:r>
      <w:r>
        <w:rPr>
          <w:color w:val="231F20"/>
          <w:spacing w:val="-14"/>
          <w:sz w:val="16"/>
        </w:rPr>
        <w:t> </w:t>
      </w:r>
      <w:r>
        <w:rPr>
          <w:color w:val="231F20"/>
          <w:sz w:val="16"/>
        </w:rPr>
        <w:t>observations</w:t>
      </w:r>
      <w:r>
        <w:rPr>
          <w:color w:val="231F20"/>
          <w:spacing w:val="-14"/>
          <w:sz w:val="16"/>
        </w:rPr>
        <w:t> </w:t>
      </w:r>
      <w:r>
        <w:rPr>
          <w:color w:val="231F20"/>
          <w:sz w:val="16"/>
        </w:rPr>
        <w:t>in</w:t>
      </w:r>
      <w:r>
        <w:rPr>
          <w:color w:val="231F20"/>
          <w:spacing w:val="-14"/>
          <w:sz w:val="16"/>
        </w:rPr>
        <w:t> </w:t>
      </w:r>
      <w:r>
        <w:rPr>
          <w:color w:val="231F20"/>
          <w:sz w:val="16"/>
        </w:rPr>
        <w:t>financial</w:t>
      </w:r>
      <w:r>
        <w:rPr>
          <w:color w:val="231F20"/>
          <w:spacing w:val="-14"/>
          <w:sz w:val="16"/>
        </w:rPr>
        <w:t> </w:t>
      </w:r>
      <w:r>
        <w:rPr>
          <w:color w:val="231F20"/>
          <w:sz w:val="16"/>
        </w:rPr>
        <w:t>industries</w:t>
        <w:tab/>
        <w:t>(17,148)</w:t>
      </w:r>
    </w:p>
    <w:p>
      <w:pPr>
        <w:spacing w:after="0"/>
        <w:jc w:val="left"/>
        <w:rPr>
          <w:sz w:val="16"/>
        </w:rPr>
        <w:sectPr>
          <w:type w:val="continuous"/>
          <w:pgSz w:w="9720" w:h="14400"/>
          <w:pgMar w:top="40" w:bottom="280" w:left="1280" w:right="1300"/>
        </w:sectPr>
      </w:pPr>
    </w:p>
    <w:p>
      <w:pPr>
        <w:spacing w:before="0"/>
        <w:ind w:left="321" w:right="0" w:firstLine="0"/>
        <w:jc w:val="left"/>
        <w:rPr>
          <w:sz w:val="16"/>
        </w:rPr>
      </w:pPr>
      <w:r>
        <w:rPr>
          <w:color w:val="231F20"/>
          <w:sz w:val="16"/>
        </w:rPr>
        <w:t>less</w:t>
      </w:r>
      <w:r>
        <w:rPr>
          <w:color w:val="231F20"/>
          <w:spacing w:val="-15"/>
          <w:sz w:val="16"/>
        </w:rPr>
        <w:t> </w:t>
      </w:r>
      <w:r>
        <w:rPr>
          <w:color w:val="231F20"/>
          <w:sz w:val="16"/>
        </w:rPr>
        <w:t>observations</w:t>
      </w:r>
      <w:r>
        <w:rPr>
          <w:color w:val="231F20"/>
          <w:spacing w:val="-15"/>
          <w:sz w:val="16"/>
        </w:rPr>
        <w:t> </w:t>
      </w:r>
      <w:r>
        <w:rPr>
          <w:color w:val="231F20"/>
          <w:sz w:val="16"/>
        </w:rPr>
        <w:t>with</w:t>
      </w:r>
      <w:r>
        <w:rPr>
          <w:color w:val="231F20"/>
          <w:spacing w:val="-15"/>
          <w:sz w:val="16"/>
        </w:rPr>
        <w:t> </w:t>
      </w:r>
      <w:r>
        <w:rPr>
          <w:color w:val="231F20"/>
          <w:sz w:val="16"/>
        </w:rPr>
        <w:t>missing</w:t>
      </w:r>
      <w:r>
        <w:rPr>
          <w:color w:val="231F20"/>
          <w:spacing w:val="-15"/>
          <w:sz w:val="16"/>
        </w:rPr>
        <w:t> </w:t>
      </w:r>
      <w:r>
        <w:rPr>
          <w:color w:val="231F20"/>
          <w:sz w:val="16"/>
        </w:rPr>
        <w:t>data</w:t>
      </w:r>
      <w:r>
        <w:rPr>
          <w:color w:val="231F20"/>
          <w:spacing w:val="-15"/>
          <w:sz w:val="16"/>
        </w:rPr>
        <w:t> </w:t>
      </w:r>
      <w:r>
        <w:rPr>
          <w:color w:val="231F20"/>
          <w:sz w:val="16"/>
        </w:rPr>
        <w:t>to</w:t>
      </w:r>
      <w:r>
        <w:rPr>
          <w:color w:val="231F20"/>
          <w:spacing w:val="-15"/>
          <w:sz w:val="16"/>
        </w:rPr>
        <w:t> </w:t>
      </w:r>
      <w:r>
        <w:rPr>
          <w:color w:val="231F20"/>
          <w:sz w:val="16"/>
        </w:rPr>
        <w:t>compute</w:t>
      </w:r>
      <w:r>
        <w:rPr>
          <w:color w:val="231F20"/>
          <w:spacing w:val="-15"/>
          <w:sz w:val="16"/>
        </w:rPr>
        <w:t> </w:t>
      </w:r>
      <w:r>
        <w:rPr>
          <w:color w:val="231F20"/>
          <w:sz w:val="16"/>
        </w:rPr>
        <w:t>conservatism</w:t>
      </w:r>
      <w:r>
        <w:rPr>
          <w:color w:val="231F20"/>
          <w:spacing w:val="-15"/>
          <w:sz w:val="16"/>
        </w:rPr>
        <w:t> </w:t>
      </w:r>
      <w:r>
        <w:rPr>
          <w:color w:val="231F20"/>
          <w:sz w:val="16"/>
        </w:rPr>
        <w:t>measures</w:t>
      </w:r>
      <w:r>
        <w:rPr>
          <w:color w:val="231F20"/>
          <w:spacing w:val="-15"/>
          <w:sz w:val="16"/>
        </w:rPr>
        <w:t> </w:t>
      </w:r>
      <w:r>
        <w:rPr>
          <w:color w:val="231F20"/>
          <w:sz w:val="16"/>
        </w:rPr>
        <w:t>(i.e.,</w:t>
      </w:r>
    </w:p>
    <w:p>
      <w:pPr>
        <w:spacing w:before="1"/>
        <w:ind w:left="321" w:right="0" w:firstLine="0"/>
        <w:jc w:val="left"/>
        <w:rPr>
          <w:sz w:val="16"/>
        </w:rPr>
      </w:pPr>
      <w:r>
        <w:rPr/>
        <w:pict>
          <v:line style="position:absolute;mso-position-horizontal-relative:page;mso-position-vertical-relative:paragraph;z-index:-69592" from="85.527pt,7.529916pt" to="87.93pt,7.529916pt" stroked="true" strokeweight=".405pt" strokecolor="#000000">
            <v:stroke dashstyle="solid"/>
            <w10:wrap type="none"/>
          </v:line>
        </w:pict>
      </w:r>
      <w:r>
        <w:rPr/>
        <w:pict>
          <v:line style="position:absolute;mso-position-horizontal-relative:page;mso-position-vertical-relative:paragraph;z-index:-69568" from="117.612pt,7.529916pt" to="120.015pt,7.529916pt" stroked="true" strokeweight=".405pt" strokecolor="#000000">
            <v:stroke dashstyle="solid"/>
            <w10:wrap type="none"/>
          </v:line>
        </w:pict>
      </w:r>
      <w:r>
        <w:rPr>
          <w:i/>
          <w:color w:val="231F20"/>
          <w:sz w:val="16"/>
        </w:rPr>
        <w:t>C ACCR</w:t>
      </w:r>
      <w:r>
        <w:rPr>
          <w:color w:val="231F20"/>
          <w:sz w:val="16"/>
        </w:rPr>
        <w:t>, </w:t>
      </w:r>
      <w:r>
        <w:rPr>
          <w:i/>
          <w:color w:val="231F20"/>
          <w:sz w:val="16"/>
        </w:rPr>
        <w:t>C SKEW</w:t>
      </w:r>
      <w:r>
        <w:rPr>
          <w:color w:val="231F20"/>
          <w:sz w:val="16"/>
        </w:rPr>
        <w:t>, and </w:t>
      </w:r>
      <w:r>
        <w:rPr>
          <w:i/>
          <w:color w:val="231F20"/>
          <w:sz w:val="16"/>
        </w:rPr>
        <w:t>C PZ</w:t>
      </w:r>
      <w:r>
        <w:rPr>
          <w:color w:val="231F20"/>
          <w:sz w:val="16"/>
        </w:rPr>
        <w:t>)</w:t>
      </w:r>
    </w:p>
    <w:p>
      <w:pPr>
        <w:spacing w:before="0"/>
        <w:ind w:left="321" w:right="28" w:firstLine="0"/>
        <w:jc w:val="left"/>
        <w:rPr>
          <w:sz w:val="16"/>
        </w:rPr>
      </w:pPr>
      <w:r>
        <w:rPr>
          <w:color w:val="231F20"/>
          <w:sz w:val="16"/>
        </w:rPr>
        <w:t>less</w:t>
      </w:r>
      <w:r>
        <w:rPr>
          <w:color w:val="231F20"/>
          <w:spacing w:val="-16"/>
          <w:sz w:val="16"/>
        </w:rPr>
        <w:t> </w:t>
      </w:r>
      <w:r>
        <w:rPr>
          <w:color w:val="231F20"/>
          <w:sz w:val="16"/>
        </w:rPr>
        <w:t>observations</w:t>
      </w:r>
      <w:r>
        <w:rPr>
          <w:color w:val="231F20"/>
          <w:spacing w:val="-16"/>
          <w:sz w:val="16"/>
        </w:rPr>
        <w:t> </w:t>
      </w:r>
      <w:r>
        <w:rPr>
          <w:color w:val="231F20"/>
          <w:sz w:val="16"/>
        </w:rPr>
        <w:t>with</w:t>
      </w:r>
      <w:r>
        <w:rPr>
          <w:color w:val="231F20"/>
          <w:spacing w:val="-16"/>
          <w:sz w:val="16"/>
        </w:rPr>
        <w:t> </w:t>
      </w:r>
      <w:r>
        <w:rPr>
          <w:color w:val="231F20"/>
          <w:sz w:val="16"/>
        </w:rPr>
        <w:t>missing</w:t>
      </w:r>
      <w:r>
        <w:rPr>
          <w:color w:val="231F20"/>
          <w:spacing w:val="-16"/>
          <w:sz w:val="16"/>
        </w:rPr>
        <w:t> </w:t>
      </w:r>
      <w:r>
        <w:rPr>
          <w:color w:val="231F20"/>
          <w:sz w:val="16"/>
        </w:rPr>
        <w:t>data</w:t>
      </w:r>
      <w:r>
        <w:rPr>
          <w:color w:val="231F20"/>
          <w:spacing w:val="-16"/>
          <w:sz w:val="16"/>
        </w:rPr>
        <w:t> </w:t>
      </w:r>
      <w:r>
        <w:rPr>
          <w:color w:val="231F20"/>
          <w:sz w:val="16"/>
        </w:rPr>
        <w:t>on</w:t>
      </w:r>
      <w:r>
        <w:rPr>
          <w:color w:val="231F20"/>
          <w:spacing w:val="-16"/>
          <w:sz w:val="16"/>
        </w:rPr>
        <w:t> </w:t>
      </w:r>
      <w:r>
        <w:rPr>
          <w:color w:val="231F20"/>
          <w:sz w:val="16"/>
        </w:rPr>
        <w:t>near</w:t>
      </w:r>
      <w:r>
        <w:rPr>
          <w:color w:val="231F20"/>
          <w:spacing w:val="-16"/>
          <w:sz w:val="16"/>
        </w:rPr>
        <w:t> </w:t>
      </w:r>
      <w:r>
        <w:rPr>
          <w:color w:val="231F20"/>
          <w:sz w:val="16"/>
        </w:rPr>
        <w:t>insolvency</w:t>
      </w:r>
      <w:r>
        <w:rPr>
          <w:color w:val="231F20"/>
          <w:spacing w:val="-16"/>
          <w:sz w:val="16"/>
        </w:rPr>
        <w:t> </w:t>
      </w:r>
      <w:r>
        <w:rPr>
          <w:color w:val="231F20"/>
          <w:sz w:val="16"/>
        </w:rPr>
        <w:t>measure,</w:t>
      </w:r>
      <w:r>
        <w:rPr>
          <w:color w:val="231F20"/>
          <w:spacing w:val="-16"/>
          <w:sz w:val="16"/>
        </w:rPr>
        <w:t> </w:t>
      </w:r>
      <w:r>
        <w:rPr>
          <w:color w:val="231F20"/>
          <w:sz w:val="16"/>
        </w:rPr>
        <w:t>that</w:t>
      </w:r>
      <w:r>
        <w:rPr>
          <w:color w:val="231F20"/>
          <w:spacing w:val="-16"/>
          <w:sz w:val="16"/>
        </w:rPr>
        <w:t> </w:t>
      </w:r>
      <w:r>
        <w:rPr>
          <w:color w:val="231F20"/>
          <w:sz w:val="16"/>
        </w:rPr>
        <w:t>is,</w:t>
      </w:r>
      <w:r>
        <w:rPr>
          <w:color w:val="231F20"/>
          <w:spacing w:val="-16"/>
          <w:sz w:val="16"/>
        </w:rPr>
        <w:t> </w:t>
      </w:r>
      <w:r>
        <w:rPr>
          <w:color w:val="231F20"/>
          <w:sz w:val="16"/>
        </w:rPr>
        <w:t>1993 Estimated Default Frequency</w:t>
      </w:r>
      <w:r>
        <w:rPr>
          <w:color w:val="231F20"/>
          <w:spacing w:val="0"/>
          <w:sz w:val="16"/>
        </w:rPr>
        <w:t> </w:t>
      </w:r>
      <w:r>
        <w:rPr>
          <w:color w:val="231F20"/>
          <w:sz w:val="16"/>
        </w:rPr>
        <w:t>(EDF).</w:t>
      </w:r>
    </w:p>
    <w:p>
      <w:pPr>
        <w:spacing w:before="1"/>
        <w:ind w:left="321" w:right="128" w:firstLine="0"/>
        <w:jc w:val="left"/>
        <w:rPr>
          <w:sz w:val="16"/>
        </w:rPr>
      </w:pPr>
      <w:r>
        <w:rPr>
          <w:color w:val="231F20"/>
          <w:sz w:val="16"/>
        </w:rPr>
        <w:t>less</w:t>
      </w:r>
      <w:r>
        <w:rPr>
          <w:color w:val="231F20"/>
          <w:spacing w:val="-19"/>
          <w:sz w:val="16"/>
        </w:rPr>
        <w:t> </w:t>
      </w:r>
      <w:r>
        <w:rPr>
          <w:color w:val="231F20"/>
          <w:sz w:val="16"/>
        </w:rPr>
        <w:t>observations</w:t>
      </w:r>
      <w:r>
        <w:rPr>
          <w:color w:val="231F20"/>
          <w:spacing w:val="-19"/>
          <w:sz w:val="16"/>
        </w:rPr>
        <w:t> </w:t>
      </w:r>
      <w:r>
        <w:rPr>
          <w:color w:val="231F20"/>
          <w:sz w:val="16"/>
        </w:rPr>
        <w:t>with</w:t>
      </w:r>
      <w:r>
        <w:rPr>
          <w:color w:val="231F20"/>
          <w:spacing w:val="-19"/>
          <w:sz w:val="16"/>
        </w:rPr>
        <w:t> </w:t>
      </w:r>
      <w:r>
        <w:rPr>
          <w:color w:val="231F20"/>
          <w:sz w:val="16"/>
        </w:rPr>
        <w:t>negative</w:t>
      </w:r>
      <w:r>
        <w:rPr>
          <w:color w:val="231F20"/>
          <w:spacing w:val="-19"/>
          <w:sz w:val="16"/>
        </w:rPr>
        <w:t> </w:t>
      </w:r>
      <w:r>
        <w:rPr>
          <w:color w:val="231F20"/>
          <w:sz w:val="16"/>
        </w:rPr>
        <w:t>market</w:t>
      </w:r>
      <w:r>
        <w:rPr>
          <w:color w:val="231F20"/>
          <w:spacing w:val="-19"/>
          <w:sz w:val="16"/>
        </w:rPr>
        <w:t> </w:t>
      </w:r>
      <w:r>
        <w:rPr>
          <w:color w:val="231F20"/>
          <w:sz w:val="16"/>
        </w:rPr>
        <w:t>value</w:t>
      </w:r>
      <w:r>
        <w:rPr>
          <w:color w:val="231F20"/>
          <w:spacing w:val="-19"/>
          <w:sz w:val="16"/>
        </w:rPr>
        <w:t> </w:t>
      </w:r>
      <w:r>
        <w:rPr>
          <w:color w:val="231F20"/>
          <w:sz w:val="16"/>
        </w:rPr>
        <w:t>equity</w:t>
      </w:r>
      <w:r>
        <w:rPr>
          <w:color w:val="231F20"/>
          <w:spacing w:val="-19"/>
          <w:sz w:val="16"/>
        </w:rPr>
        <w:t> </w:t>
      </w:r>
      <w:r>
        <w:rPr>
          <w:color w:val="231F20"/>
          <w:sz w:val="16"/>
        </w:rPr>
        <w:t>or</w:t>
      </w:r>
      <w:r>
        <w:rPr>
          <w:color w:val="231F20"/>
          <w:spacing w:val="-19"/>
          <w:sz w:val="16"/>
        </w:rPr>
        <w:t> </w:t>
      </w:r>
      <w:r>
        <w:rPr>
          <w:color w:val="231F20"/>
          <w:sz w:val="16"/>
        </w:rPr>
        <w:t>missing</w:t>
      </w:r>
      <w:r>
        <w:rPr>
          <w:color w:val="231F20"/>
          <w:spacing w:val="-19"/>
          <w:sz w:val="16"/>
        </w:rPr>
        <w:t> </w:t>
      </w:r>
      <w:r>
        <w:rPr>
          <w:color w:val="231F20"/>
          <w:sz w:val="16"/>
        </w:rPr>
        <w:t>data</w:t>
      </w:r>
      <w:r>
        <w:rPr>
          <w:color w:val="231F20"/>
          <w:spacing w:val="-19"/>
          <w:sz w:val="16"/>
        </w:rPr>
        <w:t> </w:t>
      </w:r>
      <w:r>
        <w:rPr>
          <w:color w:val="231F20"/>
          <w:sz w:val="16"/>
        </w:rPr>
        <w:t>on</w:t>
      </w:r>
      <w:r>
        <w:rPr>
          <w:color w:val="231F20"/>
          <w:spacing w:val="-19"/>
          <w:sz w:val="16"/>
        </w:rPr>
        <w:t> </w:t>
      </w:r>
      <w:r>
        <w:rPr>
          <w:color w:val="231F20"/>
          <w:sz w:val="16"/>
        </w:rPr>
        <w:t>firm size, book leverage, book-to-market, asset growth, and institutional ownership, etc.</w:t>
      </w:r>
    </w:p>
    <w:p>
      <w:pPr>
        <w:spacing w:before="0"/>
        <w:ind w:left="404" w:right="0" w:firstLine="0"/>
        <w:jc w:val="left"/>
        <w:rPr>
          <w:sz w:val="16"/>
        </w:rPr>
      </w:pPr>
      <w:r>
        <w:rPr/>
        <w:br w:type="column"/>
      </w:r>
      <w:r>
        <w:rPr>
          <w:color w:val="231F20"/>
          <w:w w:val="110"/>
          <w:sz w:val="16"/>
        </w:rPr>
        <w:t>(8,131)</w:t>
      </w:r>
    </w:p>
    <w:p>
      <w:pPr>
        <w:pStyle w:val="BodyText"/>
        <w:spacing w:before="1"/>
        <w:rPr>
          <w:sz w:val="16"/>
        </w:rPr>
      </w:pPr>
    </w:p>
    <w:p>
      <w:pPr>
        <w:spacing w:before="0"/>
        <w:ind w:left="321" w:right="0" w:firstLine="0"/>
        <w:jc w:val="left"/>
        <w:rPr>
          <w:sz w:val="16"/>
        </w:rPr>
      </w:pPr>
      <w:r>
        <w:rPr>
          <w:color w:val="231F20"/>
          <w:w w:val="110"/>
          <w:sz w:val="16"/>
        </w:rPr>
        <w:t>(22,389)</w:t>
      </w:r>
    </w:p>
    <w:p>
      <w:pPr>
        <w:pStyle w:val="BodyText"/>
        <w:spacing w:before="1"/>
        <w:rPr>
          <w:sz w:val="16"/>
        </w:rPr>
      </w:pPr>
    </w:p>
    <w:p>
      <w:pPr>
        <w:spacing w:before="0"/>
        <w:ind w:left="404" w:right="0" w:firstLine="0"/>
        <w:jc w:val="left"/>
        <w:rPr>
          <w:sz w:val="16"/>
        </w:rPr>
      </w:pPr>
      <w:r>
        <w:rPr>
          <w:color w:val="231F20"/>
          <w:w w:val="110"/>
          <w:sz w:val="16"/>
        </w:rPr>
        <w:t>(5,256)</w:t>
      </w:r>
    </w:p>
    <w:p>
      <w:pPr>
        <w:spacing w:after="0"/>
        <w:jc w:val="left"/>
        <w:rPr>
          <w:sz w:val="16"/>
        </w:rPr>
        <w:sectPr>
          <w:type w:val="continuous"/>
          <w:pgSz w:w="9720" w:h="14400"/>
          <w:pgMar w:top="40" w:bottom="280" w:left="1280" w:right="1300"/>
          <w:cols w:num="2" w:equalWidth="0">
            <w:col w:w="5630" w:space="69"/>
            <w:col w:w="1441"/>
          </w:cols>
        </w:sectPr>
      </w:pPr>
    </w:p>
    <w:p>
      <w:pPr>
        <w:tabs>
          <w:tab w:pos="6091" w:val="left" w:leader="none"/>
        </w:tabs>
        <w:spacing w:before="1"/>
        <w:ind w:left="162" w:right="530" w:firstLine="159"/>
        <w:jc w:val="left"/>
        <w:rPr>
          <w:sz w:val="16"/>
        </w:rPr>
      </w:pPr>
      <w:r>
        <w:rPr>
          <w:color w:val="231F20"/>
          <w:sz w:val="16"/>
        </w:rPr>
        <w:t>less</w:t>
      </w:r>
      <w:r>
        <w:rPr>
          <w:color w:val="231F20"/>
          <w:spacing w:val="-11"/>
          <w:sz w:val="16"/>
        </w:rPr>
        <w:t> </w:t>
      </w:r>
      <w:r>
        <w:rPr>
          <w:color w:val="231F20"/>
          <w:sz w:val="16"/>
        </w:rPr>
        <w:t>firms</w:t>
      </w:r>
      <w:r>
        <w:rPr>
          <w:color w:val="231F20"/>
          <w:spacing w:val="-11"/>
          <w:sz w:val="16"/>
        </w:rPr>
        <w:t> </w:t>
      </w:r>
      <w:r>
        <w:rPr>
          <w:color w:val="231F20"/>
          <w:sz w:val="16"/>
        </w:rPr>
        <w:t>without</w:t>
      </w:r>
      <w:r>
        <w:rPr>
          <w:color w:val="231F20"/>
          <w:spacing w:val="-11"/>
          <w:sz w:val="16"/>
        </w:rPr>
        <w:t> </w:t>
      </w:r>
      <w:r>
        <w:rPr>
          <w:color w:val="231F20"/>
          <w:sz w:val="16"/>
        </w:rPr>
        <w:t>at</w:t>
      </w:r>
      <w:r>
        <w:rPr>
          <w:color w:val="231F20"/>
          <w:spacing w:val="-11"/>
          <w:sz w:val="16"/>
        </w:rPr>
        <w:t> </w:t>
      </w:r>
      <w:r>
        <w:rPr>
          <w:color w:val="231F20"/>
          <w:sz w:val="16"/>
        </w:rPr>
        <w:t>least</w:t>
      </w:r>
      <w:r>
        <w:rPr>
          <w:color w:val="231F20"/>
          <w:spacing w:val="-11"/>
          <w:sz w:val="16"/>
        </w:rPr>
        <w:t> </w:t>
      </w:r>
      <w:r>
        <w:rPr>
          <w:color w:val="231F20"/>
          <w:sz w:val="16"/>
        </w:rPr>
        <w:t>one</w:t>
      </w:r>
      <w:r>
        <w:rPr>
          <w:color w:val="231F20"/>
          <w:spacing w:val="-11"/>
          <w:sz w:val="16"/>
        </w:rPr>
        <w:t> </w:t>
      </w:r>
      <w:r>
        <w:rPr>
          <w:color w:val="231F20"/>
          <w:sz w:val="16"/>
        </w:rPr>
        <w:t>observation</w:t>
      </w:r>
      <w:r>
        <w:rPr>
          <w:color w:val="231F20"/>
          <w:spacing w:val="-11"/>
          <w:sz w:val="16"/>
        </w:rPr>
        <w:t> </w:t>
      </w:r>
      <w:r>
        <w:rPr>
          <w:color w:val="231F20"/>
          <w:sz w:val="16"/>
        </w:rPr>
        <w:t>in</w:t>
      </w:r>
      <w:r>
        <w:rPr>
          <w:color w:val="231F20"/>
          <w:spacing w:val="-11"/>
          <w:sz w:val="16"/>
        </w:rPr>
        <w:t> </w:t>
      </w:r>
      <w:r>
        <w:rPr>
          <w:color w:val="231F20"/>
          <w:sz w:val="16"/>
        </w:rPr>
        <w:t>both</w:t>
      </w:r>
      <w:r>
        <w:rPr>
          <w:color w:val="231F20"/>
          <w:spacing w:val="-11"/>
          <w:sz w:val="16"/>
        </w:rPr>
        <w:t> </w:t>
      </w:r>
      <w:r>
        <w:rPr>
          <w:color w:val="231F20"/>
          <w:sz w:val="16"/>
        </w:rPr>
        <w:t>pre-</w:t>
      </w:r>
      <w:r>
        <w:rPr>
          <w:color w:val="231F20"/>
          <w:spacing w:val="-11"/>
          <w:sz w:val="16"/>
        </w:rPr>
        <w:t> </w:t>
      </w:r>
      <w:r>
        <w:rPr>
          <w:color w:val="231F20"/>
          <w:sz w:val="16"/>
        </w:rPr>
        <w:t>and</w:t>
      </w:r>
      <w:r>
        <w:rPr>
          <w:color w:val="231F20"/>
          <w:spacing w:val="-11"/>
          <w:sz w:val="16"/>
        </w:rPr>
        <w:t> </w:t>
      </w:r>
      <w:r>
        <w:rPr>
          <w:color w:val="231F20"/>
          <w:sz w:val="16"/>
        </w:rPr>
        <w:t>post-rule</w:t>
      </w:r>
      <w:r>
        <w:rPr>
          <w:color w:val="231F20"/>
          <w:spacing w:val="-11"/>
          <w:sz w:val="16"/>
        </w:rPr>
        <w:t> </w:t>
      </w:r>
      <w:r>
        <w:rPr>
          <w:color w:val="231F20"/>
          <w:sz w:val="16"/>
        </w:rPr>
        <w:t>periods</w:t>
        <w:tab/>
      </w:r>
      <w:r>
        <w:rPr>
          <w:color w:val="231F20"/>
          <w:spacing w:val="-1"/>
          <w:sz w:val="16"/>
        </w:rPr>
        <w:t>(3,829) </w:t>
      </w:r>
      <w:r>
        <w:rPr>
          <w:color w:val="231F20"/>
          <w:sz w:val="16"/>
        </w:rPr>
        <w:t>Final sample of firm observations in 1988–1991</w:t>
      </w:r>
      <w:r>
        <w:rPr>
          <w:color w:val="231F20"/>
          <w:spacing w:val="-14"/>
          <w:sz w:val="16"/>
        </w:rPr>
        <w:t> </w:t>
      </w:r>
      <w:r>
        <w:rPr>
          <w:color w:val="231F20"/>
          <w:sz w:val="16"/>
        </w:rPr>
        <w:t>&amp;</w:t>
      </w:r>
      <w:r>
        <w:rPr>
          <w:color w:val="231F20"/>
          <w:spacing w:val="-2"/>
          <w:sz w:val="16"/>
        </w:rPr>
        <w:t> </w:t>
      </w:r>
      <w:r>
        <w:rPr>
          <w:color w:val="231F20"/>
          <w:sz w:val="16"/>
        </w:rPr>
        <w:t>1993–1996</w:t>
        <w:tab/>
        <w:t>18,827</w:t>
      </w:r>
    </w:p>
    <w:p>
      <w:pPr>
        <w:tabs>
          <w:tab w:pos="6174" w:val="left" w:leader="none"/>
        </w:tabs>
        <w:spacing w:before="1"/>
        <w:ind w:left="162" w:right="0" w:firstLine="0"/>
        <w:jc w:val="left"/>
        <w:rPr>
          <w:sz w:val="16"/>
        </w:rPr>
      </w:pPr>
      <w:r>
        <w:rPr/>
        <w:pict>
          <v:group style="position:absolute;margin-left:72.125999pt;margin-top:11.926357pt;width:322.8pt;height:2.3pt;mso-position-horizontal-relative:page;mso-position-vertical-relative:paragraph;z-index:2080;mso-wrap-distance-left:0;mso-wrap-distance-right:0" coordorigin="1443,239" coordsize="6456,46">
            <v:line style="position:absolute" from="1443,244" to="7898,244" stroked="true" strokeweight=".504pt" strokecolor="#000000">
              <v:stroke dashstyle="solid"/>
            </v:line>
            <v:line style="position:absolute" from="1443,279" to="7898,279" stroked="true" strokeweight=".504pt" strokecolor="#000000">
              <v:stroke dashstyle="solid"/>
            </v:line>
            <w10:wrap type="topAndBottom"/>
          </v:group>
        </w:pict>
      </w:r>
      <w:r>
        <w:rPr>
          <w:color w:val="231F20"/>
          <w:sz w:val="16"/>
        </w:rPr>
        <w:t>Number of firms in the</w:t>
      </w:r>
      <w:r>
        <w:rPr>
          <w:color w:val="231F20"/>
          <w:spacing w:val="-29"/>
          <w:sz w:val="16"/>
        </w:rPr>
        <w:t> </w:t>
      </w:r>
      <w:r>
        <w:rPr>
          <w:color w:val="231F20"/>
          <w:sz w:val="16"/>
        </w:rPr>
        <w:t>final</w:t>
      </w:r>
      <w:r>
        <w:rPr>
          <w:color w:val="231F20"/>
          <w:spacing w:val="-6"/>
          <w:sz w:val="16"/>
        </w:rPr>
        <w:t> </w:t>
      </w:r>
      <w:r>
        <w:rPr>
          <w:color w:val="231F20"/>
          <w:sz w:val="16"/>
        </w:rPr>
        <w:t>sample</w:t>
        <w:tab/>
        <w:t>2,705</w:t>
      </w:r>
    </w:p>
    <w:p>
      <w:pPr>
        <w:spacing w:before="100" w:after="21"/>
        <w:ind w:left="162" w:right="0" w:firstLine="0"/>
        <w:jc w:val="left"/>
        <w:rPr>
          <w:rFonts w:ascii="Times New Roman"/>
          <w:b/>
          <w:sz w:val="16"/>
        </w:rPr>
      </w:pPr>
      <w:r>
        <w:rPr>
          <w:rFonts w:ascii="Times New Roman"/>
          <w:b/>
          <w:color w:val="231F20"/>
          <w:sz w:val="16"/>
        </w:rPr>
        <w:t>Panel B: Sample distribution (pre- and post-ruling)</w:t>
      </w: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9"/>
        <w:gridCol w:w="442"/>
        <w:gridCol w:w="428"/>
        <w:gridCol w:w="442"/>
        <w:gridCol w:w="565"/>
        <w:gridCol w:w="1396"/>
        <w:gridCol w:w="2259"/>
      </w:tblGrid>
      <w:tr>
        <w:trPr>
          <w:trHeight w:val="201" w:hRule="atLeast"/>
        </w:trPr>
        <w:tc>
          <w:tcPr>
            <w:tcW w:w="1361" w:type="dxa"/>
            <w:gridSpan w:val="2"/>
          </w:tcPr>
          <w:p>
            <w:pPr>
              <w:pStyle w:val="TableParagraph"/>
              <w:rPr>
                <w:rFonts w:ascii="Times New Roman"/>
                <w:sz w:val="14"/>
              </w:rPr>
            </w:pPr>
          </w:p>
        </w:tc>
        <w:tc>
          <w:tcPr>
            <w:tcW w:w="428" w:type="dxa"/>
            <w:tcBorders>
              <w:bottom w:val="single" w:sz="6" w:space="0" w:color="000000"/>
            </w:tcBorders>
          </w:tcPr>
          <w:p>
            <w:pPr>
              <w:pStyle w:val="TableParagraph"/>
              <w:spacing w:line="182" w:lineRule="exact"/>
              <w:ind w:left="69"/>
              <w:rPr>
                <w:i/>
                <w:sz w:val="16"/>
              </w:rPr>
            </w:pPr>
            <w:r>
              <w:rPr>
                <w:i/>
                <w:color w:val="231F20"/>
                <w:sz w:val="16"/>
              </w:rPr>
              <w:t>DEL</w:t>
            </w:r>
          </w:p>
        </w:tc>
        <w:tc>
          <w:tcPr>
            <w:tcW w:w="442" w:type="dxa"/>
            <w:tcBorders>
              <w:bottom w:val="single" w:sz="6" w:space="0" w:color="000000"/>
            </w:tcBorders>
          </w:tcPr>
          <w:p>
            <w:pPr>
              <w:pStyle w:val="TableParagraph"/>
              <w:rPr>
                <w:rFonts w:ascii="Times New Roman"/>
                <w:sz w:val="14"/>
              </w:rPr>
            </w:pPr>
          </w:p>
        </w:tc>
        <w:tc>
          <w:tcPr>
            <w:tcW w:w="565" w:type="dxa"/>
          </w:tcPr>
          <w:p>
            <w:pPr>
              <w:pStyle w:val="TableParagraph"/>
              <w:rPr>
                <w:rFonts w:ascii="Times New Roman"/>
                <w:sz w:val="14"/>
              </w:rPr>
            </w:pPr>
          </w:p>
        </w:tc>
        <w:tc>
          <w:tcPr>
            <w:tcW w:w="1396" w:type="dxa"/>
            <w:tcBorders>
              <w:bottom w:val="single" w:sz="6" w:space="0" w:color="000000"/>
            </w:tcBorders>
          </w:tcPr>
          <w:p>
            <w:pPr>
              <w:pStyle w:val="TableParagraph"/>
              <w:spacing w:line="182" w:lineRule="exact"/>
              <w:ind w:left="80" w:right="73"/>
              <w:jc w:val="center"/>
              <w:rPr>
                <w:i/>
                <w:sz w:val="16"/>
              </w:rPr>
            </w:pPr>
            <w:r>
              <w:rPr>
                <w:i/>
                <w:color w:val="231F20"/>
                <w:sz w:val="16"/>
              </w:rPr>
              <w:t>HEDF93</w:t>
            </w:r>
          </w:p>
        </w:tc>
        <w:tc>
          <w:tcPr>
            <w:tcW w:w="2259" w:type="dxa"/>
          </w:tcPr>
          <w:p>
            <w:pPr>
              <w:pStyle w:val="TableParagraph"/>
              <w:rPr>
                <w:rFonts w:ascii="Times New Roman"/>
                <w:sz w:val="14"/>
              </w:rPr>
            </w:pPr>
          </w:p>
        </w:tc>
      </w:tr>
      <w:tr>
        <w:trPr>
          <w:trHeight w:val="518" w:hRule="atLeast"/>
        </w:trPr>
        <w:tc>
          <w:tcPr>
            <w:tcW w:w="919" w:type="dxa"/>
          </w:tcPr>
          <w:p>
            <w:pPr>
              <w:pStyle w:val="TableParagraph"/>
              <w:spacing w:before="43"/>
              <w:rPr>
                <w:sz w:val="16"/>
              </w:rPr>
            </w:pPr>
            <w:r>
              <w:rPr>
                <w:color w:val="231F20"/>
                <w:sz w:val="16"/>
              </w:rPr>
              <w:t>Year</w:t>
            </w:r>
          </w:p>
          <w:p>
            <w:pPr>
              <w:pStyle w:val="TableParagraph"/>
              <w:spacing w:line="180" w:lineRule="exact" w:before="75"/>
              <w:rPr>
                <w:sz w:val="16"/>
              </w:rPr>
            </w:pPr>
            <w:r>
              <w:rPr>
                <w:color w:val="231F20"/>
                <w:w w:val="105"/>
                <w:sz w:val="16"/>
              </w:rPr>
              <w:t>1988</w:t>
            </w:r>
          </w:p>
        </w:tc>
        <w:tc>
          <w:tcPr>
            <w:tcW w:w="442" w:type="dxa"/>
            <w:tcBorders>
              <w:top w:val="single" w:sz="6" w:space="0" w:color="000000"/>
            </w:tcBorders>
          </w:tcPr>
          <w:p>
            <w:pPr>
              <w:pStyle w:val="TableParagraph"/>
              <w:spacing w:before="21"/>
              <w:rPr>
                <w:sz w:val="16"/>
              </w:rPr>
            </w:pPr>
            <w:r>
              <w:rPr>
                <w:rFonts w:ascii="Lucida Sans Unicode"/>
                <w:color w:val="231F20"/>
                <w:sz w:val="16"/>
              </w:rPr>
              <w:t>= </w:t>
            </w:r>
            <w:r>
              <w:rPr>
                <w:color w:val="231F20"/>
                <w:sz w:val="16"/>
              </w:rPr>
              <w:t>1</w:t>
            </w:r>
          </w:p>
          <w:p>
            <w:pPr>
              <w:pStyle w:val="TableParagraph"/>
              <w:spacing w:line="180" w:lineRule="exact" w:before="50"/>
              <w:rPr>
                <w:sz w:val="16"/>
              </w:rPr>
            </w:pPr>
            <w:r>
              <w:rPr>
                <w:color w:val="231F20"/>
                <w:w w:val="105"/>
                <w:sz w:val="16"/>
              </w:rPr>
              <w:t>867</w:t>
            </w:r>
          </w:p>
        </w:tc>
        <w:tc>
          <w:tcPr>
            <w:tcW w:w="428" w:type="dxa"/>
            <w:tcBorders>
              <w:top w:val="single" w:sz="6" w:space="0" w:color="000000"/>
            </w:tcBorders>
          </w:tcPr>
          <w:p>
            <w:pPr>
              <w:pStyle w:val="TableParagraph"/>
              <w:rPr>
                <w:rFonts w:ascii="Times New Roman"/>
                <w:sz w:val="16"/>
              </w:rPr>
            </w:pPr>
          </w:p>
        </w:tc>
        <w:tc>
          <w:tcPr>
            <w:tcW w:w="442" w:type="dxa"/>
            <w:tcBorders>
              <w:top w:val="single" w:sz="6" w:space="0" w:color="000000"/>
            </w:tcBorders>
          </w:tcPr>
          <w:p>
            <w:pPr>
              <w:pStyle w:val="TableParagraph"/>
              <w:spacing w:before="21"/>
              <w:ind w:left="70"/>
              <w:rPr>
                <w:sz w:val="16"/>
              </w:rPr>
            </w:pPr>
            <w:r>
              <w:rPr>
                <w:rFonts w:ascii="Lucida Sans Unicode"/>
                <w:color w:val="231F20"/>
                <w:sz w:val="16"/>
              </w:rPr>
              <w:t>= </w:t>
            </w:r>
            <w:r>
              <w:rPr>
                <w:color w:val="231F20"/>
                <w:sz w:val="16"/>
              </w:rPr>
              <w:t>0</w:t>
            </w:r>
          </w:p>
          <w:p>
            <w:pPr>
              <w:pStyle w:val="TableParagraph"/>
              <w:spacing w:line="180" w:lineRule="exact" w:before="50"/>
              <w:ind w:left="70"/>
              <w:rPr>
                <w:sz w:val="16"/>
              </w:rPr>
            </w:pPr>
            <w:r>
              <w:rPr>
                <w:color w:val="231F20"/>
                <w:w w:val="105"/>
                <w:sz w:val="16"/>
              </w:rPr>
              <w:t>902</w:t>
            </w:r>
          </w:p>
        </w:tc>
        <w:tc>
          <w:tcPr>
            <w:tcW w:w="565" w:type="dxa"/>
          </w:tcPr>
          <w:p>
            <w:pPr>
              <w:pStyle w:val="TableParagraph"/>
              <w:rPr>
                <w:rFonts w:ascii="Times New Roman"/>
                <w:sz w:val="16"/>
              </w:rPr>
            </w:pPr>
          </w:p>
        </w:tc>
        <w:tc>
          <w:tcPr>
            <w:tcW w:w="1396" w:type="dxa"/>
            <w:tcBorders>
              <w:top w:val="single" w:sz="6" w:space="0" w:color="000000"/>
            </w:tcBorders>
          </w:tcPr>
          <w:p>
            <w:pPr>
              <w:pStyle w:val="TableParagraph"/>
              <w:tabs>
                <w:tab w:pos="943" w:val="left" w:leader="none"/>
              </w:tabs>
              <w:spacing w:before="21"/>
              <w:ind w:left="3"/>
              <w:rPr>
                <w:sz w:val="16"/>
              </w:rPr>
            </w:pPr>
            <w:r>
              <w:rPr>
                <w:rFonts w:ascii="Lucida Sans Unicode"/>
                <w:color w:val="231F20"/>
                <w:sz w:val="16"/>
              </w:rPr>
              <w:t>=</w:t>
            </w:r>
            <w:r>
              <w:rPr>
                <w:rFonts w:ascii="Lucida Sans Unicode"/>
                <w:color w:val="231F20"/>
                <w:spacing w:val="-10"/>
                <w:sz w:val="16"/>
              </w:rPr>
              <w:t> </w:t>
            </w:r>
            <w:r>
              <w:rPr>
                <w:color w:val="231F20"/>
                <w:sz w:val="16"/>
              </w:rPr>
              <w:t>1</w:t>
              <w:tab/>
            </w:r>
            <w:r>
              <w:rPr>
                <w:rFonts w:ascii="Lucida Sans Unicode"/>
                <w:color w:val="231F20"/>
                <w:sz w:val="16"/>
              </w:rPr>
              <w:t>=</w:t>
            </w:r>
            <w:r>
              <w:rPr>
                <w:rFonts w:ascii="Lucida Sans Unicode"/>
                <w:color w:val="231F20"/>
                <w:spacing w:val="-10"/>
                <w:sz w:val="16"/>
              </w:rPr>
              <w:t> </w:t>
            </w:r>
            <w:r>
              <w:rPr>
                <w:color w:val="231F20"/>
                <w:sz w:val="16"/>
              </w:rPr>
              <w:t>0</w:t>
            </w:r>
          </w:p>
          <w:p>
            <w:pPr>
              <w:pStyle w:val="TableParagraph"/>
              <w:tabs>
                <w:tab w:pos="943" w:val="left" w:leader="none"/>
              </w:tabs>
              <w:spacing w:line="180" w:lineRule="exact" w:before="50"/>
              <w:ind w:left="3"/>
              <w:rPr>
                <w:sz w:val="16"/>
              </w:rPr>
            </w:pPr>
            <w:r>
              <w:rPr>
                <w:color w:val="231F20"/>
                <w:w w:val="105"/>
                <w:sz w:val="16"/>
              </w:rPr>
              <w:t>301</w:t>
              <w:tab/>
              <w:t>1,468</w:t>
            </w:r>
          </w:p>
        </w:tc>
        <w:tc>
          <w:tcPr>
            <w:tcW w:w="2259" w:type="dxa"/>
          </w:tcPr>
          <w:p>
            <w:pPr>
              <w:pStyle w:val="TableParagraph"/>
              <w:spacing w:before="43"/>
              <w:ind w:left="570"/>
              <w:rPr>
                <w:sz w:val="16"/>
              </w:rPr>
            </w:pPr>
            <w:r>
              <w:rPr>
                <w:color w:val="231F20"/>
                <w:sz w:val="16"/>
              </w:rPr>
              <w:t>Total</w:t>
            </w:r>
          </w:p>
          <w:p>
            <w:pPr>
              <w:pStyle w:val="TableParagraph"/>
              <w:spacing w:line="180" w:lineRule="exact" w:before="75"/>
              <w:ind w:left="570"/>
              <w:rPr>
                <w:sz w:val="16"/>
              </w:rPr>
            </w:pPr>
            <w:r>
              <w:rPr>
                <w:color w:val="231F20"/>
                <w:w w:val="105"/>
                <w:sz w:val="16"/>
              </w:rPr>
              <w:t>1,769</w:t>
            </w:r>
          </w:p>
        </w:tc>
      </w:tr>
      <w:tr>
        <w:trPr>
          <w:trHeight w:val="199" w:hRule="atLeast"/>
        </w:trPr>
        <w:tc>
          <w:tcPr>
            <w:tcW w:w="919" w:type="dxa"/>
          </w:tcPr>
          <w:p>
            <w:pPr>
              <w:pStyle w:val="TableParagraph"/>
              <w:spacing w:line="179" w:lineRule="exact"/>
              <w:rPr>
                <w:sz w:val="16"/>
              </w:rPr>
            </w:pPr>
            <w:r>
              <w:rPr>
                <w:color w:val="231F20"/>
                <w:w w:val="105"/>
                <w:sz w:val="16"/>
              </w:rPr>
              <w:t>1989</w:t>
            </w:r>
          </w:p>
        </w:tc>
        <w:tc>
          <w:tcPr>
            <w:tcW w:w="442" w:type="dxa"/>
          </w:tcPr>
          <w:p>
            <w:pPr>
              <w:pStyle w:val="TableParagraph"/>
              <w:spacing w:line="179" w:lineRule="exact"/>
              <w:rPr>
                <w:sz w:val="16"/>
              </w:rPr>
            </w:pPr>
            <w:r>
              <w:rPr>
                <w:color w:val="231F20"/>
                <w:w w:val="105"/>
                <w:sz w:val="16"/>
              </w:rPr>
              <w:t>1,147</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1,174</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446</w:t>
              <w:tab/>
            </w:r>
            <w:r>
              <w:rPr>
                <w:color w:val="231F20"/>
                <w:sz w:val="16"/>
              </w:rPr>
              <w:t>1,875</w:t>
            </w:r>
          </w:p>
        </w:tc>
        <w:tc>
          <w:tcPr>
            <w:tcW w:w="2259" w:type="dxa"/>
          </w:tcPr>
          <w:p>
            <w:pPr>
              <w:pStyle w:val="TableParagraph"/>
              <w:tabs>
                <w:tab w:pos="1593" w:val="left" w:leader="none"/>
              </w:tabs>
              <w:spacing w:line="179" w:lineRule="exact"/>
              <w:ind w:left="570" w:right="-15"/>
              <w:rPr>
                <w:sz w:val="16"/>
              </w:rPr>
            </w:pPr>
            <w:r>
              <w:rPr>
                <w:color w:val="231F20"/>
                <w:sz w:val="16"/>
              </w:rPr>
              <w:t>2,321</w:t>
              <w:tab/>
            </w:r>
            <w:r>
              <w:rPr>
                <w:i/>
                <w:color w:val="231F20"/>
                <w:sz w:val="16"/>
              </w:rPr>
              <w:t>POST </w:t>
            </w:r>
            <w:r>
              <w:rPr>
                <w:rFonts w:ascii="Lucida Sans Unicode"/>
                <w:color w:val="231F20"/>
                <w:sz w:val="16"/>
              </w:rPr>
              <w:t>=</w:t>
            </w:r>
            <w:r>
              <w:rPr>
                <w:rFonts w:ascii="Lucida Sans Unicode"/>
                <w:color w:val="231F20"/>
                <w:spacing w:val="-35"/>
                <w:sz w:val="16"/>
              </w:rPr>
              <w:t> </w:t>
            </w:r>
            <w:r>
              <w:rPr>
                <w:color w:val="231F20"/>
                <w:sz w:val="16"/>
              </w:rPr>
              <w:t>0</w:t>
            </w:r>
          </w:p>
        </w:tc>
      </w:tr>
      <w:tr>
        <w:trPr>
          <w:trHeight w:val="199" w:hRule="atLeast"/>
        </w:trPr>
        <w:tc>
          <w:tcPr>
            <w:tcW w:w="919" w:type="dxa"/>
          </w:tcPr>
          <w:p>
            <w:pPr>
              <w:pStyle w:val="TableParagraph"/>
              <w:spacing w:line="179" w:lineRule="exact"/>
              <w:rPr>
                <w:sz w:val="16"/>
              </w:rPr>
            </w:pPr>
            <w:r>
              <w:rPr>
                <w:color w:val="231F20"/>
                <w:w w:val="105"/>
                <w:sz w:val="16"/>
              </w:rPr>
              <w:t>1990</w:t>
            </w:r>
          </w:p>
        </w:tc>
        <w:tc>
          <w:tcPr>
            <w:tcW w:w="442" w:type="dxa"/>
          </w:tcPr>
          <w:p>
            <w:pPr>
              <w:pStyle w:val="TableParagraph"/>
              <w:spacing w:line="179" w:lineRule="exact"/>
              <w:rPr>
                <w:sz w:val="16"/>
              </w:rPr>
            </w:pPr>
            <w:r>
              <w:rPr>
                <w:color w:val="231F20"/>
                <w:w w:val="105"/>
                <w:sz w:val="16"/>
              </w:rPr>
              <w:t>1,230</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1,207</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447</w:t>
              <w:tab/>
            </w:r>
            <w:r>
              <w:rPr>
                <w:color w:val="231F20"/>
                <w:sz w:val="16"/>
              </w:rPr>
              <w:t>1,966</w:t>
            </w:r>
          </w:p>
        </w:tc>
        <w:tc>
          <w:tcPr>
            <w:tcW w:w="2259" w:type="dxa"/>
          </w:tcPr>
          <w:p>
            <w:pPr>
              <w:pStyle w:val="TableParagraph"/>
              <w:tabs>
                <w:tab w:pos="1593" w:val="left" w:leader="none"/>
              </w:tabs>
              <w:spacing w:line="179" w:lineRule="exact"/>
              <w:ind w:left="570"/>
              <w:rPr>
                <w:sz w:val="16"/>
              </w:rPr>
            </w:pPr>
            <w:r>
              <w:rPr>
                <w:color w:val="231F20"/>
                <w:w w:val="105"/>
                <w:sz w:val="16"/>
              </w:rPr>
              <w:t>2,437</w:t>
              <w:tab/>
              <w:t>9,112</w:t>
            </w:r>
          </w:p>
        </w:tc>
      </w:tr>
      <w:tr>
        <w:trPr>
          <w:trHeight w:val="233" w:hRule="atLeast"/>
        </w:trPr>
        <w:tc>
          <w:tcPr>
            <w:tcW w:w="919" w:type="dxa"/>
            <w:tcBorders>
              <w:bottom w:val="single" w:sz="6" w:space="0" w:color="000000"/>
            </w:tcBorders>
          </w:tcPr>
          <w:p>
            <w:pPr>
              <w:pStyle w:val="TableParagraph"/>
              <w:spacing w:line="198" w:lineRule="exact"/>
              <w:rPr>
                <w:sz w:val="16"/>
              </w:rPr>
            </w:pPr>
            <w:r>
              <w:rPr>
                <w:color w:val="231F20"/>
                <w:w w:val="105"/>
                <w:sz w:val="16"/>
              </w:rPr>
              <w:t>1991</w:t>
            </w:r>
          </w:p>
        </w:tc>
        <w:tc>
          <w:tcPr>
            <w:tcW w:w="442" w:type="dxa"/>
            <w:tcBorders>
              <w:bottom w:val="single" w:sz="6" w:space="0" w:color="000000"/>
            </w:tcBorders>
          </w:tcPr>
          <w:p>
            <w:pPr>
              <w:pStyle w:val="TableParagraph"/>
              <w:spacing w:line="198" w:lineRule="exact"/>
              <w:rPr>
                <w:sz w:val="16"/>
              </w:rPr>
            </w:pPr>
            <w:r>
              <w:rPr>
                <w:color w:val="231F20"/>
                <w:w w:val="105"/>
                <w:sz w:val="16"/>
              </w:rPr>
              <w:t>1,320</w:t>
            </w:r>
          </w:p>
        </w:tc>
        <w:tc>
          <w:tcPr>
            <w:tcW w:w="428" w:type="dxa"/>
            <w:tcBorders>
              <w:bottom w:val="single" w:sz="6" w:space="0" w:color="000000"/>
            </w:tcBorders>
          </w:tcPr>
          <w:p>
            <w:pPr>
              <w:pStyle w:val="TableParagraph"/>
              <w:rPr>
                <w:rFonts w:ascii="Times New Roman"/>
                <w:sz w:val="16"/>
              </w:rPr>
            </w:pPr>
          </w:p>
        </w:tc>
        <w:tc>
          <w:tcPr>
            <w:tcW w:w="442" w:type="dxa"/>
            <w:tcBorders>
              <w:bottom w:val="single" w:sz="6" w:space="0" w:color="000000"/>
            </w:tcBorders>
          </w:tcPr>
          <w:p>
            <w:pPr>
              <w:pStyle w:val="TableParagraph"/>
              <w:spacing w:line="198" w:lineRule="exact"/>
              <w:ind w:right="-15"/>
              <w:jc w:val="right"/>
              <w:rPr>
                <w:sz w:val="16"/>
              </w:rPr>
            </w:pPr>
            <w:r>
              <w:rPr>
                <w:color w:val="231F20"/>
                <w:sz w:val="16"/>
              </w:rPr>
              <w:t>1,265</w:t>
            </w:r>
          </w:p>
        </w:tc>
        <w:tc>
          <w:tcPr>
            <w:tcW w:w="565" w:type="dxa"/>
            <w:tcBorders>
              <w:bottom w:val="single" w:sz="6" w:space="0" w:color="000000"/>
            </w:tcBorders>
          </w:tcPr>
          <w:p>
            <w:pPr>
              <w:pStyle w:val="TableParagraph"/>
              <w:rPr>
                <w:rFonts w:ascii="Times New Roman"/>
                <w:sz w:val="16"/>
              </w:rPr>
            </w:pPr>
          </w:p>
        </w:tc>
        <w:tc>
          <w:tcPr>
            <w:tcW w:w="1396" w:type="dxa"/>
            <w:tcBorders>
              <w:bottom w:val="single" w:sz="6" w:space="0" w:color="000000"/>
            </w:tcBorders>
          </w:tcPr>
          <w:p>
            <w:pPr>
              <w:pStyle w:val="TableParagraph"/>
              <w:tabs>
                <w:tab w:pos="939" w:val="left" w:leader="none"/>
              </w:tabs>
              <w:spacing w:line="198" w:lineRule="exact"/>
              <w:ind w:right="73"/>
              <w:jc w:val="center"/>
              <w:rPr>
                <w:sz w:val="16"/>
              </w:rPr>
            </w:pPr>
            <w:r>
              <w:rPr>
                <w:color w:val="231F20"/>
                <w:w w:val="105"/>
                <w:sz w:val="16"/>
              </w:rPr>
              <w:t>510</w:t>
              <w:tab/>
            </w:r>
            <w:r>
              <w:rPr>
                <w:color w:val="231F20"/>
                <w:sz w:val="16"/>
              </w:rPr>
              <w:t>2,075</w:t>
            </w:r>
          </w:p>
        </w:tc>
        <w:tc>
          <w:tcPr>
            <w:tcW w:w="2259" w:type="dxa"/>
            <w:tcBorders>
              <w:bottom w:val="single" w:sz="6" w:space="0" w:color="000000"/>
            </w:tcBorders>
          </w:tcPr>
          <w:p>
            <w:pPr>
              <w:pStyle w:val="TableParagraph"/>
              <w:spacing w:line="198" w:lineRule="exact"/>
              <w:ind w:left="570"/>
              <w:rPr>
                <w:sz w:val="16"/>
              </w:rPr>
            </w:pPr>
            <w:r>
              <w:rPr>
                <w:color w:val="231F20"/>
                <w:w w:val="105"/>
                <w:sz w:val="16"/>
              </w:rPr>
              <w:t>2,585</w:t>
            </w:r>
          </w:p>
        </w:tc>
      </w:tr>
      <w:tr>
        <w:trPr>
          <w:trHeight w:val="224" w:hRule="atLeast"/>
        </w:trPr>
        <w:tc>
          <w:tcPr>
            <w:tcW w:w="919" w:type="dxa"/>
            <w:tcBorders>
              <w:top w:val="single" w:sz="6" w:space="0" w:color="000000"/>
            </w:tcBorders>
          </w:tcPr>
          <w:p>
            <w:pPr>
              <w:pStyle w:val="TableParagraph"/>
              <w:spacing w:line="180" w:lineRule="exact" w:before="24"/>
              <w:rPr>
                <w:sz w:val="16"/>
              </w:rPr>
            </w:pPr>
            <w:r>
              <w:rPr>
                <w:color w:val="231F20"/>
                <w:w w:val="105"/>
                <w:sz w:val="16"/>
              </w:rPr>
              <w:t>1993</w:t>
            </w:r>
          </w:p>
        </w:tc>
        <w:tc>
          <w:tcPr>
            <w:tcW w:w="442" w:type="dxa"/>
            <w:tcBorders>
              <w:top w:val="single" w:sz="6" w:space="0" w:color="000000"/>
            </w:tcBorders>
          </w:tcPr>
          <w:p>
            <w:pPr>
              <w:pStyle w:val="TableParagraph"/>
              <w:spacing w:line="180" w:lineRule="exact" w:before="24"/>
              <w:rPr>
                <w:sz w:val="16"/>
              </w:rPr>
            </w:pPr>
            <w:r>
              <w:rPr>
                <w:color w:val="231F20"/>
                <w:w w:val="105"/>
                <w:sz w:val="16"/>
              </w:rPr>
              <w:t>1,346</w:t>
            </w:r>
          </w:p>
        </w:tc>
        <w:tc>
          <w:tcPr>
            <w:tcW w:w="428" w:type="dxa"/>
            <w:tcBorders>
              <w:top w:val="single" w:sz="6" w:space="0" w:color="000000"/>
            </w:tcBorders>
          </w:tcPr>
          <w:p>
            <w:pPr>
              <w:pStyle w:val="TableParagraph"/>
              <w:rPr>
                <w:rFonts w:ascii="Times New Roman"/>
                <w:sz w:val="16"/>
              </w:rPr>
            </w:pPr>
          </w:p>
        </w:tc>
        <w:tc>
          <w:tcPr>
            <w:tcW w:w="442" w:type="dxa"/>
            <w:tcBorders>
              <w:top w:val="single" w:sz="6" w:space="0" w:color="000000"/>
            </w:tcBorders>
          </w:tcPr>
          <w:p>
            <w:pPr>
              <w:pStyle w:val="TableParagraph"/>
              <w:spacing w:line="180" w:lineRule="exact" w:before="24"/>
              <w:ind w:right="-15"/>
              <w:jc w:val="right"/>
              <w:rPr>
                <w:sz w:val="16"/>
              </w:rPr>
            </w:pPr>
            <w:r>
              <w:rPr>
                <w:color w:val="231F20"/>
                <w:sz w:val="16"/>
              </w:rPr>
              <w:t>1,279</w:t>
            </w:r>
          </w:p>
        </w:tc>
        <w:tc>
          <w:tcPr>
            <w:tcW w:w="565" w:type="dxa"/>
            <w:tcBorders>
              <w:top w:val="single" w:sz="6" w:space="0" w:color="000000"/>
            </w:tcBorders>
          </w:tcPr>
          <w:p>
            <w:pPr>
              <w:pStyle w:val="TableParagraph"/>
              <w:rPr>
                <w:rFonts w:ascii="Times New Roman"/>
                <w:sz w:val="16"/>
              </w:rPr>
            </w:pPr>
          </w:p>
        </w:tc>
        <w:tc>
          <w:tcPr>
            <w:tcW w:w="1396" w:type="dxa"/>
            <w:tcBorders>
              <w:top w:val="single" w:sz="6" w:space="0" w:color="000000"/>
            </w:tcBorders>
          </w:tcPr>
          <w:p>
            <w:pPr>
              <w:pStyle w:val="TableParagraph"/>
              <w:tabs>
                <w:tab w:pos="939" w:val="left" w:leader="none"/>
              </w:tabs>
              <w:spacing w:line="180" w:lineRule="exact" w:before="24"/>
              <w:ind w:right="73"/>
              <w:jc w:val="center"/>
              <w:rPr>
                <w:sz w:val="16"/>
              </w:rPr>
            </w:pPr>
            <w:r>
              <w:rPr>
                <w:color w:val="231F20"/>
                <w:w w:val="105"/>
                <w:sz w:val="16"/>
              </w:rPr>
              <w:t>519</w:t>
              <w:tab/>
            </w:r>
            <w:r>
              <w:rPr>
                <w:color w:val="231F20"/>
                <w:sz w:val="16"/>
              </w:rPr>
              <w:t>2,106</w:t>
            </w:r>
          </w:p>
        </w:tc>
        <w:tc>
          <w:tcPr>
            <w:tcW w:w="2259" w:type="dxa"/>
            <w:tcBorders>
              <w:top w:val="single" w:sz="6" w:space="0" w:color="000000"/>
            </w:tcBorders>
          </w:tcPr>
          <w:p>
            <w:pPr>
              <w:pStyle w:val="TableParagraph"/>
              <w:spacing w:line="180" w:lineRule="exact" w:before="24"/>
              <w:ind w:left="570"/>
              <w:rPr>
                <w:sz w:val="16"/>
              </w:rPr>
            </w:pPr>
            <w:r>
              <w:rPr>
                <w:color w:val="231F20"/>
                <w:w w:val="105"/>
                <w:sz w:val="16"/>
              </w:rPr>
              <w:t>2,625</w:t>
            </w:r>
          </w:p>
        </w:tc>
      </w:tr>
      <w:tr>
        <w:trPr>
          <w:trHeight w:val="199" w:hRule="atLeast"/>
        </w:trPr>
        <w:tc>
          <w:tcPr>
            <w:tcW w:w="919" w:type="dxa"/>
          </w:tcPr>
          <w:p>
            <w:pPr>
              <w:pStyle w:val="TableParagraph"/>
              <w:spacing w:line="179" w:lineRule="exact"/>
              <w:rPr>
                <w:sz w:val="16"/>
              </w:rPr>
            </w:pPr>
            <w:r>
              <w:rPr>
                <w:color w:val="231F20"/>
                <w:w w:val="105"/>
                <w:sz w:val="16"/>
              </w:rPr>
              <w:t>1994</w:t>
            </w:r>
          </w:p>
        </w:tc>
        <w:tc>
          <w:tcPr>
            <w:tcW w:w="442" w:type="dxa"/>
          </w:tcPr>
          <w:p>
            <w:pPr>
              <w:pStyle w:val="TableParagraph"/>
              <w:spacing w:line="179" w:lineRule="exact"/>
              <w:rPr>
                <w:sz w:val="16"/>
              </w:rPr>
            </w:pPr>
            <w:r>
              <w:rPr>
                <w:color w:val="231F20"/>
                <w:w w:val="105"/>
                <w:sz w:val="16"/>
              </w:rPr>
              <w:t>1,281</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1,220</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461</w:t>
              <w:tab/>
            </w:r>
            <w:r>
              <w:rPr>
                <w:color w:val="231F20"/>
                <w:sz w:val="16"/>
              </w:rPr>
              <w:t>2,040</w:t>
            </w:r>
          </w:p>
        </w:tc>
        <w:tc>
          <w:tcPr>
            <w:tcW w:w="2259" w:type="dxa"/>
          </w:tcPr>
          <w:p>
            <w:pPr>
              <w:pStyle w:val="TableParagraph"/>
              <w:tabs>
                <w:tab w:pos="1593" w:val="left" w:leader="none"/>
              </w:tabs>
              <w:spacing w:line="179" w:lineRule="exact"/>
              <w:ind w:left="570" w:right="-15"/>
              <w:rPr>
                <w:sz w:val="16"/>
              </w:rPr>
            </w:pPr>
            <w:r>
              <w:rPr>
                <w:color w:val="231F20"/>
                <w:sz w:val="16"/>
              </w:rPr>
              <w:t>2,501</w:t>
              <w:tab/>
            </w:r>
            <w:r>
              <w:rPr>
                <w:i/>
                <w:color w:val="231F20"/>
                <w:sz w:val="16"/>
              </w:rPr>
              <w:t>POST </w:t>
            </w:r>
            <w:r>
              <w:rPr>
                <w:rFonts w:ascii="Lucida Sans Unicode"/>
                <w:color w:val="231F20"/>
                <w:sz w:val="16"/>
              </w:rPr>
              <w:t>=</w:t>
            </w:r>
            <w:r>
              <w:rPr>
                <w:rFonts w:ascii="Lucida Sans Unicode"/>
                <w:color w:val="231F20"/>
                <w:spacing w:val="-35"/>
                <w:sz w:val="16"/>
              </w:rPr>
              <w:t> </w:t>
            </w:r>
            <w:r>
              <w:rPr>
                <w:color w:val="231F20"/>
                <w:sz w:val="16"/>
              </w:rPr>
              <w:t>1</w:t>
            </w:r>
          </w:p>
        </w:tc>
      </w:tr>
      <w:tr>
        <w:trPr>
          <w:trHeight w:val="199" w:hRule="atLeast"/>
        </w:trPr>
        <w:tc>
          <w:tcPr>
            <w:tcW w:w="919" w:type="dxa"/>
          </w:tcPr>
          <w:p>
            <w:pPr>
              <w:pStyle w:val="TableParagraph"/>
              <w:spacing w:line="179" w:lineRule="exact"/>
              <w:rPr>
                <w:sz w:val="16"/>
              </w:rPr>
            </w:pPr>
            <w:r>
              <w:rPr>
                <w:color w:val="231F20"/>
                <w:w w:val="105"/>
                <w:sz w:val="16"/>
              </w:rPr>
              <w:t>1995</w:t>
            </w:r>
          </w:p>
        </w:tc>
        <w:tc>
          <w:tcPr>
            <w:tcW w:w="442" w:type="dxa"/>
          </w:tcPr>
          <w:p>
            <w:pPr>
              <w:pStyle w:val="TableParagraph"/>
              <w:spacing w:line="179" w:lineRule="exact"/>
              <w:rPr>
                <w:sz w:val="16"/>
              </w:rPr>
            </w:pPr>
            <w:r>
              <w:rPr>
                <w:color w:val="231F20"/>
                <w:w w:val="105"/>
                <w:sz w:val="16"/>
              </w:rPr>
              <w:t>1,207</w:t>
            </w:r>
          </w:p>
        </w:tc>
        <w:tc>
          <w:tcPr>
            <w:tcW w:w="428" w:type="dxa"/>
          </w:tcPr>
          <w:p>
            <w:pPr>
              <w:pStyle w:val="TableParagraph"/>
              <w:rPr>
                <w:rFonts w:ascii="Times New Roman"/>
                <w:sz w:val="12"/>
              </w:rPr>
            </w:pPr>
          </w:p>
        </w:tc>
        <w:tc>
          <w:tcPr>
            <w:tcW w:w="442" w:type="dxa"/>
          </w:tcPr>
          <w:p>
            <w:pPr>
              <w:pStyle w:val="TableParagraph"/>
              <w:spacing w:line="179" w:lineRule="exact"/>
              <w:ind w:right="-15"/>
              <w:jc w:val="right"/>
              <w:rPr>
                <w:sz w:val="16"/>
              </w:rPr>
            </w:pPr>
            <w:r>
              <w:rPr>
                <w:color w:val="231F20"/>
                <w:sz w:val="16"/>
              </w:rPr>
              <w:t>1,147</w:t>
            </w:r>
          </w:p>
        </w:tc>
        <w:tc>
          <w:tcPr>
            <w:tcW w:w="565" w:type="dxa"/>
          </w:tcPr>
          <w:p>
            <w:pPr>
              <w:pStyle w:val="TableParagraph"/>
              <w:rPr>
                <w:rFonts w:ascii="Times New Roman"/>
                <w:sz w:val="12"/>
              </w:rPr>
            </w:pPr>
          </w:p>
        </w:tc>
        <w:tc>
          <w:tcPr>
            <w:tcW w:w="1396" w:type="dxa"/>
          </w:tcPr>
          <w:p>
            <w:pPr>
              <w:pStyle w:val="TableParagraph"/>
              <w:tabs>
                <w:tab w:pos="939" w:val="left" w:leader="none"/>
              </w:tabs>
              <w:spacing w:line="179" w:lineRule="exact"/>
              <w:ind w:right="73"/>
              <w:jc w:val="center"/>
              <w:rPr>
                <w:sz w:val="16"/>
              </w:rPr>
            </w:pPr>
            <w:r>
              <w:rPr>
                <w:color w:val="231F20"/>
                <w:w w:val="105"/>
                <w:sz w:val="16"/>
              </w:rPr>
              <w:t>412</w:t>
              <w:tab/>
            </w:r>
            <w:r>
              <w:rPr>
                <w:color w:val="231F20"/>
                <w:sz w:val="16"/>
              </w:rPr>
              <w:t>1,942</w:t>
            </w:r>
          </w:p>
        </w:tc>
        <w:tc>
          <w:tcPr>
            <w:tcW w:w="2259" w:type="dxa"/>
          </w:tcPr>
          <w:p>
            <w:pPr>
              <w:pStyle w:val="TableParagraph"/>
              <w:tabs>
                <w:tab w:pos="1593" w:val="left" w:leader="none"/>
              </w:tabs>
              <w:spacing w:line="179" w:lineRule="exact"/>
              <w:ind w:left="570"/>
              <w:rPr>
                <w:sz w:val="16"/>
              </w:rPr>
            </w:pPr>
            <w:r>
              <w:rPr>
                <w:color w:val="231F20"/>
                <w:w w:val="105"/>
                <w:sz w:val="16"/>
              </w:rPr>
              <w:t>2,354</w:t>
              <w:tab/>
              <w:t>9,715</w:t>
            </w:r>
          </w:p>
        </w:tc>
      </w:tr>
      <w:tr>
        <w:trPr>
          <w:trHeight w:val="233" w:hRule="atLeast"/>
        </w:trPr>
        <w:tc>
          <w:tcPr>
            <w:tcW w:w="919" w:type="dxa"/>
            <w:tcBorders>
              <w:bottom w:val="single" w:sz="6" w:space="0" w:color="000000"/>
            </w:tcBorders>
          </w:tcPr>
          <w:p>
            <w:pPr>
              <w:pStyle w:val="TableParagraph"/>
              <w:spacing w:line="198" w:lineRule="exact"/>
              <w:rPr>
                <w:sz w:val="16"/>
              </w:rPr>
            </w:pPr>
            <w:r>
              <w:rPr>
                <w:color w:val="231F20"/>
                <w:w w:val="105"/>
                <w:sz w:val="16"/>
              </w:rPr>
              <w:t>1996</w:t>
            </w:r>
          </w:p>
        </w:tc>
        <w:tc>
          <w:tcPr>
            <w:tcW w:w="442" w:type="dxa"/>
            <w:tcBorders>
              <w:bottom w:val="single" w:sz="6" w:space="0" w:color="000000"/>
            </w:tcBorders>
          </w:tcPr>
          <w:p>
            <w:pPr>
              <w:pStyle w:val="TableParagraph"/>
              <w:spacing w:line="198" w:lineRule="exact"/>
              <w:rPr>
                <w:sz w:val="16"/>
              </w:rPr>
            </w:pPr>
            <w:r>
              <w:rPr>
                <w:color w:val="231F20"/>
                <w:w w:val="105"/>
                <w:sz w:val="16"/>
              </w:rPr>
              <w:t>1,145</w:t>
            </w:r>
          </w:p>
        </w:tc>
        <w:tc>
          <w:tcPr>
            <w:tcW w:w="428" w:type="dxa"/>
            <w:tcBorders>
              <w:bottom w:val="single" w:sz="6" w:space="0" w:color="000000"/>
            </w:tcBorders>
          </w:tcPr>
          <w:p>
            <w:pPr>
              <w:pStyle w:val="TableParagraph"/>
              <w:rPr>
                <w:rFonts w:ascii="Times New Roman"/>
                <w:sz w:val="16"/>
              </w:rPr>
            </w:pPr>
          </w:p>
        </w:tc>
        <w:tc>
          <w:tcPr>
            <w:tcW w:w="442" w:type="dxa"/>
            <w:tcBorders>
              <w:bottom w:val="single" w:sz="6" w:space="0" w:color="000000"/>
            </w:tcBorders>
          </w:tcPr>
          <w:p>
            <w:pPr>
              <w:pStyle w:val="TableParagraph"/>
              <w:spacing w:line="198" w:lineRule="exact"/>
              <w:ind w:right="-15"/>
              <w:jc w:val="right"/>
              <w:rPr>
                <w:sz w:val="16"/>
              </w:rPr>
            </w:pPr>
            <w:r>
              <w:rPr>
                <w:color w:val="231F20"/>
                <w:sz w:val="16"/>
              </w:rPr>
              <w:t>1,090</w:t>
            </w:r>
          </w:p>
        </w:tc>
        <w:tc>
          <w:tcPr>
            <w:tcW w:w="565" w:type="dxa"/>
            <w:tcBorders>
              <w:bottom w:val="single" w:sz="6" w:space="0" w:color="000000"/>
            </w:tcBorders>
          </w:tcPr>
          <w:p>
            <w:pPr>
              <w:pStyle w:val="TableParagraph"/>
              <w:rPr>
                <w:rFonts w:ascii="Times New Roman"/>
                <w:sz w:val="16"/>
              </w:rPr>
            </w:pPr>
          </w:p>
        </w:tc>
        <w:tc>
          <w:tcPr>
            <w:tcW w:w="1396" w:type="dxa"/>
            <w:tcBorders>
              <w:bottom w:val="single" w:sz="6" w:space="0" w:color="000000"/>
            </w:tcBorders>
          </w:tcPr>
          <w:p>
            <w:pPr>
              <w:pStyle w:val="TableParagraph"/>
              <w:tabs>
                <w:tab w:pos="939" w:val="left" w:leader="none"/>
              </w:tabs>
              <w:spacing w:line="198" w:lineRule="exact"/>
              <w:ind w:right="73"/>
              <w:jc w:val="center"/>
              <w:rPr>
                <w:sz w:val="16"/>
              </w:rPr>
            </w:pPr>
            <w:r>
              <w:rPr>
                <w:color w:val="231F20"/>
                <w:w w:val="105"/>
                <w:sz w:val="16"/>
              </w:rPr>
              <w:t>386</w:t>
              <w:tab/>
            </w:r>
            <w:r>
              <w:rPr>
                <w:color w:val="231F20"/>
                <w:sz w:val="16"/>
              </w:rPr>
              <w:t>1,849</w:t>
            </w:r>
          </w:p>
        </w:tc>
        <w:tc>
          <w:tcPr>
            <w:tcW w:w="2259" w:type="dxa"/>
            <w:tcBorders>
              <w:bottom w:val="single" w:sz="6" w:space="0" w:color="000000"/>
            </w:tcBorders>
          </w:tcPr>
          <w:p>
            <w:pPr>
              <w:pStyle w:val="TableParagraph"/>
              <w:spacing w:line="198" w:lineRule="exact"/>
              <w:ind w:left="570"/>
              <w:rPr>
                <w:sz w:val="16"/>
              </w:rPr>
            </w:pPr>
            <w:r>
              <w:rPr>
                <w:color w:val="231F20"/>
                <w:w w:val="105"/>
                <w:sz w:val="16"/>
              </w:rPr>
              <w:t>2,235</w:t>
            </w:r>
          </w:p>
        </w:tc>
      </w:tr>
      <w:tr>
        <w:trPr>
          <w:trHeight w:val="242" w:hRule="atLeast"/>
        </w:trPr>
        <w:tc>
          <w:tcPr>
            <w:tcW w:w="919" w:type="dxa"/>
            <w:tcBorders>
              <w:top w:val="single" w:sz="6" w:space="0" w:color="000000"/>
              <w:bottom w:val="single" w:sz="6" w:space="0" w:color="000000"/>
            </w:tcBorders>
          </w:tcPr>
          <w:p>
            <w:pPr>
              <w:pStyle w:val="TableParagraph"/>
              <w:spacing w:line="198" w:lineRule="exact" w:before="24"/>
              <w:rPr>
                <w:sz w:val="16"/>
              </w:rPr>
            </w:pPr>
            <w:r>
              <w:rPr>
                <w:color w:val="231F20"/>
                <w:sz w:val="16"/>
              </w:rPr>
              <w:t>Total</w:t>
            </w:r>
          </w:p>
        </w:tc>
        <w:tc>
          <w:tcPr>
            <w:tcW w:w="442" w:type="dxa"/>
            <w:tcBorders>
              <w:top w:val="single" w:sz="6" w:space="0" w:color="000000"/>
              <w:bottom w:val="single" w:sz="6" w:space="0" w:color="000000"/>
            </w:tcBorders>
          </w:tcPr>
          <w:p>
            <w:pPr>
              <w:pStyle w:val="TableParagraph"/>
              <w:spacing w:line="198" w:lineRule="exact" w:before="24"/>
              <w:rPr>
                <w:sz w:val="16"/>
              </w:rPr>
            </w:pPr>
            <w:r>
              <w:rPr>
                <w:color w:val="231F20"/>
                <w:w w:val="105"/>
                <w:sz w:val="16"/>
              </w:rPr>
              <w:t>9,543</w:t>
            </w:r>
          </w:p>
        </w:tc>
        <w:tc>
          <w:tcPr>
            <w:tcW w:w="428" w:type="dxa"/>
            <w:tcBorders>
              <w:top w:val="single" w:sz="6" w:space="0" w:color="000000"/>
              <w:bottom w:val="single" w:sz="6" w:space="0" w:color="000000"/>
            </w:tcBorders>
          </w:tcPr>
          <w:p>
            <w:pPr>
              <w:pStyle w:val="TableParagraph"/>
              <w:rPr>
                <w:rFonts w:ascii="Times New Roman"/>
                <w:sz w:val="16"/>
              </w:rPr>
            </w:pPr>
          </w:p>
        </w:tc>
        <w:tc>
          <w:tcPr>
            <w:tcW w:w="442" w:type="dxa"/>
            <w:tcBorders>
              <w:top w:val="single" w:sz="6" w:space="0" w:color="000000"/>
              <w:bottom w:val="single" w:sz="6" w:space="0" w:color="000000"/>
            </w:tcBorders>
          </w:tcPr>
          <w:p>
            <w:pPr>
              <w:pStyle w:val="TableParagraph"/>
              <w:spacing w:line="198" w:lineRule="exact" w:before="24"/>
              <w:ind w:right="-15"/>
              <w:jc w:val="right"/>
              <w:rPr>
                <w:sz w:val="16"/>
              </w:rPr>
            </w:pPr>
            <w:r>
              <w:rPr>
                <w:color w:val="231F20"/>
                <w:sz w:val="16"/>
              </w:rPr>
              <w:t>9,284</w:t>
            </w:r>
          </w:p>
        </w:tc>
        <w:tc>
          <w:tcPr>
            <w:tcW w:w="565" w:type="dxa"/>
            <w:tcBorders>
              <w:top w:val="single" w:sz="6" w:space="0" w:color="000000"/>
              <w:bottom w:val="single" w:sz="6" w:space="0" w:color="000000"/>
            </w:tcBorders>
          </w:tcPr>
          <w:p>
            <w:pPr>
              <w:pStyle w:val="TableParagraph"/>
              <w:rPr>
                <w:rFonts w:ascii="Times New Roman"/>
                <w:sz w:val="16"/>
              </w:rPr>
            </w:pPr>
          </w:p>
        </w:tc>
        <w:tc>
          <w:tcPr>
            <w:tcW w:w="1396" w:type="dxa"/>
            <w:tcBorders>
              <w:top w:val="single" w:sz="6" w:space="0" w:color="000000"/>
              <w:bottom w:val="single" w:sz="6" w:space="0" w:color="000000"/>
            </w:tcBorders>
          </w:tcPr>
          <w:p>
            <w:pPr>
              <w:pStyle w:val="TableParagraph"/>
              <w:tabs>
                <w:tab w:pos="942" w:val="left" w:leader="none"/>
              </w:tabs>
              <w:spacing w:line="198" w:lineRule="exact" w:before="24"/>
              <w:ind w:left="3" w:right="-15"/>
              <w:jc w:val="center"/>
              <w:rPr>
                <w:sz w:val="16"/>
              </w:rPr>
            </w:pPr>
            <w:r>
              <w:rPr>
                <w:color w:val="231F20"/>
                <w:w w:val="105"/>
                <w:sz w:val="16"/>
              </w:rPr>
              <w:t>3,482</w:t>
              <w:tab/>
            </w:r>
            <w:r>
              <w:rPr>
                <w:color w:val="231F20"/>
                <w:sz w:val="16"/>
              </w:rPr>
              <w:t>15,321</w:t>
            </w:r>
          </w:p>
        </w:tc>
        <w:tc>
          <w:tcPr>
            <w:tcW w:w="2259" w:type="dxa"/>
            <w:tcBorders>
              <w:top w:val="single" w:sz="6" w:space="0" w:color="000000"/>
              <w:bottom w:val="single" w:sz="6" w:space="0" w:color="000000"/>
            </w:tcBorders>
          </w:tcPr>
          <w:p>
            <w:pPr>
              <w:pStyle w:val="TableParagraph"/>
              <w:spacing w:line="198" w:lineRule="exact" w:before="24"/>
              <w:ind w:left="570"/>
              <w:rPr>
                <w:sz w:val="16"/>
              </w:rPr>
            </w:pPr>
            <w:r>
              <w:rPr>
                <w:color w:val="231F20"/>
                <w:w w:val="105"/>
                <w:sz w:val="16"/>
              </w:rPr>
              <w:t>18,827</w:t>
            </w:r>
          </w:p>
        </w:tc>
      </w:tr>
    </w:tbl>
    <w:p>
      <w:pPr>
        <w:pStyle w:val="BodyText"/>
        <w:rPr>
          <w:rFonts w:ascii="Times New Roman"/>
          <w:b/>
          <w:sz w:val="18"/>
        </w:rPr>
      </w:pPr>
    </w:p>
    <w:p>
      <w:pPr>
        <w:pStyle w:val="BodyText"/>
        <w:spacing w:before="2"/>
        <w:rPr>
          <w:rFonts w:ascii="Times New Roman"/>
          <w:b/>
          <w:sz w:val="25"/>
        </w:rPr>
      </w:pPr>
    </w:p>
    <w:p>
      <w:pPr>
        <w:pStyle w:val="Heading1"/>
        <w:numPr>
          <w:ilvl w:val="0"/>
          <w:numId w:val="1"/>
        </w:numPr>
        <w:tabs>
          <w:tab w:pos="474" w:val="left" w:leader="none"/>
        </w:tabs>
        <w:spacing w:line="240" w:lineRule="auto" w:before="1" w:after="0"/>
        <w:ind w:left="473" w:right="0" w:hanging="311"/>
        <w:jc w:val="left"/>
        <w:rPr>
          <w:i/>
        </w:rPr>
      </w:pPr>
      <w:r>
        <w:rPr/>
        <w:pict>
          <v:line style="position:absolute;mso-position-horizontal-relative:page;mso-position-vertical-relative:paragraph;z-index:-69544" from="72.125999pt,-125.424614pt" to="394.919999pt,-125.424614pt" stroked="true" strokeweight=".504pt" strokecolor="#000000">
            <v:stroke dashstyle="solid"/>
            <w10:wrap type="none"/>
          </v:line>
        </w:pict>
      </w:r>
      <w:r>
        <w:rPr>
          <w:i/>
        </w:rPr>
        <w:t>Sample Selection and Descriptive</w:t>
      </w:r>
      <w:r>
        <w:rPr>
          <w:i/>
          <w:spacing w:val="-19"/>
        </w:rPr>
        <w:t> </w:t>
      </w:r>
      <w:r>
        <w:rPr>
          <w:i/>
        </w:rPr>
        <w:t>Statistics</w:t>
      </w:r>
    </w:p>
    <w:p>
      <w:pPr>
        <w:pStyle w:val="BodyText"/>
        <w:spacing w:line="230" w:lineRule="auto" w:before="146"/>
        <w:ind w:left="162" w:right="519" w:firstLine="199"/>
        <w:jc w:val="both"/>
      </w:pPr>
      <w:r>
        <w:rPr/>
        <w:pict>
          <v:line style="position:absolute;mso-position-horizontal-relative:page;mso-position-vertical-relative:paragraph;z-index:-69520" from="110.339996pt,88.047302pt" to="113.336996pt,88.047302pt" stroked="true" strokeweight=".405pt" strokecolor="#000000">
            <v:stroke dashstyle="solid"/>
            <w10:wrap type="none"/>
          </v:line>
        </w:pict>
      </w:r>
      <w:r>
        <w:rPr/>
        <w:pict>
          <v:line style="position:absolute;mso-position-horizontal-relative:page;mso-position-vertical-relative:paragraph;z-index:-69496" from="150.479996pt,88.047302pt" to="153.476996pt,88.047302pt" stroked="true" strokeweight=".405pt" strokecolor="#000000">
            <v:stroke dashstyle="solid"/>
            <w10:wrap type="none"/>
          </v:line>
        </w:pict>
      </w:r>
      <w:r>
        <w:rPr/>
        <w:pict>
          <v:line style="position:absolute;mso-position-horizontal-relative:page;mso-position-vertical-relative:paragraph;z-index:-69472" from="210.024002pt,88.047302pt" to="213.021002pt,88.047302pt" stroked="true" strokeweight=".405pt" strokecolor="#000000">
            <v:stroke dashstyle="solid"/>
            <w10:wrap type="none"/>
          </v:line>
        </w:pict>
      </w:r>
      <w:r>
        <w:rPr/>
        <w:t>Panel A of table 1 describes construction of the sample used to test our main</w:t>
      </w:r>
      <w:r>
        <w:rPr>
          <w:spacing w:val="-9"/>
        </w:rPr>
        <w:t> </w:t>
      </w:r>
      <w:r>
        <w:rPr/>
        <w:t>hypothesis.</w:t>
      </w:r>
      <w:r>
        <w:rPr>
          <w:spacing w:val="-9"/>
        </w:rPr>
        <w:t> </w:t>
      </w:r>
      <w:r>
        <w:rPr>
          <w:spacing w:val="-6"/>
        </w:rPr>
        <w:t>We</w:t>
      </w:r>
      <w:r>
        <w:rPr>
          <w:spacing w:val="-9"/>
        </w:rPr>
        <w:t> </w:t>
      </w:r>
      <w:r>
        <w:rPr/>
        <w:t>begin</w:t>
      </w:r>
      <w:r>
        <w:rPr>
          <w:spacing w:val="-9"/>
        </w:rPr>
        <w:t> </w:t>
      </w:r>
      <w:r>
        <w:rPr/>
        <w:t>with</w:t>
      </w:r>
      <w:r>
        <w:rPr>
          <w:spacing w:val="-9"/>
        </w:rPr>
        <w:t> </w:t>
      </w:r>
      <w:r>
        <w:rPr/>
        <w:t>86,672</w:t>
      </w:r>
      <w:r>
        <w:rPr>
          <w:spacing w:val="-10"/>
        </w:rPr>
        <w:t> </w:t>
      </w:r>
      <w:r>
        <w:rPr/>
        <w:t>firm-year</w:t>
      </w:r>
      <w:r>
        <w:rPr>
          <w:spacing w:val="-9"/>
        </w:rPr>
        <w:t> </w:t>
      </w:r>
      <w:r>
        <w:rPr/>
        <w:t>observations</w:t>
      </w:r>
      <w:r>
        <w:rPr>
          <w:spacing w:val="-9"/>
        </w:rPr>
        <w:t> </w:t>
      </w:r>
      <w:r>
        <w:rPr/>
        <w:t>from</w:t>
      </w:r>
      <w:r>
        <w:rPr>
          <w:spacing w:val="-9"/>
        </w:rPr>
        <w:t> </w:t>
      </w:r>
      <w:r>
        <w:rPr/>
        <w:t>Com- pustat for 1988–1991 and 1993–1996. </w:t>
      </w:r>
      <w:r>
        <w:rPr>
          <w:spacing w:val="-6"/>
        </w:rPr>
        <w:t>We </w:t>
      </w:r>
      <w:r>
        <w:rPr/>
        <w:t>first drop 11,092 firm-years with missing state of incorporation data in Compustat and another 17,148 ob- servations of financial firms. </w:t>
      </w:r>
      <w:r>
        <w:rPr>
          <w:spacing w:val="-6"/>
        </w:rPr>
        <w:t>We </w:t>
      </w:r>
      <w:r>
        <w:rPr/>
        <w:t>lose an additional 8,131 observations</w:t>
      </w:r>
      <w:r>
        <w:rPr>
          <w:spacing w:val="-9"/>
        </w:rPr>
        <w:t> </w:t>
      </w:r>
      <w:r>
        <w:rPr/>
        <w:t>be- cause</w:t>
      </w:r>
      <w:r>
        <w:rPr>
          <w:spacing w:val="-18"/>
        </w:rPr>
        <w:t> </w:t>
      </w:r>
      <w:r>
        <w:rPr/>
        <w:t>of</w:t>
      </w:r>
      <w:r>
        <w:rPr>
          <w:spacing w:val="-18"/>
        </w:rPr>
        <w:t> </w:t>
      </w:r>
      <w:r>
        <w:rPr/>
        <w:t>missing</w:t>
      </w:r>
      <w:r>
        <w:rPr>
          <w:spacing w:val="-18"/>
        </w:rPr>
        <w:t> </w:t>
      </w:r>
      <w:r>
        <w:rPr/>
        <w:t>data</w:t>
      </w:r>
      <w:r>
        <w:rPr>
          <w:spacing w:val="-18"/>
        </w:rPr>
        <w:t> </w:t>
      </w:r>
      <w:r>
        <w:rPr/>
        <w:t>needed</w:t>
      </w:r>
      <w:r>
        <w:rPr>
          <w:spacing w:val="-17"/>
        </w:rPr>
        <w:t> </w:t>
      </w:r>
      <w:r>
        <w:rPr/>
        <w:t>to</w:t>
      </w:r>
      <w:r>
        <w:rPr>
          <w:spacing w:val="-18"/>
        </w:rPr>
        <w:t> </w:t>
      </w:r>
      <w:r>
        <w:rPr/>
        <w:t>estimate</w:t>
      </w:r>
      <w:r>
        <w:rPr>
          <w:spacing w:val="-18"/>
        </w:rPr>
        <w:t> </w:t>
      </w:r>
      <w:r>
        <w:rPr/>
        <w:t>the</w:t>
      </w:r>
      <w:r>
        <w:rPr>
          <w:spacing w:val="-18"/>
        </w:rPr>
        <w:t> </w:t>
      </w:r>
      <w:r>
        <w:rPr/>
        <w:t>three</w:t>
      </w:r>
      <w:r>
        <w:rPr>
          <w:spacing w:val="-18"/>
        </w:rPr>
        <w:t> </w:t>
      </w:r>
      <w:r>
        <w:rPr/>
        <w:t>conservatism</w:t>
      </w:r>
      <w:r>
        <w:rPr>
          <w:spacing w:val="-18"/>
        </w:rPr>
        <w:t> </w:t>
      </w:r>
      <w:r>
        <w:rPr/>
        <w:t>measures, that</w:t>
      </w:r>
      <w:r>
        <w:rPr>
          <w:spacing w:val="-17"/>
        </w:rPr>
        <w:t> </w:t>
      </w:r>
      <w:r>
        <w:rPr/>
        <w:t>is,</w:t>
      </w:r>
      <w:r>
        <w:rPr>
          <w:spacing w:val="-17"/>
        </w:rPr>
        <w:t> </w:t>
      </w:r>
      <w:r>
        <w:rPr>
          <w:i/>
        </w:rPr>
        <w:t>C</w:t>
      </w:r>
      <w:r>
        <w:rPr>
          <w:i/>
          <w:spacing w:val="-5"/>
        </w:rPr>
        <w:t> </w:t>
      </w:r>
      <w:r>
        <w:rPr>
          <w:i/>
        </w:rPr>
        <w:t>ACCR</w:t>
      </w:r>
      <w:r>
        <w:rPr/>
        <w:t>,</w:t>
      </w:r>
      <w:r>
        <w:rPr>
          <w:spacing w:val="-17"/>
        </w:rPr>
        <w:t> </w:t>
      </w:r>
      <w:r>
        <w:rPr>
          <w:i/>
        </w:rPr>
        <w:t>C</w:t>
      </w:r>
      <w:r>
        <w:rPr>
          <w:i/>
          <w:spacing w:val="-5"/>
        </w:rPr>
        <w:t> </w:t>
      </w:r>
      <w:r>
        <w:rPr>
          <w:i/>
        </w:rPr>
        <w:t>SKEW</w:t>
      </w:r>
      <w:r>
        <w:rPr/>
        <w:t>,</w:t>
      </w:r>
      <w:r>
        <w:rPr>
          <w:spacing w:val="-17"/>
        </w:rPr>
        <w:t> </w:t>
      </w:r>
      <w:r>
        <w:rPr/>
        <w:t>and</w:t>
      </w:r>
      <w:r>
        <w:rPr>
          <w:spacing w:val="-17"/>
        </w:rPr>
        <w:t> </w:t>
      </w:r>
      <w:r>
        <w:rPr>
          <w:i/>
        </w:rPr>
        <w:t>C</w:t>
      </w:r>
      <w:r>
        <w:rPr>
          <w:i/>
          <w:spacing w:val="-5"/>
        </w:rPr>
        <w:t> </w:t>
      </w:r>
      <w:r>
        <w:rPr>
          <w:i/>
        </w:rPr>
        <w:t>PZ</w:t>
      </w:r>
      <w:r>
        <w:rPr/>
        <w:t>.</w:t>
      </w:r>
      <w:r>
        <w:rPr>
          <w:spacing w:val="-17"/>
        </w:rPr>
        <w:t> </w:t>
      </w:r>
      <w:r>
        <w:rPr>
          <w:spacing w:val="-6"/>
        </w:rPr>
        <w:t>We</w:t>
      </w:r>
      <w:r>
        <w:rPr>
          <w:spacing w:val="-17"/>
        </w:rPr>
        <w:t> </w:t>
      </w:r>
      <w:r>
        <w:rPr/>
        <w:t>also</w:t>
      </w:r>
      <w:r>
        <w:rPr>
          <w:spacing w:val="-17"/>
        </w:rPr>
        <w:t> </w:t>
      </w:r>
      <w:r>
        <w:rPr/>
        <w:t>drop</w:t>
      </w:r>
      <w:r>
        <w:rPr>
          <w:spacing w:val="-17"/>
        </w:rPr>
        <w:t> </w:t>
      </w:r>
      <w:r>
        <w:rPr/>
        <w:t>22,389</w:t>
      </w:r>
      <w:r>
        <w:rPr>
          <w:spacing w:val="-17"/>
        </w:rPr>
        <w:t> </w:t>
      </w:r>
      <w:r>
        <w:rPr/>
        <w:t>observations</w:t>
      </w:r>
      <w:r>
        <w:rPr>
          <w:spacing w:val="-17"/>
        </w:rPr>
        <w:t> </w:t>
      </w:r>
      <w:r>
        <w:rPr/>
        <w:t>with missing</w:t>
      </w:r>
      <w:r>
        <w:rPr>
          <w:spacing w:val="-11"/>
        </w:rPr>
        <w:t> </w:t>
      </w:r>
      <w:r>
        <w:rPr/>
        <w:t>data</w:t>
      </w:r>
      <w:r>
        <w:rPr>
          <w:spacing w:val="-11"/>
        </w:rPr>
        <w:t> </w:t>
      </w:r>
      <w:r>
        <w:rPr/>
        <w:t>to</w:t>
      </w:r>
      <w:r>
        <w:rPr>
          <w:spacing w:val="-11"/>
        </w:rPr>
        <w:t> </w:t>
      </w:r>
      <w:r>
        <w:rPr/>
        <w:t>compute</w:t>
      </w:r>
      <w:r>
        <w:rPr>
          <w:spacing w:val="-11"/>
        </w:rPr>
        <w:t> </w:t>
      </w:r>
      <w:r>
        <w:rPr/>
        <w:t>1993</w:t>
      </w:r>
      <w:r>
        <w:rPr>
          <w:spacing w:val="-12"/>
        </w:rPr>
        <w:t> </w:t>
      </w:r>
      <w:r>
        <w:rPr/>
        <w:t>EDF</w:t>
      </w:r>
      <w:r>
        <w:rPr>
          <w:spacing w:val="-11"/>
        </w:rPr>
        <w:t> </w:t>
      </w:r>
      <w:r>
        <w:rPr/>
        <w:t>scores</w:t>
      </w:r>
      <w:r>
        <w:rPr>
          <w:spacing w:val="-11"/>
        </w:rPr>
        <w:t> </w:t>
      </w:r>
      <w:r>
        <w:rPr/>
        <w:t>to</w:t>
      </w:r>
      <w:r>
        <w:rPr>
          <w:spacing w:val="-11"/>
        </w:rPr>
        <w:t> </w:t>
      </w:r>
      <w:r>
        <w:rPr/>
        <w:t>measure</w:t>
      </w:r>
      <w:r>
        <w:rPr>
          <w:spacing w:val="-11"/>
        </w:rPr>
        <w:t> </w:t>
      </w:r>
      <w:r>
        <w:rPr/>
        <w:t>near</w:t>
      </w:r>
      <w:r>
        <w:rPr>
          <w:spacing w:val="-11"/>
        </w:rPr>
        <w:t> </w:t>
      </w:r>
      <w:r>
        <w:rPr/>
        <w:t>insolvency,</w:t>
      </w:r>
      <w:r>
        <w:rPr>
          <w:spacing w:val="-11"/>
        </w:rPr>
        <w:t> </w:t>
      </w:r>
      <w:r>
        <w:rPr/>
        <w:t>and another</w:t>
      </w:r>
      <w:r>
        <w:rPr>
          <w:spacing w:val="-22"/>
        </w:rPr>
        <w:t> </w:t>
      </w:r>
      <w:r>
        <w:rPr/>
        <w:t>5,256</w:t>
      </w:r>
      <w:r>
        <w:rPr>
          <w:spacing w:val="-22"/>
        </w:rPr>
        <w:t> </w:t>
      </w:r>
      <w:r>
        <w:rPr/>
        <w:t>observations</w:t>
      </w:r>
      <w:r>
        <w:rPr>
          <w:spacing w:val="-22"/>
        </w:rPr>
        <w:t> </w:t>
      </w:r>
      <w:r>
        <w:rPr/>
        <w:t>with</w:t>
      </w:r>
      <w:r>
        <w:rPr>
          <w:spacing w:val="-22"/>
        </w:rPr>
        <w:t> </w:t>
      </w:r>
      <w:r>
        <w:rPr/>
        <w:t>negative</w:t>
      </w:r>
      <w:r>
        <w:rPr>
          <w:spacing w:val="-22"/>
        </w:rPr>
        <w:t> </w:t>
      </w:r>
      <w:r>
        <w:rPr/>
        <w:t>market</w:t>
      </w:r>
      <w:r>
        <w:rPr>
          <w:spacing w:val="-22"/>
        </w:rPr>
        <w:t> </w:t>
      </w:r>
      <w:r>
        <w:rPr/>
        <w:t>value</w:t>
      </w:r>
      <w:r>
        <w:rPr>
          <w:spacing w:val="-22"/>
        </w:rPr>
        <w:t> </w:t>
      </w:r>
      <w:r>
        <w:rPr/>
        <w:t>equity</w:t>
      </w:r>
      <w:r>
        <w:rPr>
          <w:spacing w:val="-22"/>
        </w:rPr>
        <w:t> </w:t>
      </w:r>
      <w:r>
        <w:rPr/>
        <w:t>or</w:t>
      </w:r>
      <w:r>
        <w:rPr>
          <w:spacing w:val="-22"/>
        </w:rPr>
        <w:t> </w:t>
      </w:r>
      <w:r>
        <w:rPr/>
        <w:t>missing</w:t>
      </w:r>
      <w:r>
        <w:rPr>
          <w:spacing w:val="-22"/>
        </w:rPr>
        <w:t> </w:t>
      </w:r>
      <w:r>
        <w:rPr/>
        <w:t>fi- nancial</w:t>
      </w:r>
      <w:r>
        <w:rPr>
          <w:spacing w:val="-20"/>
        </w:rPr>
        <w:t> </w:t>
      </w:r>
      <w:r>
        <w:rPr/>
        <w:t>statement</w:t>
      </w:r>
      <w:r>
        <w:rPr>
          <w:spacing w:val="-19"/>
        </w:rPr>
        <w:t> </w:t>
      </w:r>
      <w:r>
        <w:rPr/>
        <w:t>and</w:t>
      </w:r>
      <w:r>
        <w:rPr>
          <w:spacing w:val="-20"/>
        </w:rPr>
        <w:t> </w:t>
      </w:r>
      <w:r>
        <w:rPr/>
        <w:t>institutional</w:t>
      </w:r>
      <w:r>
        <w:rPr>
          <w:spacing w:val="-20"/>
        </w:rPr>
        <w:t> </w:t>
      </w:r>
      <w:r>
        <w:rPr/>
        <w:t>ownership</w:t>
      </w:r>
      <w:r>
        <w:rPr>
          <w:spacing w:val="-20"/>
        </w:rPr>
        <w:t> </w:t>
      </w:r>
      <w:r>
        <w:rPr/>
        <w:t>data.</w:t>
      </w:r>
      <w:r>
        <w:rPr>
          <w:spacing w:val="-20"/>
        </w:rPr>
        <w:t> </w:t>
      </w:r>
      <w:r>
        <w:rPr>
          <w:spacing w:val="-3"/>
        </w:rPr>
        <w:t>Finally,</w:t>
      </w:r>
      <w:r>
        <w:rPr>
          <w:spacing w:val="-20"/>
        </w:rPr>
        <w:t> </w:t>
      </w:r>
      <w:r>
        <w:rPr/>
        <w:t>after</w:t>
      </w:r>
      <w:r>
        <w:rPr>
          <w:spacing w:val="-20"/>
        </w:rPr>
        <w:t> </w:t>
      </w:r>
      <w:r>
        <w:rPr/>
        <w:t>requiring each firm in our sample to have at least one observation in each of the pre-</w:t>
      </w:r>
      <w:r>
        <w:rPr>
          <w:spacing w:val="-25"/>
        </w:rPr>
        <w:t> </w:t>
      </w:r>
      <w:r>
        <w:rPr/>
        <w:t>and</w:t>
      </w:r>
      <w:r>
        <w:rPr>
          <w:spacing w:val="-25"/>
        </w:rPr>
        <w:t> </w:t>
      </w:r>
      <w:r>
        <w:rPr/>
        <w:t>post-ruling</w:t>
      </w:r>
      <w:r>
        <w:rPr>
          <w:spacing w:val="-25"/>
        </w:rPr>
        <w:t> </w:t>
      </w:r>
      <w:r>
        <w:rPr/>
        <w:t>periods,</w:t>
      </w:r>
      <w:r>
        <w:rPr>
          <w:spacing w:val="-25"/>
        </w:rPr>
        <w:t> </w:t>
      </w:r>
      <w:r>
        <w:rPr/>
        <w:t>our</w:t>
      </w:r>
      <w:r>
        <w:rPr>
          <w:spacing w:val="-25"/>
        </w:rPr>
        <w:t> </w:t>
      </w:r>
      <w:r>
        <w:rPr/>
        <w:t>final</w:t>
      </w:r>
      <w:r>
        <w:rPr>
          <w:spacing w:val="-25"/>
        </w:rPr>
        <w:t> </w:t>
      </w:r>
      <w:r>
        <w:rPr/>
        <w:t>sample</w:t>
      </w:r>
      <w:r>
        <w:rPr>
          <w:spacing w:val="-25"/>
        </w:rPr>
        <w:t> </w:t>
      </w:r>
      <w:r>
        <w:rPr/>
        <w:t>has</w:t>
      </w:r>
      <w:r>
        <w:rPr>
          <w:spacing w:val="-25"/>
        </w:rPr>
        <w:t> </w:t>
      </w:r>
      <w:r>
        <w:rPr/>
        <w:t>18,827</w:t>
      </w:r>
      <w:r>
        <w:rPr>
          <w:spacing w:val="-25"/>
        </w:rPr>
        <w:t> </w:t>
      </w:r>
      <w:r>
        <w:rPr/>
        <w:t>firm-year</w:t>
      </w:r>
      <w:r>
        <w:rPr>
          <w:spacing w:val="-25"/>
        </w:rPr>
        <w:t> </w:t>
      </w:r>
      <w:r>
        <w:rPr/>
        <w:t>observa- tions (2,705 unique firms). Panel B of table 1 shows annual distribution</w:t>
      </w:r>
      <w:r>
        <w:rPr>
          <w:spacing w:val="-21"/>
        </w:rPr>
        <w:t> </w:t>
      </w:r>
      <w:r>
        <w:rPr/>
        <w:t>of sample firms partitioned by </w:t>
      </w:r>
      <w:r>
        <w:rPr>
          <w:i/>
        </w:rPr>
        <w:t>DEL </w:t>
      </w:r>
      <w:r>
        <w:rPr/>
        <w:t>and</w:t>
      </w:r>
      <w:r>
        <w:rPr>
          <w:spacing w:val="-12"/>
        </w:rPr>
        <w:t> </w:t>
      </w:r>
      <w:r>
        <w:rPr>
          <w:i/>
        </w:rPr>
        <w:t>HEDF93</w:t>
      </w:r>
      <w:r>
        <w:rPr/>
        <w:t>.</w:t>
      </w:r>
    </w:p>
    <w:p>
      <w:pPr>
        <w:pStyle w:val="BodyText"/>
        <w:spacing w:line="230" w:lineRule="auto" w:before="8"/>
        <w:ind w:left="162" w:right="519" w:firstLine="199"/>
        <w:jc w:val="both"/>
      </w:pPr>
      <w:r>
        <w:rPr>
          <w:spacing w:val="-6"/>
        </w:rPr>
        <w:t>We </w:t>
      </w:r>
      <w:r>
        <w:rPr/>
        <w:t>present the descriptive statistics of our sample in table 2. Conser- vatism</w:t>
      </w:r>
      <w:r>
        <w:rPr>
          <w:spacing w:val="-9"/>
        </w:rPr>
        <w:t> </w:t>
      </w:r>
      <w:r>
        <w:rPr/>
        <w:t>rank</w:t>
      </w:r>
      <w:r>
        <w:rPr>
          <w:spacing w:val="-9"/>
        </w:rPr>
        <w:t> </w:t>
      </w:r>
      <w:r>
        <w:rPr/>
        <w:t>in</w:t>
      </w:r>
      <w:r>
        <w:rPr>
          <w:spacing w:val="-9"/>
        </w:rPr>
        <w:t> </w:t>
      </w:r>
      <w:r>
        <w:rPr/>
        <w:t>our</w:t>
      </w:r>
      <w:r>
        <w:rPr>
          <w:spacing w:val="-9"/>
        </w:rPr>
        <w:t> </w:t>
      </w:r>
      <w:r>
        <w:rPr/>
        <w:t>main</w:t>
      </w:r>
      <w:r>
        <w:rPr>
          <w:spacing w:val="-9"/>
        </w:rPr>
        <w:t> </w:t>
      </w:r>
      <w:r>
        <w:rPr/>
        <w:t>sample</w:t>
      </w:r>
      <w:r>
        <w:rPr>
          <w:spacing w:val="-9"/>
        </w:rPr>
        <w:t> </w:t>
      </w:r>
      <w:r>
        <w:rPr/>
        <w:t>has</w:t>
      </w:r>
      <w:r>
        <w:rPr>
          <w:spacing w:val="-9"/>
        </w:rPr>
        <w:t> </w:t>
      </w:r>
      <w:r>
        <w:rPr/>
        <w:t>a</w:t>
      </w:r>
      <w:r>
        <w:rPr>
          <w:spacing w:val="-9"/>
        </w:rPr>
        <w:t> </w:t>
      </w:r>
      <w:r>
        <w:rPr/>
        <w:t>mean</w:t>
      </w:r>
      <w:r>
        <w:rPr>
          <w:spacing w:val="-9"/>
        </w:rPr>
        <w:t> </w:t>
      </w:r>
      <w:r>
        <w:rPr/>
        <w:t>of</w:t>
      </w:r>
      <w:r>
        <w:rPr>
          <w:spacing w:val="-9"/>
        </w:rPr>
        <w:t> </w:t>
      </w:r>
      <w:r>
        <w:rPr/>
        <w:t>4.500</w:t>
      </w:r>
      <w:r>
        <w:rPr>
          <w:spacing w:val="-9"/>
        </w:rPr>
        <w:t> </w:t>
      </w:r>
      <w:r>
        <w:rPr/>
        <w:t>and</w:t>
      </w:r>
      <w:r>
        <w:rPr>
          <w:spacing w:val="-9"/>
        </w:rPr>
        <w:t> </w:t>
      </w:r>
      <w:r>
        <w:rPr/>
        <w:t>a</w:t>
      </w:r>
      <w:r>
        <w:rPr>
          <w:spacing w:val="-9"/>
        </w:rPr>
        <w:t> </w:t>
      </w:r>
      <w:r>
        <w:rPr/>
        <w:t>median</w:t>
      </w:r>
      <w:r>
        <w:rPr>
          <w:spacing w:val="-9"/>
        </w:rPr>
        <w:t> </w:t>
      </w:r>
      <w:r>
        <w:rPr/>
        <w:t>of</w:t>
      </w:r>
      <w:r>
        <w:rPr>
          <w:spacing w:val="-9"/>
        </w:rPr>
        <w:t> </w:t>
      </w:r>
      <w:r>
        <w:rPr/>
        <w:t>4.333</w:t>
      </w:r>
    </w:p>
    <w:p>
      <w:pPr>
        <w:spacing w:after="0" w:line="230" w:lineRule="auto"/>
        <w:jc w:val="both"/>
        <w:sectPr>
          <w:type w:val="continuous"/>
          <w:pgSz w:w="9720" w:h="14400"/>
          <w:pgMar w:top="40" w:bottom="280" w:left="1280" w:right="1300"/>
        </w:sectPr>
      </w:pPr>
    </w:p>
    <w:p>
      <w:pPr>
        <w:pStyle w:val="BodyText"/>
        <w:spacing w:before="9"/>
        <w:rPr>
          <w:sz w:val="13"/>
        </w:rPr>
      </w:pPr>
    </w:p>
    <w:p>
      <w:pPr>
        <w:spacing w:before="0"/>
        <w:ind w:left="495" w:right="152" w:firstLine="0"/>
        <w:jc w:val="center"/>
        <w:rPr>
          <w:rFonts w:ascii="Times New Roman"/>
          <w:b/>
          <w:sz w:val="16"/>
        </w:rPr>
      </w:pPr>
      <w:r>
        <w:rPr>
          <w:rFonts w:ascii="Times New Roman"/>
          <w:b/>
          <w:color w:val="231F20"/>
          <w:sz w:val="16"/>
        </w:rPr>
        <w:t>TA B L E  2</w:t>
      </w:r>
    </w:p>
    <w:p>
      <w:pPr>
        <w:spacing w:before="17" w:after="19"/>
        <w:ind w:left="495" w:right="115" w:firstLine="0"/>
        <w:jc w:val="center"/>
        <w:rPr>
          <w:i/>
          <w:sz w:val="16"/>
        </w:rPr>
      </w:pPr>
      <w:r>
        <w:rPr/>
        <w:pict>
          <v:shape style="position:absolute;margin-left:88.129501pt;margin-top:13.845228pt;width:326.8pt;height:187.6pt;mso-position-horizontal-relative:page;mso-position-vertical-relative:paragraph;z-index:24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4"/>
                    <w:gridCol w:w="843"/>
                    <w:gridCol w:w="926"/>
                    <w:gridCol w:w="1030"/>
                    <w:gridCol w:w="947"/>
                    <w:gridCol w:w="896"/>
                    <w:gridCol w:w="794"/>
                  </w:tblGrid>
                  <w:tr>
                    <w:trPr>
                      <w:trHeight w:val="479" w:hRule="atLeast"/>
                    </w:trPr>
                    <w:tc>
                      <w:tcPr>
                        <w:tcW w:w="1104" w:type="dxa"/>
                        <w:tcBorders>
                          <w:top w:val="single" w:sz="6" w:space="0" w:color="000000"/>
                          <w:bottom w:val="single" w:sz="6" w:space="0" w:color="000000"/>
                        </w:tcBorders>
                      </w:tcPr>
                      <w:p>
                        <w:pPr>
                          <w:pStyle w:val="TableParagraph"/>
                          <w:spacing w:before="8"/>
                          <w:rPr>
                            <w:sz w:val="19"/>
                          </w:rPr>
                        </w:pPr>
                      </w:p>
                      <w:p>
                        <w:pPr>
                          <w:pStyle w:val="TableParagraph"/>
                          <w:ind w:left="49"/>
                          <w:rPr>
                            <w:sz w:val="16"/>
                          </w:rPr>
                        </w:pPr>
                        <w:r>
                          <w:rPr>
                            <w:color w:val="231F20"/>
                            <w:sz w:val="16"/>
                          </w:rPr>
                          <w:t>Variable</w:t>
                        </w:r>
                      </w:p>
                    </w:tc>
                    <w:tc>
                      <w:tcPr>
                        <w:tcW w:w="843" w:type="dxa"/>
                        <w:tcBorders>
                          <w:top w:val="single" w:sz="6" w:space="0" w:color="000000"/>
                          <w:bottom w:val="single" w:sz="6" w:space="0" w:color="000000"/>
                        </w:tcBorders>
                      </w:tcPr>
                      <w:p>
                        <w:pPr>
                          <w:pStyle w:val="TableParagraph"/>
                          <w:spacing w:before="1"/>
                          <w:rPr>
                            <w:sz w:val="20"/>
                          </w:rPr>
                        </w:pPr>
                      </w:p>
                      <w:p>
                        <w:pPr>
                          <w:pStyle w:val="TableParagraph"/>
                          <w:ind w:left="20"/>
                          <w:jc w:val="center"/>
                          <w:rPr>
                            <w:i/>
                            <w:sz w:val="16"/>
                          </w:rPr>
                        </w:pPr>
                        <w:r>
                          <w:rPr>
                            <w:i/>
                            <w:color w:val="231F20"/>
                            <w:w w:val="89"/>
                            <w:sz w:val="16"/>
                          </w:rPr>
                          <w:t>N</w:t>
                        </w:r>
                      </w:p>
                    </w:tc>
                    <w:tc>
                      <w:tcPr>
                        <w:tcW w:w="926" w:type="dxa"/>
                        <w:tcBorders>
                          <w:top w:val="single" w:sz="6" w:space="0" w:color="000000"/>
                          <w:bottom w:val="single" w:sz="6" w:space="0" w:color="000000"/>
                        </w:tcBorders>
                      </w:tcPr>
                      <w:p>
                        <w:pPr>
                          <w:pStyle w:val="TableParagraph"/>
                          <w:spacing w:before="8"/>
                          <w:rPr>
                            <w:sz w:val="19"/>
                          </w:rPr>
                        </w:pPr>
                      </w:p>
                      <w:p>
                        <w:pPr>
                          <w:pStyle w:val="TableParagraph"/>
                          <w:ind w:left="276"/>
                          <w:rPr>
                            <w:sz w:val="16"/>
                          </w:rPr>
                        </w:pPr>
                        <w:r>
                          <w:rPr>
                            <w:color w:val="231F20"/>
                            <w:sz w:val="16"/>
                          </w:rPr>
                          <w:t>Mean</w:t>
                        </w:r>
                      </w:p>
                    </w:tc>
                    <w:tc>
                      <w:tcPr>
                        <w:tcW w:w="1030" w:type="dxa"/>
                        <w:tcBorders>
                          <w:top w:val="single" w:sz="6" w:space="0" w:color="000000"/>
                          <w:bottom w:val="single" w:sz="6" w:space="0" w:color="000000"/>
                        </w:tcBorders>
                      </w:tcPr>
                      <w:p>
                        <w:pPr>
                          <w:pStyle w:val="TableParagraph"/>
                          <w:spacing w:before="8"/>
                          <w:rPr>
                            <w:sz w:val="19"/>
                          </w:rPr>
                        </w:pPr>
                      </w:p>
                      <w:p>
                        <w:pPr>
                          <w:pStyle w:val="TableParagraph"/>
                          <w:ind w:right="212"/>
                          <w:jc w:val="right"/>
                          <w:rPr>
                            <w:sz w:val="16"/>
                          </w:rPr>
                        </w:pPr>
                        <w:r>
                          <w:rPr>
                            <w:color w:val="231F20"/>
                            <w:w w:val="95"/>
                            <w:sz w:val="16"/>
                          </w:rPr>
                          <w:t>Std. Dev.</w:t>
                        </w:r>
                      </w:p>
                    </w:tc>
                    <w:tc>
                      <w:tcPr>
                        <w:tcW w:w="947" w:type="dxa"/>
                        <w:tcBorders>
                          <w:top w:val="single" w:sz="6" w:space="0" w:color="000000"/>
                          <w:bottom w:val="single" w:sz="6" w:space="0" w:color="000000"/>
                        </w:tcBorders>
                      </w:tcPr>
                      <w:p>
                        <w:pPr>
                          <w:pStyle w:val="TableParagraph"/>
                          <w:spacing w:before="45"/>
                          <w:ind w:left="180" w:firstLine="73"/>
                          <w:rPr>
                            <w:sz w:val="16"/>
                          </w:rPr>
                        </w:pPr>
                        <w:r>
                          <w:rPr>
                            <w:color w:val="231F20"/>
                            <w:sz w:val="16"/>
                          </w:rPr>
                          <w:t>Lower Quartile</w:t>
                        </w:r>
                      </w:p>
                    </w:tc>
                    <w:tc>
                      <w:tcPr>
                        <w:tcW w:w="896" w:type="dxa"/>
                        <w:tcBorders>
                          <w:top w:val="single" w:sz="6" w:space="0" w:color="000000"/>
                          <w:bottom w:val="single" w:sz="6" w:space="0" w:color="000000"/>
                        </w:tcBorders>
                      </w:tcPr>
                      <w:p>
                        <w:pPr>
                          <w:pStyle w:val="TableParagraph"/>
                          <w:spacing w:before="8"/>
                          <w:rPr>
                            <w:sz w:val="19"/>
                          </w:rPr>
                        </w:pPr>
                      </w:p>
                      <w:p>
                        <w:pPr>
                          <w:pStyle w:val="TableParagraph"/>
                          <w:ind w:left="179"/>
                          <w:rPr>
                            <w:sz w:val="16"/>
                          </w:rPr>
                        </w:pPr>
                        <w:r>
                          <w:rPr>
                            <w:color w:val="231F20"/>
                            <w:sz w:val="16"/>
                          </w:rPr>
                          <w:t>Median</w:t>
                        </w:r>
                      </w:p>
                    </w:tc>
                    <w:tc>
                      <w:tcPr>
                        <w:tcW w:w="794" w:type="dxa"/>
                        <w:tcBorders>
                          <w:top w:val="single" w:sz="6" w:space="0" w:color="000000"/>
                          <w:bottom w:val="single" w:sz="6" w:space="0" w:color="000000"/>
                        </w:tcBorders>
                      </w:tcPr>
                      <w:p>
                        <w:pPr>
                          <w:pStyle w:val="TableParagraph"/>
                          <w:spacing w:before="45"/>
                          <w:ind w:left="178" w:firstLine="63"/>
                          <w:rPr>
                            <w:sz w:val="16"/>
                          </w:rPr>
                        </w:pPr>
                        <w:r>
                          <w:rPr>
                            <w:color w:val="231F20"/>
                            <w:sz w:val="16"/>
                          </w:rPr>
                          <w:t>Upper </w:t>
                        </w:r>
                        <w:r>
                          <w:rPr>
                            <w:color w:val="231F20"/>
                            <w:w w:val="95"/>
                            <w:sz w:val="16"/>
                          </w:rPr>
                          <w:t>Quartile</w:t>
                        </w:r>
                      </w:p>
                    </w:tc>
                  </w:tr>
                  <w:tr>
                    <w:trPr>
                      <w:trHeight w:val="224" w:hRule="atLeast"/>
                    </w:trPr>
                    <w:tc>
                      <w:tcPr>
                        <w:tcW w:w="1104" w:type="dxa"/>
                        <w:tcBorders>
                          <w:top w:val="single" w:sz="6" w:space="0" w:color="000000"/>
                        </w:tcBorders>
                      </w:tcPr>
                      <w:p>
                        <w:pPr>
                          <w:pStyle w:val="TableParagraph"/>
                          <w:spacing w:line="175" w:lineRule="exact" w:before="30"/>
                          <w:ind w:left="50"/>
                          <w:rPr>
                            <w:i/>
                            <w:sz w:val="16"/>
                          </w:rPr>
                        </w:pPr>
                        <w:r>
                          <w:rPr>
                            <w:i/>
                            <w:color w:val="231F20"/>
                            <w:sz w:val="16"/>
                          </w:rPr>
                          <w:t>CRANK ALL</w:t>
                        </w:r>
                      </w:p>
                    </w:tc>
                    <w:tc>
                      <w:tcPr>
                        <w:tcW w:w="843" w:type="dxa"/>
                        <w:tcBorders>
                          <w:top w:val="single" w:sz="6" w:space="0" w:color="000000"/>
                        </w:tcBorders>
                      </w:tcPr>
                      <w:p>
                        <w:pPr>
                          <w:pStyle w:val="TableParagraph"/>
                          <w:spacing w:line="181" w:lineRule="exact" w:before="24"/>
                          <w:ind w:left="161" w:right="180"/>
                          <w:jc w:val="center"/>
                          <w:rPr>
                            <w:sz w:val="16"/>
                          </w:rPr>
                        </w:pPr>
                        <w:r>
                          <w:rPr>
                            <w:color w:val="231F20"/>
                            <w:w w:val="105"/>
                            <w:sz w:val="16"/>
                          </w:rPr>
                          <w:t>18,827</w:t>
                        </w:r>
                      </w:p>
                    </w:tc>
                    <w:tc>
                      <w:tcPr>
                        <w:tcW w:w="926" w:type="dxa"/>
                        <w:tcBorders>
                          <w:top w:val="single" w:sz="6" w:space="0" w:color="000000"/>
                        </w:tcBorders>
                      </w:tcPr>
                      <w:p>
                        <w:pPr>
                          <w:pStyle w:val="TableParagraph"/>
                          <w:spacing w:line="181" w:lineRule="exact" w:before="24"/>
                          <w:ind w:right="181"/>
                          <w:jc w:val="right"/>
                          <w:rPr>
                            <w:sz w:val="16"/>
                          </w:rPr>
                        </w:pPr>
                        <w:r>
                          <w:rPr>
                            <w:color w:val="231F20"/>
                            <w:sz w:val="16"/>
                          </w:rPr>
                          <w:t>4.500</w:t>
                        </w:r>
                      </w:p>
                    </w:tc>
                    <w:tc>
                      <w:tcPr>
                        <w:tcW w:w="1030" w:type="dxa"/>
                        <w:tcBorders>
                          <w:top w:val="single" w:sz="6" w:space="0" w:color="000000"/>
                        </w:tcBorders>
                      </w:tcPr>
                      <w:p>
                        <w:pPr>
                          <w:pStyle w:val="TableParagraph"/>
                          <w:spacing w:line="181" w:lineRule="exact" w:before="24"/>
                          <w:ind w:right="182"/>
                          <w:jc w:val="right"/>
                          <w:rPr>
                            <w:sz w:val="16"/>
                          </w:rPr>
                        </w:pPr>
                        <w:r>
                          <w:rPr>
                            <w:color w:val="231F20"/>
                            <w:sz w:val="16"/>
                          </w:rPr>
                          <w:t>1.756</w:t>
                        </w:r>
                      </w:p>
                    </w:tc>
                    <w:tc>
                      <w:tcPr>
                        <w:tcW w:w="947" w:type="dxa"/>
                        <w:tcBorders>
                          <w:top w:val="single" w:sz="6" w:space="0" w:color="000000"/>
                        </w:tcBorders>
                      </w:tcPr>
                      <w:p>
                        <w:pPr>
                          <w:pStyle w:val="TableParagraph"/>
                          <w:spacing w:line="181" w:lineRule="exact" w:before="24"/>
                          <w:ind w:right="225"/>
                          <w:jc w:val="right"/>
                          <w:rPr>
                            <w:sz w:val="16"/>
                          </w:rPr>
                        </w:pPr>
                        <w:r>
                          <w:rPr>
                            <w:color w:val="231F20"/>
                            <w:sz w:val="16"/>
                          </w:rPr>
                          <w:t>3.333</w:t>
                        </w:r>
                      </w:p>
                    </w:tc>
                    <w:tc>
                      <w:tcPr>
                        <w:tcW w:w="896" w:type="dxa"/>
                        <w:tcBorders>
                          <w:top w:val="single" w:sz="6" w:space="0" w:color="000000"/>
                        </w:tcBorders>
                      </w:tcPr>
                      <w:p>
                        <w:pPr>
                          <w:pStyle w:val="TableParagraph"/>
                          <w:spacing w:line="181" w:lineRule="exact" w:before="24"/>
                          <w:ind w:right="220"/>
                          <w:jc w:val="right"/>
                          <w:rPr>
                            <w:sz w:val="16"/>
                          </w:rPr>
                        </w:pPr>
                        <w:r>
                          <w:rPr>
                            <w:color w:val="231F20"/>
                            <w:sz w:val="16"/>
                          </w:rPr>
                          <w:t>4.333</w:t>
                        </w:r>
                      </w:p>
                    </w:tc>
                    <w:tc>
                      <w:tcPr>
                        <w:tcW w:w="794" w:type="dxa"/>
                        <w:tcBorders>
                          <w:top w:val="single" w:sz="6" w:space="0" w:color="000000"/>
                        </w:tcBorders>
                      </w:tcPr>
                      <w:p>
                        <w:pPr>
                          <w:pStyle w:val="TableParagraph"/>
                          <w:spacing w:line="181" w:lineRule="exact" w:before="24"/>
                          <w:ind w:right="52"/>
                          <w:jc w:val="right"/>
                          <w:rPr>
                            <w:sz w:val="16"/>
                          </w:rPr>
                        </w:pPr>
                        <w:r>
                          <w:rPr>
                            <w:color w:val="231F20"/>
                            <w:sz w:val="16"/>
                          </w:rPr>
                          <w:t>5.667</w:t>
                        </w:r>
                      </w:p>
                    </w:tc>
                  </w:tr>
                  <w:tr>
                    <w:trPr>
                      <w:trHeight w:val="347" w:hRule="atLeast"/>
                    </w:trPr>
                    <w:tc>
                      <w:tcPr>
                        <w:tcW w:w="1104" w:type="dxa"/>
                      </w:tcPr>
                      <w:p>
                        <w:pPr>
                          <w:pStyle w:val="TableParagraph"/>
                          <w:spacing w:before="4"/>
                          <w:ind w:left="50"/>
                          <w:rPr>
                            <w:i/>
                            <w:sz w:val="16"/>
                          </w:rPr>
                        </w:pPr>
                        <w:r>
                          <w:rPr>
                            <w:i/>
                            <w:color w:val="231F20"/>
                            <w:w w:val="95"/>
                            <w:sz w:val="16"/>
                          </w:rPr>
                          <w:t>C ACCR</w:t>
                        </w:r>
                      </w:p>
                      <w:p>
                        <w:pPr>
                          <w:pStyle w:val="TableParagraph"/>
                          <w:spacing w:line="124" w:lineRule="exact" w:before="6"/>
                          <w:ind w:left="50"/>
                          <w:rPr>
                            <w:i/>
                            <w:sz w:val="16"/>
                          </w:rPr>
                        </w:pPr>
                        <w:r>
                          <w:rPr>
                            <w:i/>
                            <w:color w:val="231F20"/>
                            <w:w w:val="95"/>
                            <w:sz w:val="16"/>
                          </w:rPr>
                          <w:t>C SKEW</w:t>
                        </w:r>
                      </w:p>
                    </w:tc>
                    <w:tc>
                      <w:tcPr>
                        <w:tcW w:w="843" w:type="dxa"/>
                      </w:tcPr>
                      <w:p>
                        <w:pPr>
                          <w:pStyle w:val="TableParagraph"/>
                          <w:spacing w:line="198" w:lineRule="exact"/>
                          <w:ind w:left="182"/>
                          <w:rPr>
                            <w:sz w:val="16"/>
                          </w:rPr>
                        </w:pPr>
                        <w:r>
                          <w:rPr>
                            <w:color w:val="231F20"/>
                            <w:w w:val="105"/>
                            <w:sz w:val="16"/>
                          </w:rPr>
                          <w:t>18,827</w:t>
                        </w:r>
                      </w:p>
                      <w:p>
                        <w:pPr>
                          <w:pStyle w:val="TableParagraph"/>
                          <w:spacing w:line="130" w:lineRule="exact"/>
                          <w:ind w:left="182"/>
                          <w:rPr>
                            <w:sz w:val="16"/>
                          </w:rPr>
                        </w:pPr>
                        <w:r>
                          <w:rPr>
                            <w:color w:val="231F20"/>
                            <w:w w:val="105"/>
                            <w:sz w:val="16"/>
                          </w:rPr>
                          <w:t>18,827</w:t>
                        </w:r>
                      </w:p>
                    </w:tc>
                    <w:tc>
                      <w:tcPr>
                        <w:tcW w:w="926" w:type="dxa"/>
                      </w:tcPr>
                      <w:p>
                        <w:pPr>
                          <w:pStyle w:val="TableParagraph"/>
                          <w:spacing w:line="198" w:lineRule="exact"/>
                          <w:ind w:left="368"/>
                          <w:rPr>
                            <w:sz w:val="16"/>
                          </w:rPr>
                        </w:pPr>
                        <w:r>
                          <w:rPr>
                            <w:color w:val="231F20"/>
                            <w:w w:val="105"/>
                            <w:sz w:val="16"/>
                          </w:rPr>
                          <w:t>0.017</w:t>
                        </w:r>
                      </w:p>
                      <w:p>
                        <w:pPr>
                          <w:pStyle w:val="TableParagraph"/>
                          <w:spacing w:line="130" w:lineRule="exact"/>
                          <w:ind w:left="368"/>
                          <w:rPr>
                            <w:sz w:val="16"/>
                          </w:rPr>
                        </w:pPr>
                        <w:r>
                          <w:rPr>
                            <w:color w:val="231F20"/>
                            <w:w w:val="105"/>
                            <w:sz w:val="16"/>
                          </w:rPr>
                          <w:t>0.820</w:t>
                        </w:r>
                      </w:p>
                    </w:tc>
                    <w:tc>
                      <w:tcPr>
                        <w:tcW w:w="1030" w:type="dxa"/>
                      </w:tcPr>
                      <w:p>
                        <w:pPr>
                          <w:pStyle w:val="TableParagraph"/>
                          <w:spacing w:line="198" w:lineRule="exact"/>
                          <w:ind w:left="471"/>
                          <w:rPr>
                            <w:sz w:val="16"/>
                          </w:rPr>
                        </w:pPr>
                        <w:r>
                          <w:rPr>
                            <w:color w:val="231F20"/>
                            <w:w w:val="105"/>
                            <w:sz w:val="16"/>
                          </w:rPr>
                          <w:t>0.041</w:t>
                        </w:r>
                      </w:p>
                      <w:p>
                        <w:pPr>
                          <w:pStyle w:val="TableParagraph"/>
                          <w:spacing w:line="130" w:lineRule="exact"/>
                          <w:ind w:left="388"/>
                          <w:rPr>
                            <w:sz w:val="16"/>
                          </w:rPr>
                        </w:pPr>
                        <w:r>
                          <w:rPr>
                            <w:color w:val="231F20"/>
                            <w:w w:val="105"/>
                            <w:sz w:val="16"/>
                          </w:rPr>
                          <w:t>10.478</w:t>
                        </w:r>
                      </w:p>
                    </w:tc>
                    <w:tc>
                      <w:tcPr>
                        <w:tcW w:w="947" w:type="dxa"/>
                      </w:tcPr>
                      <w:p>
                        <w:pPr>
                          <w:pStyle w:val="TableParagraph"/>
                          <w:spacing w:line="223" w:lineRule="exact"/>
                          <w:ind w:right="225"/>
                          <w:jc w:val="right"/>
                          <w:rPr>
                            <w:sz w:val="16"/>
                          </w:rPr>
                        </w:pPr>
                        <w:r>
                          <w:rPr>
                            <w:rFonts w:ascii="Lucida Sans Unicode" w:hAnsi="Lucida Sans Unicode"/>
                            <w:color w:val="231F20"/>
                            <w:sz w:val="16"/>
                          </w:rPr>
                          <w:t>−</w:t>
                        </w:r>
                        <w:r>
                          <w:rPr>
                            <w:color w:val="231F20"/>
                            <w:sz w:val="16"/>
                          </w:rPr>
                          <w:t>0.002</w:t>
                        </w:r>
                      </w:p>
                    </w:tc>
                    <w:tc>
                      <w:tcPr>
                        <w:tcW w:w="896" w:type="dxa"/>
                      </w:tcPr>
                      <w:p>
                        <w:pPr>
                          <w:pStyle w:val="TableParagraph"/>
                          <w:spacing w:line="198" w:lineRule="exact"/>
                          <w:ind w:left="299"/>
                          <w:rPr>
                            <w:sz w:val="16"/>
                          </w:rPr>
                        </w:pPr>
                        <w:r>
                          <w:rPr>
                            <w:color w:val="231F20"/>
                            <w:w w:val="105"/>
                            <w:sz w:val="16"/>
                          </w:rPr>
                          <w:t>0.009</w:t>
                        </w:r>
                      </w:p>
                      <w:p>
                        <w:pPr>
                          <w:pStyle w:val="TableParagraph"/>
                          <w:spacing w:line="130" w:lineRule="exact"/>
                          <w:ind w:left="299"/>
                          <w:rPr>
                            <w:sz w:val="16"/>
                          </w:rPr>
                        </w:pPr>
                        <w:r>
                          <w:rPr>
                            <w:color w:val="231F20"/>
                            <w:w w:val="105"/>
                            <w:sz w:val="16"/>
                          </w:rPr>
                          <w:t>0.191</w:t>
                        </w:r>
                      </w:p>
                    </w:tc>
                    <w:tc>
                      <w:tcPr>
                        <w:tcW w:w="794" w:type="dxa"/>
                      </w:tcPr>
                      <w:p>
                        <w:pPr>
                          <w:pStyle w:val="TableParagraph"/>
                          <w:spacing w:line="198" w:lineRule="exact"/>
                          <w:ind w:left="365"/>
                          <w:rPr>
                            <w:sz w:val="16"/>
                          </w:rPr>
                        </w:pPr>
                        <w:r>
                          <w:rPr>
                            <w:color w:val="231F20"/>
                            <w:w w:val="105"/>
                            <w:sz w:val="16"/>
                          </w:rPr>
                          <w:t>0.026</w:t>
                        </w:r>
                      </w:p>
                      <w:p>
                        <w:pPr>
                          <w:pStyle w:val="TableParagraph"/>
                          <w:spacing w:line="130" w:lineRule="exact"/>
                          <w:ind w:left="365"/>
                          <w:rPr>
                            <w:sz w:val="16"/>
                          </w:rPr>
                        </w:pPr>
                        <w:r>
                          <w:rPr>
                            <w:color w:val="231F20"/>
                            <w:w w:val="105"/>
                            <w:sz w:val="16"/>
                          </w:rPr>
                          <w:t>2.533</w:t>
                        </w:r>
                      </w:p>
                    </w:tc>
                  </w:tr>
                  <w:tr>
                    <w:trPr>
                      <w:trHeight w:val="250" w:hRule="atLeast"/>
                    </w:trPr>
                    <w:tc>
                      <w:tcPr>
                        <w:tcW w:w="1104" w:type="dxa"/>
                      </w:tcPr>
                      <w:p>
                        <w:pPr>
                          <w:pStyle w:val="TableParagraph"/>
                          <w:spacing w:line="175" w:lineRule="exact" w:before="55"/>
                          <w:ind w:left="50"/>
                          <w:rPr>
                            <w:i/>
                            <w:sz w:val="16"/>
                          </w:rPr>
                        </w:pPr>
                        <w:r>
                          <w:rPr>
                            <w:i/>
                            <w:color w:val="231F20"/>
                            <w:sz w:val="16"/>
                          </w:rPr>
                          <w:t>C PZ</w:t>
                        </w:r>
                      </w:p>
                    </w:tc>
                    <w:tc>
                      <w:tcPr>
                        <w:tcW w:w="843" w:type="dxa"/>
                      </w:tcPr>
                      <w:p>
                        <w:pPr>
                          <w:pStyle w:val="TableParagraph"/>
                          <w:spacing w:line="181" w:lineRule="exact" w:before="49"/>
                          <w:ind w:left="161" w:right="180"/>
                          <w:jc w:val="center"/>
                          <w:rPr>
                            <w:sz w:val="16"/>
                          </w:rPr>
                        </w:pPr>
                        <w:r>
                          <w:rPr>
                            <w:color w:val="231F20"/>
                            <w:w w:val="105"/>
                            <w:sz w:val="16"/>
                          </w:rPr>
                          <w:t>18,827</w:t>
                        </w:r>
                      </w:p>
                    </w:tc>
                    <w:tc>
                      <w:tcPr>
                        <w:tcW w:w="926" w:type="dxa"/>
                      </w:tcPr>
                      <w:p>
                        <w:pPr>
                          <w:pStyle w:val="TableParagraph"/>
                          <w:spacing w:line="181" w:lineRule="exact" w:before="49"/>
                          <w:ind w:right="181"/>
                          <w:jc w:val="right"/>
                          <w:rPr>
                            <w:sz w:val="16"/>
                          </w:rPr>
                        </w:pPr>
                        <w:r>
                          <w:rPr>
                            <w:color w:val="231F20"/>
                            <w:sz w:val="16"/>
                          </w:rPr>
                          <w:t>0.356</w:t>
                        </w:r>
                      </w:p>
                    </w:tc>
                    <w:tc>
                      <w:tcPr>
                        <w:tcW w:w="1030" w:type="dxa"/>
                      </w:tcPr>
                      <w:p>
                        <w:pPr>
                          <w:pStyle w:val="TableParagraph"/>
                          <w:spacing w:line="181" w:lineRule="exact" w:before="49"/>
                          <w:ind w:right="182"/>
                          <w:jc w:val="right"/>
                          <w:rPr>
                            <w:sz w:val="16"/>
                          </w:rPr>
                        </w:pPr>
                        <w:r>
                          <w:rPr>
                            <w:color w:val="231F20"/>
                            <w:sz w:val="16"/>
                          </w:rPr>
                          <w:t>1.113</w:t>
                        </w:r>
                      </w:p>
                    </w:tc>
                    <w:tc>
                      <w:tcPr>
                        <w:tcW w:w="947" w:type="dxa"/>
                      </w:tcPr>
                      <w:p>
                        <w:pPr>
                          <w:pStyle w:val="TableParagraph"/>
                          <w:spacing w:line="181" w:lineRule="exact" w:before="49"/>
                          <w:ind w:right="225"/>
                          <w:jc w:val="right"/>
                          <w:rPr>
                            <w:sz w:val="16"/>
                          </w:rPr>
                        </w:pPr>
                        <w:r>
                          <w:rPr>
                            <w:color w:val="231F20"/>
                            <w:sz w:val="16"/>
                          </w:rPr>
                          <w:t>0.034</w:t>
                        </w:r>
                      </w:p>
                    </w:tc>
                    <w:tc>
                      <w:tcPr>
                        <w:tcW w:w="896" w:type="dxa"/>
                      </w:tcPr>
                      <w:p>
                        <w:pPr>
                          <w:pStyle w:val="TableParagraph"/>
                          <w:spacing w:line="181" w:lineRule="exact" w:before="49"/>
                          <w:ind w:right="220"/>
                          <w:jc w:val="right"/>
                          <w:rPr>
                            <w:sz w:val="16"/>
                          </w:rPr>
                        </w:pPr>
                        <w:r>
                          <w:rPr>
                            <w:color w:val="231F20"/>
                            <w:sz w:val="16"/>
                          </w:rPr>
                          <w:t>0.100</w:t>
                        </w:r>
                      </w:p>
                    </w:tc>
                    <w:tc>
                      <w:tcPr>
                        <w:tcW w:w="794" w:type="dxa"/>
                      </w:tcPr>
                      <w:p>
                        <w:pPr>
                          <w:pStyle w:val="TableParagraph"/>
                          <w:spacing w:line="181" w:lineRule="exact" w:before="49"/>
                          <w:ind w:right="52"/>
                          <w:jc w:val="right"/>
                          <w:rPr>
                            <w:sz w:val="16"/>
                          </w:rPr>
                        </w:pPr>
                        <w:r>
                          <w:rPr>
                            <w:color w:val="231F20"/>
                            <w:sz w:val="16"/>
                          </w:rPr>
                          <w:t>0.246</w:t>
                        </w:r>
                      </w:p>
                    </w:tc>
                  </w:tr>
                  <w:tr>
                    <w:trPr>
                      <w:trHeight w:val="199" w:hRule="atLeast"/>
                    </w:trPr>
                    <w:tc>
                      <w:tcPr>
                        <w:tcW w:w="1104" w:type="dxa"/>
                      </w:tcPr>
                      <w:p>
                        <w:pPr>
                          <w:pStyle w:val="TableParagraph"/>
                          <w:spacing w:line="175" w:lineRule="exact" w:before="4"/>
                          <w:ind w:left="50"/>
                          <w:rPr>
                            <w:i/>
                            <w:sz w:val="16"/>
                          </w:rPr>
                        </w:pPr>
                        <w:r>
                          <w:rPr>
                            <w:i/>
                            <w:color w:val="231F20"/>
                            <w:sz w:val="16"/>
                          </w:rPr>
                          <w:t>POST</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0.516</w:t>
                        </w:r>
                      </w:p>
                    </w:tc>
                    <w:tc>
                      <w:tcPr>
                        <w:tcW w:w="1030" w:type="dxa"/>
                      </w:tcPr>
                      <w:p>
                        <w:pPr>
                          <w:pStyle w:val="TableParagraph"/>
                          <w:spacing w:line="179" w:lineRule="exact"/>
                          <w:ind w:right="182"/>
                          <w:jc w:val="right"/>
                          <w:rPr>
                            <w:sz w:val="16"/>
                          </w:rPr>
                        </w:pPr>
                        <w:r>
                          <w:rPr>
                            <w:color w:val="231F20"/>
                            <w:sz w:val="16"/>
                          </w:rPr>
                          <w:t>0.500</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1</w:t>
                        </w:r>
                      </w:p>
                    </w:tc>
                    <w:tc>
                      <w:tcPr>
                        <w:tcW w:w="794" w:type="dxa"/>
                      </w:tcPr>
                      <w:p>
                        <w:pPr>
                          <w:pStyle w:val="TableParagraph"/>
                          <w:spacing w:line="179" w:lineRule="exact"/>
                          <w:ind w:left="61"/>
                          <w:jc w:val="center"/>
                          <w:rPr>
                            <w:sz w:val="16"/>
                          </w:rPr>
                        </w:pPr>
                        <w:r>
                          <w:rPr>
                            <w:color w:val="231F20"/>
                            <w:w w:val="103"/>
                            <w:sz w:val="16"/>
                          </w:rPr>
                          <w:t>1</w:t>
                        </w:r>
                      </w:p>
                    </w:tc>
                  </w:tr>
                  <w:tr>
                    <w:trPr>
                      <w:trHeight w:val="199" w:hRule="atLeast"/>
                    </w:trPr>
                    <w:tc>
                      <w:tcPr>
                        <w:tcW w:w="1104" w:type="dxa"/>
                      </w:tcPr>
                      <w:p>
                        <w:pPr>
                          <w:pStyle w:val="TableParagraph"/>
                          <w:spacing w:line="175" w:lineRule="exact" w:before="4"/>
                          <w:ind w:left="50"/>
                          <w:rPr>
                            <w:i/>
                            <w:sz w:val="16"/>
                          </w:rPr>
                        </w:pPr>
                        <w:r>
                          <w:rPr>
                            <w:i/>
                            <w:color w:val="231F20"/>
                            <w:sz w:val="16"/>
                          </w:rPr>
                          <w:t>DEL</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0.507</w:t>
                        </w:r>
                      </w:p>
                    </w:tc>
                    <w:tc>
                      <w:tcPr>
                        <w:tcW w:w="1030" w:type="dxa"/>
                      </w:tcPr>
                      <w:p>
                        <w:pPr>
                          <w:pStyle w:val="TableParagraph"/>
                          <w:spacing w:line="179" w:lineRule="exact"/>
                          <w:ind w:right="182"/>
                          <w:jc w:val="right"/>
                          <w:rPr>
                            <w:sz w:val="16"/>
                          </w:rPr>
                        </w:pPr>
                        <w:r>
                          <w:rPr>
                            <w:color w:val="231F20"/>
                            <w:sz w:val="16"/>
                          </w:rPr>
                          <w:t>0.500</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1</w:t>
                        </w:r>
                      </w:p>
                    </w:tc>
                    <w:tc>
                      <w:tcPr>
                        <w:tcW w:w="794" w:type="dxa"/>
                      </w:tcPr>
                      <w:p>
                        <w:pPr>
                          <w:pStyle w:val="TableParagraph"/>
                          <w:spacing w:line="179" w:lineRule="exact"/>
                          <w:ind w:left="61"/>
                          <w:jc w:val="center"/>
                          <w:rPr>
                            <w:sz w:val="16"/>
                          </w:rPr>
                        </w:pPr>
                        <w:r>
                          <w:rPr>
                            <w:color w:val="231F20"/>
                            <w:w w:val="103"/>
                            <w:sz w:val="16"/>
                          </w:rPr>
                          <w:t>1</w:t>
                        </w:r>
                      </w:p>
                    </w:tc>
                  </w:tr>
                  <w:tr>
                    <w:trPr>
                      <w:trHeight w:val="199" w:hRule="atLeast"/>
                    </w:trPr>
                    <w:tc>
                      <w:tcPr>
                        <w:tcW w:w="1104" w:type="dxa"/>
                      </w:tcPr>
                      <w:p>
                        <w:pPr>
                          <w:pStyle w:val="TableParagraph"/>
                          <w:spacing w:line="175" w:lineRule="exact" w:before="4"/>
                          <w:ind w:left="50"/>
                          <w:rPr>
                            <w:i/>
                            <w:sz w:val="16"/>
                          </w:rPr>
                        </w:pPr>
                        <w:r>
                          <w:rPr>
                            <w:i/>
                            <w:color w:val="231F20"/>
                            <w:sz w:val="16"/>
                          </w:rPr>
                          <w:t>EDF93</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0.054</w:t>
                        </w:r>
                      </w:p>
                    </w:tc>
                    <w:tc>
                      <w:tcPr>
                        <w:tcW w:w="1030" w:type="dxa"/>
                      </w:tcPr>
                      <w:p>
                        <w:pPr>
                          <w:pStyle w:val="TableParagraph"/>
                          <w:spacing w:line="179" w:lineRule="exact"/>
                          <w:ind w:right="182"/>
                          <w:jc w:val="right"/>
                          <w:rPr>
                            <w:sz w:val="16"/>
                          </w:rPr>
                        </w:pPr>
                        <w:r>
                          <w:rPr>
                            <w:color w:val="231F20"/>
                            <w:sz w:val="16"/>
                          </w:rPr>
                          <w:t>0.144</w:t>
                        </w:r>
                      </w:p>
                    </w:tc>
                    <w:tc>
                      <w:tcPr>
                        <w:tcW w:w="947" w:type="dxa"/>
                      </w:tcPr>
                      <w:p>
                        <w:pPr>
                          <w:pStyle w:val="TableParagraph"/>
                          <w:spacing w:line="179" w:lineRule="exact"/>
                          <w:ind w:right="225"/>
                          <w:jc w:val="right"/>
                          <w:rPr>
                            <w:sz w:val="16"/>
                          </w:rPr>
                        </w:pPr>
                        <w:r>
                          <w:rPr>
                            <w:color w:val="231F20"/>
                            <w:sz w:val="16"/>
                          </w:rPr>
                          <w:t>0.000</w:t>
                        </w:r>
                      </w:p>
                    </w:tc>
                    <w:tc>
                      <w:tcPr>
                        <w:tcW w:w="896" w:type="dxa"/>
                      </w:tcPr>
                      <w:p>
                        <w:pPr>
                          <w:pStyle w:val="TableParagraph"/>
                          <w:spacing w:line="179" w:lineRule="exact"/>
                          <w:ind w:right="220"/>
                          <w:jc w:val="right"/>
                          <w:rPr>
                            <w:sz w:val="16"/>
                          </w:rPr>
                        </w:pPr>
                        <w:r>
                          <w:rPr>
                            <w:color w:val="231F20"/>
                            <w:sz w:val="16"/>
                          </w:rPr>
                          <w:t>0.000</w:t>
                        </w:r>
                      </w:p>
                    </w:tc>
                    <w:tc>
                      <w:tcPr>
                        <w:tcW w:w="794" w:type="dxa"/>
                      </w:tcPr>
                      <w:p>
                        <w:pPr>
                          <w:pStyle w:val="TableParagraph"/>
                          <w:spacing w:line="179" w:lineRule="exact"/>
                          <w:ind w:right="52"/>
                          <w:jc w:val="right"/>
                          <w:rPr>
                            <w:sz w:val="16"/>
                          </w:rPr>
                        </w:pPr>
                        <w:r>
                          <w:rPr>
                            <w:color w:val="231F20"/>
                            <w:sz w:val="16"/>
                          </w:rPr>
                          <w:t>0.016</w:t>
                        </w:r>
                      </w:p>
                    </w:tc>
                  </w:tr>
                  <w:tr>
                    <w:trPr>
                      <w:trHeight w:val="199" w:hRule="atLeast"/>
                    </w:trPr>
                    <w:tc>
                      <w:tcPr>
                        <w:tcW w:w="1104" w:type="dxa"/>
                      </w:tcPr>
                      <w:p>
                        <w:pPr>
                          <w:pStyle w:val="TableParagraph"/>
                          <w:spacing w:line="175" w:lineRule="exact" w:before="4"/>
                          <w:ind w:left="50"/>
                          <w:rPr>
                            <w:i/>
                            <w:sz w:val="16"/>
                          </w:rPr>
                        </w:pPr>
                        <w:r>
                          <w:rPr>
                            <w:i/>
                            <w:color w:val="231F20"/>
                            <w:sz w:val="16"/>
                          </w:rPr>
                          <w:t>HEDF93</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0.186</w:t>
                        </w:r>
                      </w:p>
                    </w:tc>
                    <w:tc>
                      <w:tcPr>
                        <w:tcW w:w="1030" w:type="dxa"/>
                      </w:tcPr>
                      <w:p>
                        <w:pPr>
                          <w:pStyle w:val="TableParagraph"/>
                          <w:spacing w:line="179" w:lineRule="exact"/>
                          <w:ind w:right="182"/>
                          <w:jc w:val="right"/>
                          <w:rPr>
                            <w:sz w:val="16"/>
                          </w:rPr>
                        </w:pPr>
                        <w:r>
                          <w:rPr>
                            <w:color w:val="231F20"/>
                            <w:sz w:val="16"/>
                          </w:rPr>
                          <w:t>0.389</w:t>
                        </w:r>
                      </w:p>
                    </w:tc>
                    <w:tc>
                      <w:tcPr>
                        <w:tcW w:w="947" w:type="dxa"/>
                      </w:tcPr>
                      <w:p>
                        <w:pPr>
                          <w:pStyle w:val="TableParagraph"/>
                          <w:spacing w:line="179" w:lineRule="exact"/>
                          <w:ind w:right="169"/>
                          <w:jc w:val="center"/>
                          <w:rPr>
                            <w:sz w:val="16"/>
                          </w:rPr>
                        </w:pPr>
                        <w:r>
                          <w:rPr>
                            <w:color w:val="231F20"/>
                            <w:w w:val="103"/>
                            <w:sz w:val="16"/>
                          </w:rPr>
                          <w:t>0</w:t>
                        </w:r>
                      </w:p>
                    </w:tc>
                    <w:tc>
                      <w:tcPr>
                        <w:tcW w:w="896" w:type="dxa"/>
                      </w:tcPr>
                      <w:p>
                        <w:pPr>
                          <w:pStyle w:val="TableParagraph"/>
                          <w:spacing w:line="179" w:lineRule="exact"/>
                          <w:ind w:left="299"/>
                          <w:rPr>
                            <w:sz w:val="16"/>
                          </w:rPr>
                        </w:pPr>
                        <w:r>
                          <w:rPr>
                            <w:color w:val="231F20"/>
                            <w:w w:val="103"/>
                            <w:sz w:val="16"/>
                          </w:rPr>
                          <w:t>0</w:t>
                        </w:r>
                      </w:p>
                    </w:tc>
                    <w:tc>
                      <w:tcPr>
                        <w:tcW w:w="794" w:type="dxa"/>
                      </w:tcPr>
                      <w:p>
                        <w:pPr>
                          <w:pStyle w:val="TableParagraph"/>
                          <w:spacing w:line="179" w:lineRule="exact"/>
                          <w:ind w:left="61"/>
                          <w:jc w:val="center"/>
                          <w:rPr>
                            <w:sz w:val="16"/>
                          </w:rPr>
                        </w:pPr>
                        <w:r>
                          <w:rPr>
                            <w:color w:val="231F20"/>
                            <w:w w:val="103"/>
                            <w:sz w:val="16"/>
                          </w:rPr>
                          <w:t>0</w:t>
                        </w:r>
                      </w:p>
                    </w:tc>
                  </w:tr>
                  <w:tr>
                    <w:trPr>
                      <w:trHeight w:val="199" w:hRule="atLeast"/>
                    </w:trPr>
                    <w:tc>
                      <w:tcPr>
                        <w:tcW w:w="1104" w:type="dxa"/>
                      </w:tcPr>
                      <w:p>
                        <w:pPr>
                          <w:pStyle w:val="TableParagraph"/>
                          <w:spacing w:line="179" w:lineRule="exact"/>
                          <w:ind w:left="50"/>
                          <w:rPr>
                            <w:i/>
                            <w:sz w:val="16"/>
                          </w:rPr>
                        </w:pPr>
                        <w:r>
                          <w:rPr>
                            <w:i/>
                            <w:color w:val="231F20"/>
                            <w:sz w:val="16"/>
                          </w:rPr>
                          <w:t>MVE (</w:t>
                        </w:r>
                        <w:r>
                          <w:rPr>
                            <w:color w:val="231F20"/>
                            <w:sz w:val="16"/>
                          </w:rPr>
                          <w:t>$</w:t>
                        </w:r>
                        <w:r>
                          <w:rPr>
                            <w:i/>
                            <w:color w:val="231F20"/>
                            <w:sz w:val="16"/>
                          </w:rPr>
                          <w:t>M)</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852.401</w:t>
                        </w:r>
                      </w:p>
                    </w:tc>
                    <w:tc>
                      <w:tcPr>
                        <w:tcW w:w="1030" w:type="dxa"/>
                      </w:tcPr>
                      <w:p>
                        <w:pPr>
                          <w:pStyle w:val="TableParagraph"/>
                          <w:spacing w:line="179" w:lineRule="exact"/>
                          <w:ind w:right="182"/>
                          <w:jc w:val="right"/>
                          <w:rPr>
                            <w:sz w:val="16"/>
                          </w:rPr>
                        </w:pPr>
                        <w:r>
                          <w:rPr>
                            <w:color w:val="231F20"/>
                            <w:sz w:val="16"/>
                          </w:rPr>
                          <w:t>2,371.800</w:t>
                        </w:r>
                      </w:p>
                    </w:tc>
                    <w:tc>
                      <w:tcPr>
                        <w:tcW w:w="947" w:type="dxa"/>
                      </w:tcPr>
                      <w:p>
                        <w:pPr>
                          <w:pStyle w:val="TableParagraph"/>
                          <w:spacing w:line="179" w:lineRule="exact"/>
                          <w:ind w:right="225"/>
                          <w:jc w:val="right"/>
                          <w:rPr>
                            <w:sz w:val="16"/>
                          </w:rPr>
                        </w:pPr>
                        <w:r>
                          <w:rPr>
                            <w:color w:val="231F20"/>
                            <w:sz w:val="16"/>
                          </w:rPr>
                          <w:t>23.638</w:t>
                        </w:r>
                      </w:p>
                    </w:tc>
                    <w:tc>
                      <w:tcPr>
                        <w:tcW w:w="896" w:type="dxa"/>
                      </w:tcPr>
                      <w:p>
                        <w:pPr>
                          <w:pStyle w:val="TableParagraph"/>
                          <w:spacing w:line="179" w:lineRule="exact"/>
                          <w:ind w:left="216"/>
                          <w:rPr>
                            <w:sz w:val="16"/>
                          </w:rPr>
                        </w:pPr>
                        <w:r>
                          <w:rPr>
                            <w:color w:val="231F20"/>
                            <w:w w:val="105"/>
                            <w:sz w:val="16"/>
                          </w:rPr>
                          <w:t>94.500</w:t>
                        </w:r>
                      </w:p>
                    </w:tc>
                    <w:tc>
                      <w:tcPr>
                        <w:tcW w:w="794" w:type="dxa"/>
                      </w:tcPr>
                      <w:p>
                        <w:pPr>
                          <w:pStyle w:val="TableParagraph"/>
                          <w:spacing w:line="179" w:lineRule="exact"/>
                          <w:ind w:right="52"/>
                          <w:jc w:val="right"/>
                          <w:rPr>
                            <w:sz w:val="16"/>
                          </w:rPr>
                        </w:pPr>
                        <w:r>
                          <w:rPr>
                            <w:color w:val="231F20"/>
                            <w:sz w:val="16"/>
                          </w:rPr>
                          <w:t>492.618</w:t>
                        </w:r>
                      </w:p>
                    </w:tc>
                  </w:tr>
                  <w:tr>
                    <w:trPr>
                      <w:trHeight w:val="199" w:hRule="atLeast"/>
                    </w:trPr>
                    <w:tc>
                      <w:tcPr>
                        <w:tcW w:w="1104" w:type="dxa"/>
                      </w:tcPr>
                      <w:p>
                        <w:pPr>
                          <w:pStyle w:val="TableParagraph"/>
                          <w:spacing w:line="175" w:lineRule="exact" w:before="4"/>
                          <w:ind w:left="50"/>
                          <w:rPr>
                            <w:i/>
                            <w:sz w:val="16"/>
                          </w:rPr>
                        </w:pPr>
                        <w:r>
                          <w:rPr>
                            <w:i/>
                            <w:color w:val="231F20"/>
                            <w:sz w:val="16"/>
                          </w:rPr>
                          <w:t>LNMVE</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4.724</w:t>
                        </w:r>
                      </w:p>
                    </w:tc>
                    <w:tc>
                      <w:tcPr>
                        <w:tcW w:w="1030" w:type="dxa"/>
                      </w:tcPr>
                      <w:p>
                        <w:pPr>
                          <w:pStyle w:val="TableParagraph"/>
                          <w:spacing w:line="179" w:lineRule="exact"/>
                          <w:ind w:right="182"/>
                          <w:jc w:val="right"/>
                          <w:rPr>
                            <w:sz w:val="16"/>
                          </w:rPr>
                        </w:pPr>
                        <w:r>
                          <w:rPr>
                            <w:color w:val="231F20"/>
                            <w:sz w:val="16"/>
                          </w:rPr>
                          <w:t>2.069</w:t>
                        </w:r>
                      </w:p>
                    </w:tc>
                    <w:tc>
                      <w:tcPr>
                        <w:tcW w:w="947" w:type="dxa"/>
                      </w:tcPr>
                      <w:p>
                        <w:pPr>
                          <w:pStyle w:val="TableParagraph"/>
                          <w:spacing w:line="179" w:lineRule="exact"/>
                          <w:ind w:right="225"/>
                          <w:jc w:val="right"/>
                          <w:rPr>
                            <w:sz w:val="16"/>
                          </w:rPr>
                        </w:pPr>
                        <w:r>
                          <w:rPr>
                            <w:color w:val="231F20"/>
                            <w:sz w:val="16"/>
                          </w:rPr>
                          <w:t>3.163</w:t>
                        </w:r>
                      </w:p>
                    </w:tc>
                    <w:tc>
                      <w:tcPr>
                        <w:tcW w:w="896" w:type="dxa"/>
                      </w:tcPr>
                      <w:p>
                        <w:pPr>
                          <w:pStyle w:val="TableParagraph"/>
                          <w:spacing w:line="179" w:lineRule="exact"/>
                          <w:ind w:right="220"/>
                          <w:jc w:val="right"/>
                          <w:rPr>
                            <w:sz w:val="16"/>
                          </w:rPr>
                        </w:pPr>
                        <w:r>
                          <w:rPr>
                            <w:color w:val="231F20"/>
                            <w:sz w:val="16"/>
                          </w:rPr>
                          <w:t>4.549</w:t>
                        </w:r>
                      </w:p>
                    </w:tc>
                    <w:tc>
                      <w:tcPr>
                        <w:tcW w:w="794" w:type="dxa"/>
                      </w:tcPr>
                      <w:p>
                        <w:pPr>
                          <w:pStyle w:val="TableParagraph"/>
                          <w:spacing w:line="179" w:lineRule="exact"/>
                          <w:ind w:right="52"/>
                          <w:jc w:val="right"/>
                          <w:rPr>
                            <w:sz w:val="16"/>
                          </w:rPr>
                        </w:pPr>
                        <w:r>
                          <w:rPr>
                            <w:color w:val="231F20"/>
                            <w:sz w:val="16"/>
                          </w:rPr>
                          <w:t>6.200</w:t>
                        </w:r>
                      </w:p>
                    </w:tc>
                  </w:tr>
                  <w:tr>
                    <w:trPr>
                      <w:trHeight w:val="199" w:hRule="atLeast"/>
                    </w:trPr>
                    <w:tc>
                      <w:tcPr>
                        <w:tcW w:w="1104" w:type="dxa"/>
                      </w:tcPr>
                      <w:p>
                        <w:pPr>
                          <w:pStyle w:val="TableParagraph"/>
                          <w:spacing w:line="175" w:lineRule="exact" w:before="4"/>
                          <w:ind w:left="50"/>
                          <w:rPr>
                            <w:i/>
                            <w:sz w:val="16"/>
                          </w:rPr>
                        </w:pPr>
                        <w:r>
                          <w:rPr>
                            <w:i/>
                            <w:color w:val="231F20"/>
                            <w:sz w:val="16"/>
                          </w:rPr>
                          <w:t>LEV</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0.508</w:t>
                        </w:r>
                      </w:p>
                    </w:tc>
                    <w:tc>
                      <w:tcPr>
                        <w:tcW w:w="1030" w:type="dxa"/>
                      </w:tcPr>
                      <w:p>
                        <w:pPr>
                          <w:pStyle w:val="TableParagraph"/>
                          <w:spacing w:line="179" w:lineRule="exact"/>
                          <w:ind w:right="182"/>
                          <w:jc w:val="right"/>
                          <w:rPr>
                            <w:sz w:val="16"/>
                          </w:rPr>
                        </w:pPr>
                        <w:r>
                          <w:rPr>
                            <w:color w:val="231F20"/>
                            <w:sz w:val="16"/>
                          </w:rPr>
                          <w:t>0.193</w:t>
                        </w:r>
                      </w:p>
                    </w:tc>
                    <w:tc>
                      <w:tcPr>
                        <w:tcW w:w="947" w:type="dxa"/>
                      </w:tcPr>
                      <w:p>
                        <w:pPr>
                          <w:pStyle w:val="TableParagraph"/>
                          <w:spacing w:line="179" w:lineRule="exact"/>
                          <w:ind w:right="225"/>
                          <w:jc w:val="right"/>
                          <w:rPr>
                            <w:sz w:val="16"/>
                          </w:rPr>
                        </w:pPr>
                        <w:r>
                          <w:rPr>
                            <w:color w:val="231F20"/>
                            <w:sz w:val="16"/>
                          </w:rPr>
                          <w:t>0.368</w:t>
                        </w:r>
                      </w:p>
                    </w:tc>
                    <w:tc>
                      <w:tcPr>
                        <w:tcW w:w="896" w:type="dxa"/>
                      </w:tcPr>
                      <w:p>
                        <w:pPr>
                          <w:pStyle w:val="TableParagraph"/>
                          <w:spacing w:line="179" w:lineRule="exact"/>
                          <w:ind w:right="220"/>
                          <w:jc w:val="right"/>
                          <w:rPr>
                            <w:sz w:val="16"/>
                          </w:rPr>
                        </w:pPr>
                        <w:r>
                          <w:rPr>
                            <w:color w:val="231F20"/>
                            <w:sz w:val="16"/>
                          </w:rPr>
                          <w:t>0.526</w:t>
                        </w:r>
                      </w:p>
                    </w:tc>
                    <w:tc>
                      <w:tcPr>
                        <w:tcW w:w="794" w:type="dxa"/>
                      </w:tcPr>
                      <w:p>
                        <w:pPr>
                          <w:pStyle w:val="TableParagraph"/>
                          <w:spacing w:line="179" w:lineRule="exact"/>
                          <w:ind w:right="52"/>
                          <w:jc w:val="right"/>
                          <w:rPr>
                            <w:sz w:val="16"/>
                          </w:rPr>
                        </w:pPr>
                        <w:r>
                          <w:rPr>
                            <w:color w:val="231F20"/>
                            <w:sz w:val="16"/>
                          </w:rPr>
                          <w:t>0.650</w:t>
                        </w:r>
                      </w:p>
                    </w:tc>
                  </w:tr>
                  <w:tr>
                    <w:trPr>
                      <w:trHeight w:val="199" w:hRule="atLeast"/>
                    </w:trPr>
                    <w:tc>
                      <w:tcPr>
                        <w:tcW w:w="1104" w:type="dxa"/>
                      </w:tcPr>
                      <w:p>
                        <w:pPr>
                          <w:pStyle w:val="TableParagraph"/>
                          <w:spacing w:line="175" w:lineRule="exact" w:before="4"/>
                          <w:ind w:left="50"/>
                          <w:rPr>
                            <w:i/>
                            <w:sz w:val="16"/>
                          </w:rPr>
                        </w:pPr>
                        <w:r>
                          <w:rPr>
                            <w:i/>
                            <w:color w:val="231F20"/>
                            <w:sz w:val="16"/>
                          </w:rPr>
                          <w:t>BTM</w:t>
                        </w:r>
                      </w:p>
                    </w:tc>
                    <w:tc>
                      <w:tcPr>
                        <w:tcW w:w="843" w:type="dxa"/>
                      </w:tcPr>
                      <w:p>
                        <w:pPr>
                          <w:pStyle w:val="TableParagraph"/>
                          <w:spacing w:line="179" w:lineRule="exact"/>
                          <w:ind w:left="161" w:right="180"/>
                          <w:jc w:val="center"/>
                          <w:rPr>
                            <w:sz w:val="16"/>
                          </w:rPr>
                        </w:pPr>
                        <w:r>
                          <w:rPr>
                            <w:color w:val="231F20"/>
                            <w:w w:val="105"/>
                            <w:sz w:val="16"/>
                          </w:rPr>
                          <w:t>18,827</w:t>
                        </w:r>
                      </w:p>
                    </w:tc>
                    <w:tc>
                      <w:tcPr>
                        <w:tcW w:w="926" w:type="dxa"/>
                      </w:tcPr>
                      <w:p>
                        <w:pPr>
                          <w:pStyle w:val="TableParagraph"/>
                          <w:spacing w:line="179" w:lineRule="exact"/>
                          <w:ind w:right="181"/>
                          <w:jc w:val="right"/>
                          <w:rPr>
                            <w:sz w:val="16"/>
                          </w:rPr>
                        </w:pPr>
                        <w:r>
                          <w:rPr>
                            <w:color w:val="231F20"/>
                            <w:sz w:val="16"/>
                          </w:rPr>
                          <w:t>0.720</w:t>
                        </w:r>
                      </w:p>
                    </w:tc>
                    <w:tc>
                      <w:tcPr>
                        <w:tcW w:w="1030" w:type="dxa"/>
                      </w:tcPr>
                      <w:p>
                        <w:pPr>
                          <w:pStyle w:val="TableParagraph"/>
                          <w:spacing w:line="179" w:lineRule="exact"/>
                          <w:ind w:right="182"/>
                          <w:jc w:val="right"/>
                          <w:rPr>
                            <w:sz w:val="16"/>
                          </w:rPr>
                        </w:pPr>
                        <w:r>
                          <w:rPr>
                            <w:color w:val="231F20"/>
                            <w:sz w:val="16"/>
                          </w:rPr>
                          <w:t>0.530</w:t>
                        </w:r>
                      </w:p>
                    </w:tc>
                    <w:tc>
                      <w:tcPr>
                        <w:tcW w:w="947" w:type="dxa"/>
                      </w:tcPr>
                      <w:p>
                        <w:pPr>
                          <w:pStyle w:val="TableParagraph"/>
                          <w:spacing w:line="179" w:lineRule="exact"/>
                          <w:ind w:right="225"/>
                          <w:jc w:val="right"/>
                          <w:rPr>
                            <w:sz w:val="16"/>
                          </w:rPr>
                        </w:pPr>
                        <w:r>
                          <w:rPr>
                            <w:color w:val="231F20"/>
                            <w:sz w:val="16"/>
                          </w:rPr>
                          <w:t>0.371</w:t>
                        </w:r>
                      </w:p>
                    </w:tc>
                    <w:tc>
                      <w:tcPr>
                        <w:tcW w:w="896" w:type="dxa"/>
                      </w:tcPr>
                      <w:p>
                        <w:pPr>
                          <w:pStyle w:val="TableParagraph"/>
                          <w:spacing w:line="179" w:lineRule="exact"/>
                          <w:ind w:right="220"/>
                          <w:jc w:val="right"/>
                          <w:rPr>
                            <w:sz w:val="16"/>
                          </w:rPr>
                        </w:pPr>
                        <w:r>
                          <w:rPr>
                            <w:color w:val="231F20"/>
                            <w:sz w:val="16"/>
                          </w:rPr>
                          <w:t>0.598</w:t>
                        </w:r>
                      </w:p>
                    </w:tc>
                    <w:tc>
                      <w:tcPr>
                        <w:tcW w:w="794" w:type="dxa"/>
                      </w:tcPr>
                      <w:p>
                        <w:pPr>
                          <w:pStyle w:val="TableParagraph"/>
                          <w:spacing w:line="179" w:lineRule="exact"/>
                          <w:ind w:right="52"/>
                          <w:jc w:val="right"/>
                          <w:rPr>
                            <w:sz w:val="16"/>
                          </w:rPr>
                        </w:pPr>
                        <w:r>
                          <w:rPr>
                            <w:color w:val="231F20"/>
                            <w:sz w:val="16"/>
                          </w:rPr>
                          <w:t>0.897</w:t>
                        </w:r>
                      </w:p>
                    </w:tc>
                  </w:tr>
                  <w:tr>
                    <w:trPr>
                      <w:trHeight w:val="353" w:hRule="atLeast"/>
                    </w:trPr>
                    <w:tc>
                      <w:tcPr>
                        <w:tcW w:w="1104" w:type="dxa"/>
                      </w:tcPr>
                      <w:p>
                        <w:pPr>
                          <w:pStyle w:val="TableParagraph"/>
                          <w:spacing w:before="4"/>
                          <w:ind w:left="50"/>
                          <w:rPr>
                            <w:i/>
                            <w:sz w:val="16"/>
                          </w:rPr>
                        </w:pPr>
                        <w:r>
                          <w:rPr>
                            <w:i/>
                            <w:color w:val="231F20"/>
                            <w:sz w:val="16"/>
                          </w:rPr>
                          <w:t>GROWTH</w:t>
                        </w:r>
                      </w:p>
                      <w:p>
                        <w:pPr>
                          <w:pStyle w:val="TableParagraph"/>
                          <w:spacing w:line="130" w:lineRule="exact" w:before="6"/>
                          <w:ind w:left="50"/>
                          <w:rPr>
                            <w:i/>
                            <w:sz w:val="16"/>
                          </w:rPr>
                        </w:pPr>
                        <w:r>
                          <w:rPr>
                            <w:i/>
                            <w:color w:val="231F20"/>
                            <w:sz w:val="16"/>
                          </w:rPr>
                          <w:t>LITIG</w:t>
                        </w:r>
                      </w:p>
                    </w:tc>
                    <w:tc>
                      <w:tcPr>
                        <w:tcW w:w="843" w:type="dxa"/>
                      </w:tcPr>
                      <w:p>
                        <w:pPr>
                          <w:pStyle w:val="TableParagraph"/>
                          <w:spacing w:line="198" w:lineRule="exact"/>
                          <w:ind w:left="182"/>
                          <w:rPr>
                            <w:sz w:val="16"/>
                          </w:rPr>
                        </w:pPr>
                        <w:r>
                          <w:rPr>
                            <w:color w:val="231F20"/>
                            <w:w w:val="105"/>
                            <w:sz w:val="16"/>
                          </w:rPr>
                          <w:t>18,827</w:t>
                        </w:r>
                      </w:p>
                      <w:p>
                        <w:pPr>
                          <w:pStyle w:val="TableParagraph"/>
                          <w:spacing w:line="135" w:lineRule="exact"/>
                          <w:ind w:left="182"/>
                          <w:rPr>
                            <w:sz w:val="16"/>
                          </w:rPr>
                        </w:pPr>
                        <w:r>
                          <w:rPr>
                            <w:color w:val="231F20"/>
                            <w:w w:val="105"/>
                            <w:sz w:val="16"/>
                          </w:rPr>
                          <w:t>18,827</w:t>
                        </w:r>
                      </w:p>
                    </w:tc>
                    <w:tc>
                      <w:tcPr>
                        <w:tcW w:w="926" w:type="dxa"/>
                      </w:tcPr>
                      <w:p>
                        <w:pPr>
                          <w:pStyle w:val="TableParagraph"/>
                          <w:spacing w:line="198" w:lineRule="exact"/>
                          <w:ind w:left="368"/>
                          <w:rPr>
                            <w:sz w:val="16"/>
                          </w:rPr>
                        </w:pPr>
                        <w:r>
                          <w:rPr>
                            <w:color w:val="231F20"/>
                            <w:w w:val="105"/>
                            <w:sz w:val="16"/>
                          </w:rPr>
                          <w:t>0.161</w:t>
                        </w:r>
                      </w:p>
                      <w:p>
                        <w:pPr>
                          <w:pStyle w:val="TableParagraph"/>
                          <w:spacing w:line="135" w:lineRule="exact"/>
                          <w:ind w:left="368"/>
                          <w:rPr>
                            <w:sz w:val="16"/>
                          </w:rPr>
                        </w:pPr>
                        <w:r>
                          <w:rPr>
                            <w:color w:val="231F20"/>
                            <w:w w:val="105"/>
                            <w:sz w:val="16"/>
                          </w:rPr>
                          <w:t>0.247</w:t>
                        </w:r>
                      </w:p>
                    </w:tc>
                    <w:tc>
                      <w:tcPr>
                        <w:tcW w:w="1030" w:type="dxa"/>
                      </w:tcPr>
                      <w:p>
                        <w:pPr>
                          <w:pStyle w:val="TableParagraph"/>
                          <w:spacing w:line="198" w:lineRule="exact"/>
                          <w:ind w:left="471"/>
                          <w:rPr>
                            <w:sz w:val="16"/>
                          </w:rPr>
                        </w:pPr>
                        <w:r>
                          <w:rPr>
                            <w:color w:val="231F20"/>
                            <w:w w:val="105"/>
                            <w:sz w:val="16"/>
                          </w:rPr>
                          <w:t>0.434</w:t>
                        </w:r>
                      </w:p>
                      <w:p>
                        <w:pPr>
                          <w:pStyle w:val="TableParagraph"/>
                          <w:spacing w:line="135" w:lineRule="exact"/>
                          <w:ind w:left="471"/>
                          <w:rPr>
                            <w:sz w:val="16"/>
                          </w:rPr>
                        </w:pPr>
                        <w:r>
                          <w:rPr>
                            <w:color w:val="231F20"/>
                            <w:w w:val="105"/>
                            <w:sz w:val="16"/>
                          </w:rPr>
                          <w:t>0.431</w:t>
                        </w:r>
                      </w:p>
                    </w:tc>
                    <w:tc>
                      <w:tcPr>
                        <w:tcW w:w="947" w:type="dxa"/>
                      </w:tcPr>
                      <w:p>
                        <w:pPr>
                          <w:pStyle w:val="TableParagraph"/>
                          <w:spacing w:line="210" w:lineRule="exact"/>
                          <w:ind w:left="195" w:right="199"/>
                          <w:jc w:val="center"/>
                          <w:rPr>
                            <w:sz w:val="16"/>
                          </w:rPr>
                        </w:pPr>
                        <w:r>
                          <w:rPr>
                            <w:rFonts w:ascii="Lucida Sans Unicode" w:hAnsi="Lucida Sans Unicode"/>
                            <w:color w:val="231F20"/>
                            <w:w w:val="105"/>
                            <w:sz w:val="16"/>
                          </w:rPr>
                          <w:t>−</w:t>
                        </w:r>
                        <w:r>
                          <w:rPr>
                            <w:color w:val="231F20"/>
                            <w:w w:val="105"/>
                            <w:sz w:val="16"/>
                          </w:rPr>
                          <w:t>0.009</w:t>
                        </w:r>
                      </w:p>
                      <w:p>
                        <w:pPr>
                          <w:pStyle w:val="TableParagraph"/>
                          <w:spacing w:line="123" w:lineRule="exact"/>
                          <w:ind w:right="169"/>
                          <w:jc w:val="center"/>
                          <w:rPr>
                            <w:sz w:val="16"/>
                          </w:rPr>
                        </w:pPr>
                        <w:r>
                          <w:rPr>
                            <w:color w:val="231F20"/>
                            <w:w w:val="103"/>
                            <w:sz w:val="16"/>
                          </w:rPr>
                          <w:t>0</w:t>
                        </w:r>
                      </w:p>
                    </w:tc>
                    <w:tc>
                      <w:tcPr>
                        <w:tcW w:w="896" w:type="dxa"/>
                      </w:tcPr>
                      <w:p>
                        <w:pPr>
                          <w:pStyle w:val="TableParagraph"/>
                          <w:spacing w:line="198" w:lineRule="exact"/>
                          <w:ind w:left="299"/>
                          <w:rPr>
                            <w:sz w:val="16"/>
                          </w:rPr>
                        </w:pPr>
                        <w:r>
                          <w:rPr>
                            <w:color w:val="231F20"/>
                            <w:w w:val="105"/>
                            <w:sz w:val="16"/>
                          </w:rPr>
                          <w:t>0.073</w:t>
                        </w:r>
                      </w:p>
                      <w:p>
                        <w:pPr>
                          <w:pStyle w:val="TableParagraph"/>
                          <w:spacing w:line="135" w:lineRule="exact"/>
                          <w:ind w:right="212"/>
                          <w:jc w:val="center"/>
                          <w:rPr>
                            <w:sz w:val="16"/>
                          </w:rPr>
                        </w:pPr>
                        <w:r>
                          <w:rPr>
                            <w:color w:val="231F20"/>
                            <w:w w:val="103"/>
                            <w:sz w:val="16"/>
                          </w:rPr>
                          <w:t>0</w:t>
                        </w:r>
                      </w:p>
                    </w:tc>
                    <w:tc>
                      <w:tcPr>
                        <w:tcW w:w="794" w:type="dxa"/>
                      </w:tcPr>
                      <w:p>
                        <w:pPr>
                          <w:pStyle w:val="TableParagraph"/>
                          <w:spacing w:line="198" w:lineRule="exact"/>
                          <w:ind w:left="365"/>
                          <w:rPr>
                            <w:sz w:val="16"/>
                          </w:rPr>
                        </w:pPr>
                        <w:r>
                          <w:rPr>
                            <w:color w:val="231F20"/>
                            <w:w w:val="105"/>
                            <w:sz w:val="16"/>
                          </w:rPr>
                          <w:t>0.196</w:t>
                        </w:r>
                      </w:p>
                      <w:p>
                        <w:pPr>
                          <w:pStyle w:val="TableParagraph"/>
                          <w:spacing w:line="135" w:lineRule="exact"/>
                          <w:ind w:left="61"/>
                          <w:jc w:val="center"/>
                          <w:rPr>
                            <w:sz w:val="16"/>
                          </w:rPr>
                        </w:pPr>
                        <w:r>
                          <w:rPr>
                            <w:color w:val="231F20"/>
                            <w:w w:val="103"/>
                            <w:sz w:val="16"/>
                          </w:rPr>
                          <w:t>0</w:t>
                        </w:r>
                      </w:p>
                    </w:tc>
                  </w:tr>
                  <w:tr>
                    <w:trPr>
                      <w:trHeight w:val="244" w:hRule="atLeast"/>
                    </w:trPr>
                    <w:tc>
                      <w:tcPr>
                        <w:tcW w:w="1104" w:type="dxa"/>
                      </w:tcPr>
                      <w:p>
                        <w:pPr>
                          <w:pStyle w:val="TableParagraph"/>
                          <w:spacing w:line="175" w:lineRule="exact" w:before="49"/>
                          <w:ind w:left="50"/>
                          <w:rPr>
                            <w:i/>
                            <w:sz w:val="16"/>
                          </w:rPr>
                        </w:pPr>
                        <w:r>
                          <w:rPr>
                            <w:i/>
                            <w:color w:val="231F20"/>
                            <w:sz w:val="16"/>
                          </w:rPr>
                          <w:t>INSTOWN</w:t>
                        </w:r>
                      </w:p>
                    </w:tc>
                    <w:tc>
                      <w:tcPr>
                        <w:tcW w:w="843" w:type="dxa"/>
                      </w:tcPr>
                      <w:p>
                        <w:pPr>
                          <w:pStyle w:val="TableParagraph"/>
                          <w:spacing w:line="181" w:lineRule="exact" w:before="44"/>
                          <w:ind w:left="161" w:right="180"/>
                          <w:jc w:val="center"/>
                          <w:rPr>
                            <w:sz w:val="16"/>
                          </w:rPr>
                        </w:pPr>
                        <w:r>
                          <w:rPr>
                            <w:color w:val="231F20"/>
                            <w:w w:val="105"/>
                            <w:sz w:val="16"/>
                          </w:rPr>
                          <w:t>18,827</w:t>
                        </w:r>
                      </w:p>
                    </w:tc>
                    <w:tc>
                      <w:tcPr>
                        <w:tcW w:w="926" w:type="dxa"/>
                      </w:tcPr>
                      <w:p>
                        <w:pPr>
                          <w:pStyle w:val="TableParagraph"/>
                          <w:spacing w:line="181" w:lineRule="exact" w:before="44"/>
                          <w:ind w:right="181"/>
                          <w:jc w:val="right"/>
                          <w:rPr>
                            <w:sz w:val="16"/>
                          </w:rPr>
                        </w:pPr>
                        <w:r>
                          <w:rPr>
                            <w:color w:val="231F20"/>
                            <w:sz w:val="16"/>
                          </w:rPr>
                          <w:t>0.276</w:t>
                        </w:r>
                      </w:p>
                    </w:tc>
                    <w:tc>
                      <w:tcPr>
                        <w:tcW w:w="1030" w:type="dxa"/>
                      </w:tcPr>
                      <w:p>
                        <w:pPr>
                          <w:pStyle w:val="TableParagraph"/>
                          <w:spacing w:line="181" w:lineRule="exact" w:before="44"/>
                          <w:ind w:right="182"/>
                          <w:jc w:val="right"/>
                          <w:rPr>
                            <w:sz w:val="16"/>
                          </w:rPr>
                        </w:pPr>
                        <w:r>
                          <w:rPr>
                            <w:color w:val="231F20"/>
                            <w:sz w:val="16"/>
                          </w:rPr>
                          <w:t>0.211</w:t>
                        </w:r>
                      </w:p>
                    </w:tc>
                    <w:tc>
                      <w:tcPr>
                        <w:tcW w:w="947" w:type="dxa"/>
                      </w:tcPr>
                      <w:p>
                        <w:pPr>
                          <w:pStyle w:val="TableParagraph"/>
                          <w:spacing w:line="181" w:lineRule="exact" w:before="44"/>
                          <w:ind w:right="225"/>
                          <w:jc w:val="right"/>
                          <w:rPr>
                            <w:sz w:val="16"/>
                          </w:rPr>
                        </w:pPr>
                        <w:r>
                          <w:rPr>
                            <w:color w:val="231F20"/>
                            <w:sz w:val="16"/>
                          </w:rPr>
                          <w:t>0.090</w:t>
                        </w:r>
                      </w:p>
                    </w:tc>
                    <w:tc>
                      <w:tcPr>
                        <w:tcW w:w="896" w:type="dxa"/>
                      </w:tcPr>
                      <w:p>
                        <w:pPr>
                          <w:pStyle w:val="TableParagraph"/>
                          <w:spacing w:line="181" w:lineRule="exact" w:before="44"/>
                          <w:ind w:right="220"/>
                          <w:jc w:val="right"/>
                          <w:rPr>
                            <w:sz w:val="16"/>
                          </w:rPr>
                        </w:pPr>
                        <w:r>
                          <w:rPr>
                            <w:color w:val="231F20"/>
                            <w:sz w:val="16"/>
                          </w:rPr>
                          <w:t>0.238</w:t>
                        </w:r>
                      </w:p>
                    </w:tc>
                    <w:tc>
                      <w:tcPr>
                        <w:tcW w:w="794" w:type="dxa"/>
                      </w:tcPr>
                      <w:p>
                        <w:pPr>
                          <w:pStyle w:val="TableParagraph"/>
                          <w:spacing w:line="181" w:lineRule="exact" w:before="44"/>
                          <w:ind w:right="52"/>
                          <w:jc w:val="right"/>
                          <w:rPr>
                            <w:sz w:val="16"/>
                          </w:rPr>
                        </w:pPr>
                        <w:r>
                          <w:rPr>
                            <w:color w:val="231F20"/>
                            <w:sz w:val="16"/>
                          </w:rPr>
                          <w:t>0.435</w:t>
                        </w:r>
                      </w:p>
                    </w:tc>
                  </w:tr>
                  <w:tr>
                    <w:trPr>
                      <w:trHeight w:val="217" w:hRule="atLeast"/>
                    </w:trPr>
                    <w:tc>
                      <w:tcPr>
                        <w:tcW w:w="1104" w:type="dxa"/>
                        <w:tcBorders>
                          <w:bottom w:val="single" w:sz="6" w:space="0" w:color="000000"/>
                        </w:tcBorders>
                      </w:tcPr>
                      <w:p>
                        <w:pPr>
                          <w:pStyle w:val="TableParagraph"/>
                          <w:spacing w:before="4"/>
                          <w:ind w:left="50"/>
                          <w:rPr>
                            <w:i/>
                            <w:sz w:val="16"/>
                          </w:rPr>
                        </w:pPr>
                        <w:r>
                          <w:rPr>
                            <w:i/>
                            <w:color w:val="231F20"/>
                            <w:sz w:val="16"/>
                          </w:rPr>
                          <w:t>BSCORE</w:t>
                        </w:r>
                      </w:p>
                    </w:tc>
                    <w:tc>
                      <w:tcPr>
                        <w:tcW w:w="843" w:type="dxa"/>
                        <w:tcBorders>
                          <w:bottom w:val="single" w:sz="6" w:space="0" w:color="000000"/>
                        </w:tcBorders>
                      </w:tcPr>
                      <w:p>
                        <w:pPr>
                          <w:pStyle w:val="TableParagraph"/>
                          <w:spacing w:line="197" w:lineRule="exact"/>
                          <w:ind w:left="161" w:right="100"/>
                          <w:jc w:val="center"/>
                          <w:rPr>
                            <w:sz w:val="16"/>
                          </w:rPr>
                        </w:pPr>
                        <w:r>
                          <w:rPr>
                            <w:color w:val="231F20"/>
                            <w:w w:val="105"/>
                            <w:sz w:val="16"/>
                          </w:rPr>
                          <w:t>6,584</w:t>
                        </w:r>
                      </w:p>
                    </w:tc>
                    <w:tc>
                      <w:tcPr>
                        <w:tcW w:w="926" w:type="dxa"/>
                        <w:tcBorders>
                          <w:bottom w:val="single" w:sz="6" w:space="0" w:color="000000"/>
                        </w:tcBorders>
                      </w:tcPr>
                      <w:p>
                        <w:pPr>
                          <w:pStyle w:val="TableParagraph"/>
                          <w:spacing w:line="197" w:lineRule="exact"/>
                          <w:ind w:right="181"/>
                          <w:jc w:val="right"/>
                          <w:rPr>
                            <w:sz w:val="16"/>
                          </w:rPr>
                        </w:pPr>
                        <w:r>
                          <w:rPr>
                            <w:color w:val="231F20"/>
                            <w:sz w:val="16"/>
                          </w:rPr>
                          <w:t>1.951</w:t>
                        </w:r>
                      </w:p>
                    </w:tc>
                    <w:tc>
                      <w:tcPr>
                        <w:tcW w:w="1030" w:type="dxa"/>
                        <w:tcBorders>
                          <w:bottom w:val="single" w:sz="6" w:space="0" w:color="000000"/>
                        </w:tcBorders>
                      </w:tcPr>
                      <w:p>
                        <w:pPr>
                          <w:pStyle w:val="TableParagraph"/>
                          <w:spacing w:line="197" w:lineRule="exact"/>
                          <w:ind w:right="182"/>
                          <w:jc w:val="right"/>
                          <w:rPr>
                            <w:sz w:val="16"/>
                          </w:rPr>
                        </w:pPr>
                        <w:r>
                          <w:rPr>
                            <w:color w:val="231F20"/>
                            <w:sz w:val="16"/>
                          </w:rPr>
                          <w:t>0.740</w:t>
                        </w:r>
                      </w:p>
                    </w:tc>
                    <w:tc>
                      <w:tcPr>
                        <w:tcW w:w="947" w:type="dxa"/>
                        <w:tcBorders>
                          <w:bottom w:val="single" w:sz="6" w:space="0" w:color="000000"/>
                        </w:tcBorders>
                      </w:tcPr>
                      <w:p>
                        <w:pPr>
                          <w:pStyle w:val="TableParagraph"/>
                          <w:spacing w:line="197" w:lineRule="exact"/>
                          <w:ind w:right="169"/>
                          <w:jc w:val="center"/>
                          <w:rPr>
                            <w:sz w:val="16"/>
                          </w:rPr>
                        </w:pPr>
                        <w:r>
                          <w:rPr>
                            <w:color w:val="231F20"/>
                            <w:w w:val="103"/>
                            <w:sz w:val="16"/>
                          </w:rPr>
                          <w:t>1</w:t>
                        </w:r>
                      </w:p>
                    </w:tc>
                    <w:tc>
                      <w:tcPr>
                        <w:tcW w:w="896" w:type="dxa"/>
                        <w:tcBorders>
                          <w:bottom w:val="single" w:sz="6" w:space="0" w:color="000000"/>
                        </w:tcBorders>
                      </w:tcPr>
                      <w:p>
                        <w:pPr>
                          <w:pStyle w:val="TableParagraph"/>
                          <w:spacing w:line="197" w:lineRule="exact"/>
                          <w:ind w:left="299"/>
                          <w:rPr>
                            <w:sz w:val="16"/>
                          </w:rPr>
                        </w:pPr>
                        <w:r>
                          <w:rPr>
                            <w:color w:val="231F20"/>
                            <w:w w:val="103"/>
                            <w:sz w:val="16"/>
                          </w:rPr>
                          <w:t>2</w:t>
                        </w:r>
                      </w:p>
                    </w:tc>
                    <w:tc>
                      <w:tcPr>
                        <w:tcW w:w="794" w:type="dxa"/>
                        <w:tcBorders>
                          <w:bottom w:val="single" w:sz="6" w:space="0" w:color="000000"/>
                        </w:tcBorders>
                      </w:tcPr>
                      <w:p>
                        <w:pPr>
                          <w:pStyle w:val="TableParagraph"/>
                          <w:spacing w:line="197" w:lineRule="exact"/>
                          <w:ind w:left="61"/>
                          <w:jc w:val="center"/>
                          <w:rPr>
                            <w:sz w:val="16"/>
                          </w:rPr>
                        </w:pPr>
                        <w:r>
                          <w:rPr>
                            <w:color w:val="231F20"/>
                            <w:w w:val="103"/>
                            <w:sz w:val="16"/>
                          </w:rPr>
                          <w:t>2</w:t>
                        </w:r>
                      </w:p>
                    </w:tc>
                  </w:tr>
                </w:tbl>
                <w:p>
                  <w:pPr>
                    <w:pStyle w:val="BodyText"/>
                  </w:pPr>
                </w:p>
              </w:txbxContent>
            </v:textbox>
            <w10:wrap type="none"/>
          </v:shape>
        </w:pict>
      </w:r>
      <w:r>
        <w:rPr>
          <w:i/>
          <w:color w:val="231F20"/>
          <w:sz w:val="16"/>
        </w:rPr>
        <w:t>Summary Statistics</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pStyle w:val="BodyText"/>
        <w:rPr>
          <w:i/>
        </w:rPr>
      </w:pPr>
    </w:p>
    <w:p>
      <w:pPr>
        <w:pStyle w:val="BodyText"/>
        <w:rPr>
          <w:i/>
        </w:rPr>
      </w:pPr>
    </w:p>
    <w:p>
      <w:pPr>
        <w:pStyle w:val="BodyText"/>
        <w:spacing w:before="8"/>
        <w:rPr>
          <w:i/>
          <w:sz w:val="14"/>
        </w:rPr>
      </w:pPr>
      <w:r>
        <w:rPr/>
        <w:pict>
          <v:line style="position:absolute;mso-position-horizontal-relative:page;mso-position-vertical-relative:paragraph;z-index:2296;mso-wrap-distance-left:0;mso-wrap-distance-right:0" from="117.116997pt,11.048672pt" to="119.519997pt,11.048672pt" stroked="true" strokeweight=".405pt" strokecolor="#000000">
            <v:stroke dashstyle="solid"/>
            <w10:wrap type="topAndBottom"/>
          </v:line>
        </w:pict>
      </w:r>
      <w:r>
        <w:rPr/>
        <w:pict>
          <v:line style="position:absolute;mso-position-horizontal-relative:page;mso-position-vertical-relative:paragraph;z-index:2320;mso-wrap-distance-left:0;mso-wrap-distance-right:0" from="96.056999pt,21.011671pt" to="98.459999pt,21.011671pt" stroked="true" strokeweight=".405pt" strokecolor="#000000">
            <v:stroke dashstyle="solid"/>
            <w10:wrap type="topAndBottom"/>
          </v:line>
        </w:pict>
      </w:r>
    </w:p>
    <w:p>
      <w:pPr>
        <w:pStyle w:val="BodyText"/>
        <w:rPr>
          <w:i/>
          <w:sz w:val="10"/>
        </w:rPr>
      </w:pPr>
    </w:p>
    <w:p>
      <w:pPr>
        <w:spacing w:before="0" w:after="120"/>
        <w:ind w:left="4606" w:right="0" w:firstLine="0"/>
        <w:jc w:val="left"/>
        <w:rPr>
          <w:sz w:val="16"/>
        </w:rPr>
      </w:pPr>
      <w:r>
        <w:rPr>
          <w:rFonts w:ascii="Lucida Sans Unicode" w:hAnsi="Lucida Sans Unicode"/>
          <w:color w:val="231F20"/>
          <w:w w:val="105"/>
          <w:sz w:val="16"/>
        </w:rPr>
        <w:t>−</w:t>
      </w:r>
      <w:r>
        <w:rPr>
          <w:color w:val="231F20"/>
          <w:w w:val="105"/>
          <w:sz w:val="16"/>
        </w:rPr>
        <w:t>1.145</w:t>
      </w:r>
    </w:p>
    <w:p>
      <w:pPr>
        <w:pStyle w:val="BodyText"/>
        <w:spacing w:line="20" w:lineRule="exact"/>
        <w:ind w:left="636"/>
        <w:rPr>
          <w:sz w:val="2"/>
        </w:rPr>
      </w:pPr>
      <w:r>
        <w:rPr>
          <w:sz w:val="2"/>
        </w:rPr>
        <w:pict>
          <v:group style="width:2.450pt;height:.45pt;mso-position-horizontal-relative:char;mso-position-vertical-relative:line" coordorigin="0,0" coordsize="49,9">
            <v:line style="position:absolute" from="0,4" to="48,4" stroked="true" strokeweight=".405pt" strokecolor="#000000">
              <v:stroke dashstyle="solid"/>
            </v:line>
          </v:group>
        </w:pict>
      </w:r>
      <w:r>
        <w:rPr>
          <w:sz w:val="2"/>
        </w:rPr>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22"/>
        </w:rPr>
      </w:pPr>
    </w:p>
    <w:p>
      <w:pPr>
        <w:spacing w:line="220" w:lineRule="auto" w:before="0"/>
        <w:ind w:left="532" w:right="0" w:firstLine="199"/>
        <w:jc w:val="left"/>
        <w:rPr>
          <w:sz w:val="14"/>
        </w:rPr>
      </w:pPr>
      <w:r>
        <w:rPr>
          <w:color w:val="231F20"/>
          <w:sz w:val="14"/>
        </w:rPr>
        <w:t>This</w:t>
      </w:r>
      <w:r>
        <w:rPr>
          <w:color w:val="231F20"/>
          <w:spacing w:val="-8"/>
          <w:sz w:val="14"/>
        </w:rPr>
        <w:t> </w:t>
      </w:r>
      <w:r>
        <w:rPr>
          <w:color w:val="231F20"/>
          <w:sz w:val="14"/>
        </w:rPr>
        <w:t>table</w:t>
      </w:r>
      <w:r>
        <w:rPr>
          <w:color w:val="231F20"/>
          <w:spacing w:val="-8"/>
          <w:sz w:val="14"/>
        </w:rPr>
        <w:t> </w:t>
      </w:r>
      <w:r>
        <w:rPr>
          <w:color w:val="231F20"/>
          <w:sz w:val="14"/>
        </w:rPr>
        <w:t>provides</w:t>
      </w:r>
      <w:r>
        <w:rPr>
          <w:color w:val="231F20"/>
          <w:spacing w:val="-7"/>
          <w:sz w:val="14"/>
        </w:rPr>
        <w:t> </w:t>
      </w:r>
      <w:r>
        <w:rPr>
          <w:color w:val="231F20"/>
          <w:sz w:val="14"/>
        </w:rPr>
        <w:t>the</w:t>
      </w:r>
      <w:r>
        <w:rPr>
          <w:color w:val="231F20"/>
          <w:spacing w:val="-8"/>
          <w:sz w:val="14"/>
        </w:rPr>
        <w:t> </w:t>
      </w:r>
      <w:r>
        <w:rPr>
          <w:color w:val="231F20"/>
          <w:sz w:val="14"/>
        </w:rPr>
        <w:t>summary</w:t>
      </w:r>
      <w:r>
        <w:rPr>
          <w:color w:val="231F20"/>
          <w:spacing w:val="-7"/>
          <w:sz w:val="14"/>
        </w:rPr>
        <w:t> </w:t>
      </w:r>
      <w:r>
        <w:rPr>
          <w:color w:val="231F20"/>
          <w:sz w:val="14"/>
        </w:rPr>
        <w:t>statistics</w:t>
      </w:r>
      <w:r>
        <w:rPr>
          <w:color w:val="231F20"/>
          <w:spacing w:val="-8"/>
          <w:sz w:val="14"/>
        </w:rPr>
        <w:t> </w:t>
      </w:r>
      <w:r>
        <w:rPr>
          <w:color w:val="231F20"/>
          <w:sz w:val="14"/>
        </w:rPr>
        <w:t>of</w:t>
      </w:r>
      <w:r>
        <w:rPr>
          <w:color w:val="231F20"/>
          <w:spacing w:val="-8"/>
          <w:sz w:val="14"/>
        </w:rPr>
        <w:t> </w:t>
      </w:r>
      <w:r>
        <w:rPr>
          <w:color w:val="231F20"/>
          <w:sz w:val="14"/>
        </w:rPr>
        <w:t>the</w:t>
      </w:r>
      <w:r>
        <w:rPr>
          <w:color w:val="231F20"/>
          <w:spacing w:val="-8"/>
          <w:sz w:val="14"/>
        </w:rPr>
        <w:t> </w:t>
      </w:r>
      <w:r>
        <w:rPr>
          <w:color w:val="231F20"/>
          <w:sz w:val="14"/>
        </w:rPr>
        <w:t>primary</w:t>
      </w:r>
      <w:r>
        <w:rPr>
          <w:color w:val="231F20"/>
          <w:spacing w:val="-8"/>
          <w:sz w:val="14"/>
        </w:rPr>
        <w:t> </w:t>
      </w:r>
      <w:r>
        <w:rPr>
          <w:color w:val="231F20"/>
          <w:sz w:val="14"/>
        </w:rPr>
        <w:t>test</w:t>
      </w:r>
      <w:r>
        <w:rPr>
          <w:color w:val="231F20"/>
          <w:spacing w:val="-7"/>
          <w:sz w:val="14"/>
        </w:rPr>
        <w:t> </w:t>
      </w:r>
      <w:r>
        <w:rPr>
          <w:color w:val="231F20"/>
          <w:sz w:val="14"/>
        </w:rPr>
        <w:t>variables.</w:t>
      </w:r>
      <w:r>
        <w:rPr>
          <w:color w:val="231F20"/>
          <w:spacing w:val="-8"/>
          <w:sz w:val="14"/>
        </w:rPr>
        <w:t> </w:t>
      </w:r>
      <w:r>
        <w:rPr>
          <w:color w:val="231F20"/>
          <w:sz w:val="14"/>
        </w:rPr>
        <w:t>All</w:t>
      </w:r>
      <w:r>
        <w:rPr>
          <w:color w:val="231F20"/>
          <w:spacing w:val="-8"/>
          <w:sz w:val="14"/>
        </w:rPr>
        <w:t> </w:t>
      </w:r>
      <w:r>
        <w:rPr>
          <w:color w:val="231F20"/>
          <w:sz w:val="14"/>
        </w:rPr>
        <w:t>variables</w:t>
      </w:r>
      <w:r>
        <w:rPr>
          <w:color w:val="231F20"/>
          <w:spacing w:val="-7"/>
          <w:sz w:val="14"/>
        </w:rPr>
        <w:t> </w:t>
      </w:r>
      <w:r>
        <w:rPr>
          <w:color w:val="231F20"/>
          <w:sz w:val="14"/>
        </w:rPr>
        <w:t>are</w:t>
      </w:r>
      <w:r>
        <w:rPr>
          <w:color w:val="231F20"/>
          <w:spacing w:val="-8"/>
          <w:sz w:val="14"/>
        </w:rPr>
        <w:t> </w:t>
      </w:r>
      <w:r>
        <w:rPr>
          <w:color w:val="231F20"/>
          <w:sz w:val="14"/>
        </w:rPr>
        <w:t>defined</w:t>
      </w:r>
      <w:r>
        <w:rPr>
          <w:color w:val="231F20"/>
          <w:spacing w:val="-7"/>
          <w:sz w:val="14"/>
        </w:rPr>
        <w:t> </w:t>
      </w:r>
      <w:r>
        <w:rPr>
          <w:color w:val="231F20"/>
          <w:sz w:val="14"/>
        </w:rPr>
        <w:t>in</w:t>
      </w:r>
      <w:r>
        <w:rPr>
          <w:color w:val="231F20"/>
          <w:spacing w:val="-8"/>
          <w:sz w:val="14"/>
        </w:rPr>
        <w:t> </w:t>
      </w:r>
      <w:r>
        <w:rPr>
          <w:color w:val="231F20"/>
          <w:sz w:val="14"/>
        </w:rPr>
        <w:t>the appendix. All continuous variables are winsorized at 1st and 99th</w:t>
      </w:r>
      <w:r>
        <w:rPr>
          <w:color w:val="231F20"/>
          <w:spacing w:val="-22"/>
          <w:sz w:val="14"/>
        </w:rPr>
        <w:t> </w:t>
      </w:r>
      <w:r>
        <w:rPr>
          <w:color w:val="231F20"/>
          <w:sz w:val="14"/>
        </w:rPr>
        <w:t>percentiles.</w:t>
      </w:r>
    </w:p>
    <w:p>
      <w:pPr>
        <w:pStyle w:val="BodyText"/>
        <w:rPr>
          <w:sz w:val="16"/>
        </w:rPr>
      </w:pPr>
    </w:p>
    <w:p>
      <w:pPr>
        <w:pStyle w:val="BodyText"/>
        <w:rPr>
          <w:sz w:val="13"/>
        </w:rPr>
      </w:pPr>
    </w:p>
    <w:p>
      <w:pPr>
        <w:pStyle w:val="BodyText"/>
        <w:spacing w:line="230" w:lineRule="auto"/>
        <w:ind w:left="532" w:right="149"/>
        <w:jc w:val="both"/>
        <w:rPr>
          <w:sz w:val="14"/>
        </w:rPr>
      </w:pPr>
      <w:r>
        <w:rPr/>
        <w:pict>
          <v:line style="position:absolute;mso-position-horizontal-relative:page;mso-position-vertical-relative:paragraph;z-index:-69328" from="240.660004pt,9.01731pt" to="243.657004pt,9.01731pt" stroked="true" strokeweight=".405pt" strokecolor="#000000">
            <v:stroke dashstyle="solid"/>
            <w10:wrap type="none"/>
          </v:line>
        </w:pict>
      </w:r>
      <w:r>
        <w:rPr/>
        <w:pict>
          <v:line style="position:absolute;mso-position-horizontal-relative:page;mso-position-vertical-relative:paragraph;z-index:-69304" from="288.053986pt,20.969311pt" to="291.050986pt,20.969311pt" stroked="true" strokeweight=".405pt" strokecolor="#000000">
            <v:stroke dashstyle="solid"/>
            <w10:wrap type="none"/>
          </v:line>
        </w:pict>
      </w:r>
      <w:r>
        <w:rPr/>
        <w:pict>
          <v:line style="position:absolute;mso-position-horizontal-relative:page;mso-position-vertical-relative:paragraph;z-index:-69280" from="360.018005pt,68.786308pt" to="363.015005pt,68.786308pt" stroked="true" strokeweight=".405pt" strokecolor="#000000">
            <v:stroke dashstyle="solid"/>
            <w10:wrap type="none"/>
          </v:line>
        </w:pict>
      </w:r>
      <w:r>
        <w:rPr/>
        <w:t>on a 0–9 scale. Mean (median) </w:t>
      </w:r>
      <w:r>
        <w:rPr>
          <w:i/>
        </w:rPr>
        <w:t>C ACCR </w:t>
      </w:r>
      <w:r>
        <w:rPr/>
        <w:t>(i.e., negative non-operating ac- cruals) is 0.017 (0.009) and mean (median) </w:t>
      </w:r>
      <w:r>
        <w:rPr>
          <w:i/>
        </w:rPr>
        <w:t>C SKEW </w:t>
      </w:r>
      <w:r>
        <w:rPr/>
        <w:t>(i.e., the ratio of earn- ings</w:t>
      </w:r>
      <w:r>
        <w:rPr>
          <w:spacing w:val="-16"/>
        </w:rPr>
        <w:t> </w:t>
      </w:r>
      <w:r>
        <w:rPr/>
        <w:t>skewness</w:t>
      </w:r>
      <w:r>
        <w:rPr>
          <w:spacing w:val="-16"/>
        </w:rPr>
        <w:t> </w:t>
      </w:r>
      <w:r>
        <w:rPr/>
        <w:t>to</w:t>
      </w:r>
      <w:r>
        <w:rPr>
          <w:spacing w:val="-16"/>
        </w:rPr>
        <w:t> </w:t>
      </w:r>
      <w:r>
        <w:rPr/>
        <w:t>cash</w:t>
      </w:r>
      <w:r>
        <w:rPr>
          <w:spacing w:val="-16"/>
        </w:rPr>
        <w:t> </w:t>
      </w:r>
      <w:r>
        <w:rPr/>
        <w:t>flows</w:t>
      </w:r>
      <w:r>
        <w:rPr>
          <w:spacing w:val="-16"/>
        </w:rPr>
        <w:t> </w:t>
      </w:r>
      <w:r>
        <w:rPr/>
        <w:t>skewness)</w:t>
      </w:r>
      <w:r>
        <w:rPr>
          <w:spacing w:val="-16"/>
        </w:rPr>
        <w:t> </w:t>
      </w:r>
      <w:r>
        <w:rPr/>
        <w:t>is</w:t>
      </w:r>
      <w:r>
        <w:rPr>
          <w:spacing w:val="-16"/>
        </w:rPr>
        <w:t> </w:t>
      </w:r>
      <w:r>
        <w:rPr/>
        <w:t>0.820</w:t>
      </w:r>
      <w:r>
        <w:rPr>
          <w:spacing w:val="-16"/>
        </w:rPr>
        <w:t> </w:t>
      </w:r>
      <w:r>
        <w:rPr/>
        <w:t>(0.191),</w:t>
      </w:r>
      <w:r>
        <w:rPr>
          <w:spacing w:val="-16"/>
        </w:rPr>
        <w:t> </w:t>
      </w:r>
      <w:r>
        <w:rPr/>
        <w:t>generally</w:t>
      </w:r>
      <w:r>
        <w:rPr>
          <w:spacing w:val="-16"/>
        </w:rPr>
        <w:t> </w:t>
      </w:r>
      <w:r>
        <w:rPr/>
        <w:t>consistent with</w:t>
      </w:r>
      <w:r>
        <w:rPr>
          <w:spacing w:val="-5"/>
        </w:rPr>
        <w:t> </w:t>
      </w:r>
      <w:r>
        <w:rPr/>
        <w:t>prior</w:t>
      </w:r>
      <w:r>
        <w:rPr>
          <w:spacing w:val="-5"/>
        </w:rPr>
        <w:t> </w:t>
      </w:r>
      <w:r>
        <w:rPr/>
        <w:t>literature</w:t>
      </w:r>
      <w:r>
        <w:rPr>
          <w:spacing w:val="-5"/>
        </w:rPr>
        <w:t> </w:t>
      </w:r>
      <w:r>
        <w:rPr/>
        <w:t>(e.g.,</w:t>
      </w:r>
      <w:r>
        <w:rPr>
          <w:spacing w:val="-6"/>
        </w:rPr>
        <w:t> </w:t>
      </w:r>
      <w:r>
        <w:rPr/>
        <w:t>Givoly</w:t>
      </w:r>
      <w:r>
        <w:rPr>
          <w:spacing w:val="-6"/>
        </w:rPr>
        <w:t> </w:t>
      </w:r>
      <w:r>
        <w:rPr/>
        <w:t>and</w:t>
      </w:r>
      <w:r>
        <w:rPr>
          <w:spacing w:val="-5"/>
        </w:rPr>
        <w:t> </w:t>
      </w:r>
      <w:r>
        <w:rPr/>
        <w:t>Hayn</w:t>
      </w:r>
      <w:r>
        <w:rPr>
          <w:spacing w:val="-5"/>
        </w:rPr>
        <w:t> </w:t>
      </w:r>
      <w:r>
        <w:rPr/>
        <w:t>[2000],</w:t>
      </w:r>
      <w:r>
        <w:rPr>
          <w:spacing w:val="-6"/>
        </w:rPr>
        <w:t> </w:t>
      </w:r>
      <w:r>
        <w:rPr/>
        <w:t>Ahmed</w:t>
      </w:r>
      <w:r>
        <w:rPr>
          <w:spacing w:val="-5"/>
        </w:rPr>
        <w:t> </w:t>
      </w:r>
      <w:r>
        <w:rPr/>
        <w:t>and</w:t>
      </w:r>
      <w:r>
        <w:rPr>
          <w:spacing w:val="-5"/>
        </w:rPr>
        <w:t> </w:t>
      </w:r>
      <w:r>
        <w:rPr/>
        <w:t>Duellman [2007], </w:t>
      </w:r>
      <w:r>
        <w:rPr>
          <w:spacing w:val="-3"/>
        </w:rPr>
        <w:t>Beatty, </w:t>
      </w:r>
      <w:r>
        <w:rPr>
          <w:spacing w:val="-5"/>
        </w:rPr>
        <w:t>Weber, </w:t>
      </w:r>
      <w:r>
        <w:rPr/>
        <w:t>and </w:t>
      </w:r>
      <w:r>
        <w:rPr>
          <w:spacing w:val="-4"/>
        </w:rPr>
        <w:t>Yu </w:t>
      </w:r>
      <w:r>
        <w:rPr/>
        <w:t>[2008], and Zhang [2008]). Similar to Pen- man and Zhang [2002], our sample has a mean (median) </w:t>
      </w:r>
      <w:r>
        <w:rPr>
          <w:i/>
        </w:rPr>
        <w:t>C PZ </w:t>
      </w:r>
      <w:r>
        <w:rPr/>
        <w:t>of 0.356 (0.100). About half of our sample is in the post-ruling period (mean of </w:t>
      </w:r>
      <w:r>
        <w:rPr>
          <w:i/>
          <w:spacing w:val="-4"/>
        </w:rPr>
        <w:t>POST,</w:t>
      </w:r>
      <w:r>
        <w:rPr>
          <w:i/>
          <w:spacing w:val="-9"/>
        </w:rPr>
        <w:t> </w:t>
      </w:r>
      <w:r>
        <w:rPr/>
        <w:t>0.516).</w:t>
      </w:r>
      <w:r>
        <w:rPr>
          <w:spacing w:val="-9"/>
        </w:rPr>
        <w:t> </w:t>
      </w:r>
      <w:r>
        <w:rPr/>
        <w:t>Consistent</w:t>
      </w:r>
      <w:r>
        <w:rPr>
          <w:spacing w:val="-9"/>
        </w:rPr>
        <w:t> </w:t>
      </w:r>
      <w:r>
        <w:rPr/>
        <w:t>with</w:t>
      </w:r>
      <w:r>
        <w:rPr>
          <w:spacing w:val="-9"/>
        </w:rPr>
        <w:t> </w:t>
      </w:r>
      <w:r>
        <w:rPr/>
        <w:t>prior</w:t>
      </w:r>
      <w:r>
        <w:rPr>
          <w:spacing w:val="-9"/>
        </w:rPr>
        <w:t> </w:t>
      </w:r>
      <w:r>
        <w:rPr/>
        <w:t>findings</w:t>
      </w:r>
      <w:r>
        <w:rPr>
          <w:spacing w:val="-9"/>
        </w:rPr>
        <w:t> </w:t>
      </w:r>
      <w:r>
        <w:rPr/>
        <w:t>(e.g.,</w:t>
      </w:r>
      <w:r>
        <w:rPr>
          <w:spacing w:val="-9"/>
        </w:rPr>
        <w:t> </w:t>
      </w:r>
      <w:r>
        <w:rPr/>
        <w:t>Daines</w:t>
      </w:r>
      <w:r>
        <w:rPr>
          <w:spacing w:val="-9"/>
        </w:rPr>
        <w:t> </w:t>
      </w:r>
      <w:r>
        <w:rPr/>
        <w:t>[2001]),</w:t>
      </w:r>
      <w:r>
        <w:rPr>
          <w:spacing w:val="-9"/>
        </w:rPr>
        <w:t> </w:t>
      </w:r>
      <w:r>
        <w:rPr/>
        <w:t>approxi- mately</w:t>
      </w:r>
      <w:r>
        <w:rPr>
          <w:spacing w:val="-23"/>
        </w:rPr>
        <w:t> </w:t>
      </w:r>
      <w:r>
        <w:rPr/>
        <w:t>51%</w:t>
      </w:r>
      <w:r>
        <w:rPr>
          <w:spacing w:val="-23"/>
        </w:rPr>
        <w:t> </w:t>
      </w:r>
      <w:r>
        <w:rPr/>
        <w:t>of</w:t>
      </w:r>
      <w:r>
        <w:rPr>
          <w:spacing w:val="-23"/>
        </w:rPr>
        <w:t> </w:t>
      </w:r>
      <w:r>
        <w:rPr/>
        <w:t>firm-years</w:t>
      </w:r>
      <w:r>
        <w:rPr>
          <w:spacing w:val="-23"/>
        </w:rPr>
        <w:t> </w:t>
      </w:r>
      <w:r>
        <w:rPr/>
        <w:t>in</w:t>
      </w:r>
      <w:r>
        <w:rPr>
          <w:spacing w:val="-23"/>
        </w:rPr>
        <w:t> </w:t>
      </w:r>
      <w:r>
        <w:rPr/>
        <w:t>our</w:t>
      </w:r>
      <w:r>
        <w:rPr>
          <w:spacing w:val="-23"/>
        </w:rPr>
        <w:t> </w:t>
      </w:r>
      <w:r>
        <w:rPr/>
        <w:t>sample</w:t>
      </w:r>
      <w:r>
        <w:rPr>
          <w:spacing w:val="-23"/>
        </w:rPr>
        <w:t> </w:t>
      </w:r>
      <w:r>
        <w:rPr/>
        <w:t>correspond</w:t>
      </w:r>
      <w:r>
        <w:rPr>
          <w:spacing w:val="-23"/>
        </w:rPr>
        <w:t> </w:t>
      </w:r>
      <w:r>
        <w:rPr/>
        <w:t>to</w:t>
      </w:r>
      <w:r>
        <w:rPr>
          <w:spacing w:val="-23"/>
        </w:rPr>
        <w:t> </w:t>
      </w:r>
      <w:r>
        <w:rPr/>
        <w:t>firms</w:t>
      </w:r>
      <w:r>
        <w:rPr>
          <w:spacing w:val="-23"/>
        </w:rPr>
        <w:t> </w:t>
      </w:r>
      <w:r>
        <w:rPr/>
        <w:t>incorporated</w:t>
      </w:r>
      <w:r>
        <w:rPr>
          <w:spacing w:val="-23"/>
        </w:rPr>
        <w:t> </w:t>
      </w:r>
      <w:r>
        <w:rPr/>
        <w:t>in Delaware (mean of </w:t>
      </w:r>
      <w:r>
        <w:rPr>
          <w:i/>
        </w:rPr>
        <w:t>DEL</w:t>
      </w:r>
      <w:r>
        <w:rPr/>
        <w:t>, 0.507). Mean (median) </w:t>
      </w:r>
      <w:r>
        <w:rPr>
          <w:i/>
        </w:rPr>
        <w:t>EDF93 </w:t>
      </w:r>
      <w:r>
        <w:rPr/>
        <w:t>of 5.4% (0.002%) implies</w:t>
      </w:r>
      <w:r>
        <w:rPr>
          <w:spacing w:val="-4"/>
        </w:rPr>
        <w:t> </w:t>
      </w:r>
      <w:r>
        <w:rPr/>
        <w:t>that</w:t>
      </w:r>
      <w:r>
        <w:rPr>
          <w:spacing w:val="-4"/>
        </w:rPr>
        <w:t> </w:t>
      </w:r>
      <w:r>
        <w:rPr/>
        <w:t>the</w:t>
      </w:r>
      <w:r>
        <w:rPr>
          <w:spacing w:val="-4"/>
        </w:rPr>
        <w:t> </w:t>
      </w:r>
      <w:r>
        <w:rPr/>
        <w:t>1993</w:t>
      </w:r>
      <w:r>
        <w:rPr>
          <w:spacing w:val="-5"/>
        </w:rPr>
        <w:t> </w:t>
      </w:r>
      <w:r>
        <w:rPr/>
        <w:t>EDF</w:t>
      </w:r>
      <w:r>
        <w:rPr>
          <w:spacing w:val="-4"/>
        </w:rPr>
        <w:t> </w:t>
      </w:r>
      <w:r>
        <w:rPr/>
        <w:t>distribution</w:t>
      </w:r>
      <w:r>
        <w:rPr>
          <w:spacing w:val="-5"/>
        </w:rPr>
        <w:t> </w:t>
      </w:r>
      <w:r>
        <w:rPr/>
        <w:t>is</w:t>
      </w:r>
      <w:r>
        <w:rPr>
          <w:spacing w:val="-4"/>
        </w:rPr>
        <w:t> </w:t>
      </w:r>
      <w:r>
        <w:rPr/>
        <w:t>right</w:t>
      </w:r>
      <w:r>
        <w:rPr>
          <w:spacing w:val="-5"/>
        </w:rPr>
        <w:t> </w:t>
      </w:r>
      <w:r>
        <w:rPr/>
        <w:t>skewed,</w:t>
      </w:r>
      <w:r>
        <w:rPr>
          <w:spacing w:val="-4"/>
        </w:rPr>
        <w:t> </w:t>
      </w:r>
      <w:r>
        <w:rPr/>
        <w:t>that</w:t>
      </w:r>
      <w:r>
        <w:rPr>
          <w:spacing w:val="-4"/>
        </w:rPr>
        <w:t> </w:t>
      </w:r>
      <w:r>
        <w:rPr/>
        <w:t>is,</w:t>
      </w:r>
      <w:r>
        <w:rPr>
          <w:spacing w:val="-4"/>
        </w:rPr>
        <w:t> </w:t>
      </w:r>
      <w:r>
        <w:rPr/>
        <w:t>our</w:t>
      </w:r>
      <w:r>
        <w:rPr>
          <w:spacing w:val="-4"/>
        </w:rPr>
        <w:t> </w:t>
      </w:r>
      <w:r>
        <w:rPr/>
        <w:t>sample includes</w:t>
      </w:r>
      <w:r>
        <w:rPr>
          <w:spacing w:val="-10"/>
        </w:rPr>
        <w:t> </w:t>
      </w:r>
      <w:r>
        <w:rPr/>
        <w:t>some</w:t>
      </w:r>
      <w:r>
        <w:rPr>
          <w:spacing w:val="-10"/>
        </w:rPr>
        <w:t> </w:t>
      </w:r>
      <w:r>
        <w:rPr/>
        <w:t>firms</w:t>
      </w:r>
      <w:r>
        <w:rPr>
          <w:spacing w:val="-10"/>
        </w:rPr>
        <w:t> </w:t>
      </w:r>
      <w:r>
        <w:rPr/>
        <w:t>that</w:t>
      </w:r>
      <w:r>
        <w:rPr>
          <w:spacing w:val="-10"/>
        </w:rPr>
        <w:t> </w:t>
      </w:r>
      <w:r>
        <w:rPr/>
        <w:t>were</w:t>
      </w:r>
      <w:r>
        <w:rPr>
          <w:spacing w:val="-10"/>
        </w:rPr>
        <w:t> </w:t>
      </w:r>
      <w:r>
        <w:rPr/>
        <w:t>highly</w:t>
      </w:r>
      <w:r>
        <w:rPr>
          <w:spacing w:val="-10"/>
        </w:rPr>
        <w:t> </w:t>
      </w:r>
      <w:r>
        <w:rPr/>
        <w:t>distressed</w:t>
      </w:r>
      <w:r>
        <w:rPr>
          <w:spacing w:val="-11"/>
        </w:rPr>
        <w:t> </w:t>
      </w:r>
      <w:r>
        <w:rPr/>
        <w:t>in</w:t>
      </w:r>
      <w:r>
        <w:rPr>
          <w:spacing w:val="-10"/>
        </w:rPr>
        <w:t> </w:t>
      </w:r>
      <w:r>
        <w:rPr/>
        <w:t>1993.</w:t>
      </w:r>
      <w:r>
        <w:rPr>
          <w:color w:val="231F20"/>
          <w:position w:val="7"/>
          <w:sz w:val="14"/>
        </w:rPr>
        <w:t>25</w:t>
      </w:r>
      <w:r>
        <w:rPr>
          <w:color w:val="231F20"/>
          <w:spacing w:val="-3"/>
          <w:position w:val="7"/>
          <w:sz w:val="14"/>
        </w:rPr>
        <w:t> </w:t>
      </w:r>
      <w:r>
        <w:rPr/>
        <w:t>The</w:t>
      </w:r>
      <w:r>
        <w:rPr>
          <w:spacing w:val="-10"/>
        </w:rPr>
        <w:t> </w:t>
      </w:r>
      <w:r>
        <w:rPr/>
        <w:t>mean</w:t>
      </w:r>
      <w:r>
        <w:rPr>
          <w:spacing w:val="-10"/>
        </w:rPr>
        <w:t> </w:t>
      </w:r>
      <w:r>
        <w:rPr/>
        <w:t>value of </w:t>
      </w:r>
      <w:r>
        <w:rPr>
          <w:i/>
        </w:rPr>
        <w:t>HEDF93 </w:t>
      </w:r>
      <w:r>
        <w:rPr/>
        <w:t>(0.186) indicates that about 19% of sample firm-year observa- tions have a 1993 EDF score in the top quartile of its distribution. Mean (median) </w:t>
      </w:r>
      <w:r>
        <w:rPr>
          <w:i/>
        </w:rPr>
        <w:t>MVE </w:t>
      </w:r>
      <w:r>
        <w:rPr/>
        <w:t>of our sample is $852.401 (94.500) million, suggesting that our</w:t>
      </w:r>
      <w:r>
        <w:rPr>
          <w:spacing w:val="-17"/>
        </w:rPr>
        <w:t> </w:t>
      </w:r>
      <w:r>
        <w:rPr/>
        <w:t>sample</w:t>
      </w:r>
      <w:r>
        <w:rPr>
          <w:spacing w:val="-17"/>
        </w:rPr>
        <w:t> </w:t>
      </w:r>
      <w:r>
        <w:rPr/>
        <w:t>is</w:t>
      </w:r>
      <w:r>
        <w:rPr>
          <w:spacing w:val="-17"/>
        </w:rPr>
        <w:t> </w:t>
      </w:r>
      <w:r>
        <w:rPr/>
        <w:t>somewhat</w:t>
      </w:r>
      <w:r>
        <w:rPr>
          <w:spacing w:val="-17"/>
        </w:rPr>
        <w:t> </w:t>
      </w:r>
      <w:r>
        <w:rPr/>
        <w:t>skewed</w:t>
      </w:r>
      <w:r>
        <w:rPr>
          <w:spacing w:val="-17"/>
        </w:rPr>
        <w:t> </w:t>
      </w:r>
      <w:r>
        <w:rPr/>
        <w:t>toward</w:t>
      </w:r>
      <w:r>
        <w:rPr>
          <w:spacing w:val="-17"/>
        </w:rPr>
        <w:t> </w:t>
      </w:r>
      <w:r>
        <w:rPr/>
        <w:t>larger</w:t>
      </w:r>
      <w:r>
        <w:rPr>
          <w:spacing w:val="-17"/>
        </w:rPr>
        <w:t> </w:t>
      </w:r>
      <w:r>
        <w:rPr/>
        <w:t>firms.</w:t>
      </w:r>
      <w:r>
        <w:rPr>
          <w:spacing w:val="-17"/>
        </w:rPr>
        <w:t> </w:t>
      </w:r>
      <w:r>
        <w:rPr/>
        <w:t>Descriptive</w:t>
      </w:r>
      <w:r>
        <w:rPr>
          <w:spacing w:val="-17"/>
        </w:rPr>
        <w:t> </w:t>
      </w:r>
      <w:r>
        <w:rPr/>
        <w:t>statistics on</w:t>
      </w:r>
      <w:r>
        <w:rPr>
          <w:spacing w:val="-6"/>
        </w:rPr>
        <w:t> </w:t>
      </w:r>
      <w:r>
        <w:rPr/>
        <w:t>other</w:t>
      </w:r>
      <w:r>
        <w:rPr>
          <w:spacing w:val="-6"/>
        </w:rPr>
        <w:t> </w:t>
      </w:r>
      <w:r>
        <w:rPr/>
        <w:t>control</w:t>
      </w:r>
      <w:r>
        <w:rPr>
          <w:spacing w:val="-6"/>
        </w:rPr>
        <w:t> </w:t>
      </w:r>
      <w:r>
        <w:rPr/>
        <w:t>variables</w:t>
      </w:r>
      <w:r>
        <w:rPr>
          <w:spacing w:val="-6"/>
        </w:rPr>
        <w:t> </w:t>
      </w:r>
      <w:r>
        <w:rPr/>
        <w:t>are</w:t>
      </w:r>
      <w:r>
        <w:rPr>
          <w:spacing w:val="-6"/>
        </w:rPr>
        <w:t> </w:t>
      </w:r>
      <w:r>
        <w:rPr/>
        <w:t>in</w:t>
      </w:r>
      <w:r>
        <w:rPr>
          <w:spacing w:val="-6"/>
        </w:rPr>
        <w:t> </w:t>
      </w:r>
      <w:r>
        <w:rPr/>
        <w:t>general</w:t>
      </w:r>
      <w:r>
        <w:rPr>
          <w:spacing w:val="-5"/>
        </w:rPr>
        <w:t> </w:t>
      </w:r>
      <w:r>
        <w:rPr/>
        <w:t>consistent</w:t>
      </w:r>
      <w:r>
        <w:rPr>
          <w:spacing w:val="-6"/>
        </w:rPr>
        <w:t> </w:t>
      </w:r>
      <w:r>
        <w:rPr/>
        <w:t>with</w:t>
      </w:r>
      <w:r>
        <w:rPr>
          <w:spacing w:val="-6"/>
        </w:rPr>
        <w:t> </w:t>
      </w:r>
      <w:r>
        <w:rPr/>
        <w:t>expectations.</w:t>
      </w:r>
      <w:r>
        <w:rPr>
          <w:color w:val="231F20"/>
          <w:position w:val="7"/>
          <w:sz w:val="14"/>
        </w:rPr>
        <w:t>26</w:t>
      </w:r>
    </w:p>
    <w:p>
      <w:pPr>
        <w:pStyle w:val="BodyText"/>
        <w:spacing w:line="220" w:lineRule="exact"/>
        <w:ind w:left="579"/>
        <w:jc w:val="center"/>
      </w:pPr>
      <w:r>
        <w:rPr/>
        <w:t>Table 3 presents Spearman correlations among variables in our main</w:t>
      </w:r>
    </w:p>
    <w:p>
      <w:pPr>
        <w:pStyle w:val="BodyText"/>
        <w:spacing w:line="244" w:lineRule="exact"/>
        <w:ind w:left="381"/>
        <w:jc w:val="center"/>
      </w:pPr>
      <w:r>
        <w:rPr/>
        <w:pict>
          <v:line style="position:absolute;mso-position-horizontal-relative:page;mso-position-vertical-relative:paragraph;z-index:-69256" from="161.604004pt,9.164145pt" to="164.601004pt,9.164145pt" stroked="true" strokeweight=".405pt" strokecolor="#000000">
            <v:stroke dashstyle="solid"/>
            <w10:wrap type="none"/>
          </v:line>
        </w:pict>
      </w:r>
      <w:r>
        <w:rPr/>
        <w:t>sample. </w:t>
      </w:r>
      <w:r>
        <w:rPr>
          <w:i/>
        </w:rPr>
        <w:t>CRANK ALL </w:t>
      </w:r>
      <w:r>
        <w:rPr/>
        <w:t>is negatively correlated with firm size, supporting</w:t>
      </w:r>
    </w:p>
    <w:p>
      <w:pPr>
        <w:pStyle w:val="BodyText"/>
        <w:spacing w:before="10"/>
        <w:rPr>
          <w:sz w:val="28"/>
        </w:rPr>
      </w:pPr>
      <w:r>
        <w:rPr/>
        <w:pict>
          <v:line style="position:absolute;mso-position-horizontal-relative:page;mso-position-vertical-relative:paragraph;z-index:2368;mso-wrap-distance-left:0;mso-wrap-distance-right:0" from="90.629997pt,20.177671pt" to="126.503997pt,20.177671pt" stroked="true" strokeweight=".504pt" strokecolor="#000000">
            <v:stroke dashstyle="solid"/>
            <w10:wrap type="topAndBottom"/>
          </v:line>
        </w:pict>
      </w:r>
    </w:p>
    <w:p>
      <w:pPr>
        <w:spacing w:before="75"/>
        <w:ind w:left="532" w:right="138" w:firstLine="179"/>
        <w:jc w:val="left"/>
        <w:rPr>
          <w:sz w:val="16"/>
        </w:rPr>
      </w:pPr>
      <w:r>
        <w:rPr>
          <w:color w:val="231F20"/>
          <w:position w:val="6"/>
          <w:sz w:val="12"/>
        </w:rPr>
        <w:t>25 </w:t>
      </w:r>
      <w:r>
        <w:rPr>
          <w:color w:val="231F20"/>
          <w:sz w:val="16"/>
        </w:rPr>
        <w:t>In section 6, we run several robustness tests to disentangle the effect of including firms that may be practically insolvent or extremely distressed.</w:t>
      </w:r>
    </w:p>
    <w:p>
      <w:pPr>
        <w:spacing w:line="199" w:lineRule="exact" w:before="0"/>
        <w:ind w:left="711" w:right="0" w:firstLine="0"/>
        <w:jc w:val="left"/>
        <w:rPr>
          <w:sz w:val="16"/>
        </w:rPr>
      </w:pPr>
      <w:r>
        <w:rPr>
          <w:color w:val="231F20"/>
          <w:position w:val="6"/>
          <w:sz w:val="12"/>
        </w:rPr>
        <w:t>26 </w:t>
      </w:r>
      <w:r>
        <w:rPr>
          <w:color w:val="231F20"/>
          <w:sz w:val="16"/>
        </w:rPr>
        <w:t>We  collect the measures of board characteristics from Compact Disclosure disks only</w:t>
      </w:r>
    </w:p>
    <w:p>
      <w:pPr>
        <w:spacing w:before="0"/>
        <w:ind w:left="532" w:right="149" w:firstLine="0"/>
        <w:jc w:val="both"/>
        <w:rPr>
          <w:sz w:val="16"/>
        </w:rPr>
      </w:pPr>
      <w:r>
        <w:rPr>
          <w:color w:val="231F20"/>
          <w:sz w:val="16"/>
        </w:rPr>
        <w:t>for the post-period between 1993 and 1996 because data for the pre-ruling period was not available</w:t>
      </w:r>
      <w:r>
        <w:rPr>
          <w:color w:val="231F20"/>
          <w:spacing w:val="-15"/>
          <w:sz w:val="16"/>
        </w:rPr>
        <w:t> </w:t>
      </w:r>
      <w:r>
        <w:rPr>
          <w:color w:val="231F20"/>
          <w:sz w:val="16"/>
        </w:rPr>
        <w:t>to</w:t>
      </w:r>
      <w:r>
        <w:rPr>
          <w:color w:val="231F20"/>
          <w:spacing w:val="-15"/>
          <w:sz w:val="16"/>
        </w:rPr>
        <w:t> </w:t>
      </w:r>
      <w:r>
        <w:rPr>
          <w:color w:val="231F20"/>
          <w:sz w:val="16"/>
        </w:rPr>
        <w:t>us.</w:t>
      </w:r>
      <w:r>
        <w:rPr>
          <w:color w:val="231F20"/>
          <w:spacing w:val="-15"/>
          <w:sz w:val="16"/>
        </w:rPr>
        <w:t> </w:t>
      </w:r>
      <w:r>
        <w:rPr>
          <w:color w:val="231F20"/>
          <w:sz w:val="16"/>
        </w:rPr>
        <w:t>In</w:t>
      </w:r>
      <w:r>
        <w:rPr>
          <w:color w:val="231F20"/>
          <w:spacing w:val="-15"/>
          <w:sz w:val="16"/>
        </w:rPr>
        <w:t> </w:t>
      </w:r>
      <w:r>
        <w:rPr>
          <w:color w:val="231F20"/>
          <w:sz w:val="16"/>
        </w:rPr>
        <w:t>this</w:t>
      </w:r>
      <w:r>
        <w:rPr>
          <w:color w:val="231F20"/>
          <w:spacing w:val="-15"/>
          <w:sz w:val="16"/>
        </w:rPr>
        <w:t> </w:t>
      </w:r>
      <w:r>
        <w:rPr>
          <w:color w:val="231F20"/>
          <w:sz w:val="16"/>
        </w:rPr>
        <w:t>smaller</w:t>
      </w:r>
      <w:r>
        <w:rPr>
          <w:color w:val="231F20"/>
          <w:spacing w:val="-15"/>
          <w:sz w:val="16"/>
        </w:rPr>
        <w:t> </w:t>
      </w:r>
      <w:r>
        <w:rPr>
          <w:color w:val="231F20"/>
          <w:sz w:val="16"/>
        </w:rPr>
        <w:t>sample</w:t>
      </w:r>
      <w:r>
        <w:rPr>
          <w:color w:val="231F20"/>
          <w:spacing w:val="-15"/>
          <w:sz w:val="16"/>
        </w:rPr>
        <w:t> </w:t>
      </w:r>
      <w:r>
        <w:rPr>
          <w:color w:val="231F20"/>
          <w:sz w:val="16"/>
        </w:rPr>
        <w:t>of</w:t>
      </w:r>
      <w:r>
        <w:rPr>
          <w:color w:val="231F20"/>
          <w:spacing w:val="-15"/>
          <w:sz w:val="16"/>
        </w:rPr>
        <w:t> </w:t>
      </w:r>
      <w:r>
        <w:rPr>
          <w:color w:val="231F20"/>
          <w:sz w:val="16"/>
        </w:rPr>
        <w:t>6,584</w:t>
      </w:r>
      <w:r>
        <w:rPr>
          <w:color w:val="231F20"/>
          <w:spacing w:val="-15"/>
          <w:sz w:val="16"/>
        </w:rPr>
        <w:t> </w:t>
      </w:r>
      <w:r>
        <w:rPr>
          <w:color w:val="231F20"/>
          <w:sz w:val="16"/>
        </w:rPr>
        <w:t>observations</w:t>
      </w:r>
      <w:r>
        <w:rPr>
          <w:color w:val="231F20"/>
          <w:spacing w:val="-15"/>
          <w:sz w:val="16"/>
        </w:rPr>
        <w:t> </w:t>
      </w:r>
      <w:r>
        <w:rPr>
          <w:color w:val="231F20"/>
          <w:sz w:val="16"/>
        </w:rPr>
        <w:t>(i.e.,</w:t>
      </w:r>
      <w:r>
        <w:rPr>
          <w:color w:val="231F20"/>
          <w:spacing w:val="-15"/>
          <w:sz w:val="16"/>
        </w:rPr>
        <w:t> </w:t>
      </w:r>
      <w:r>
        <w:rPr>
          <w:color w:val="231F20"/>
          <w:sz w:val="16"/>
        </w:rPr>
        <w:t>in</w:t>
      </w:r>
      <w:r>
        <w:rPr>
          <w:color w:val="231F20"/>
          <w:spacing w:val="-15"/>
          <w:sz w:val="16"/>
        </w:rPr>
        <w:t> </w:t>
      </w:r>
      <w:r>
        <w:rPr>
          <w:color w:val="231F20"/>
          <w:sz w:val="16"/>
        </w:rPr>
        <w:t>the</w:t>
      </w:r>
      <w:r>
        <w:rPr>
          <w:color w:val="231F20"/>
          <w:spacing w:val="-15"/>
          <w:sz w:val="16"/>
        </w:rPr>
        <w:t> </w:t>
      </w:r>
      <w:r>
        <w:rPr>
          <w:color w:val="231F20"/>
          <w:sz w:val="16"/>
        </w:rPr>
        <w:t>post-ruling</w:t>
      </w:r>
      <w:r>
        <w:rPr>
          <w:color w:val="231F20"/>
          <w:spacing w:val="-15"/>
          <w:sz w:val="16"/>
        </w:rPr>
        <w:t> </w:t>
      </w:r>
      <w:r>
        <w:rPr>
          <w:color w:val="231F20"/>
          <w:sz w:val="16"/>
        </w:rPr>
        <w:t>period</w:t>
      </w:r>
      <w:r>
        <w:rPr>
          <w:color w:val="231F20"/>
          <w:spacing w:val="-15"/>
          <w:sz w:val="16"/>
        </w:rPr>
        <w:t> </w:t>
      </w:r>
      <w:r>
        <w:rPr>
          <w:color w:val="231F20"/>
          <w:sz w:val="16"/>
        </w:rPr>
        <w:t>with available</w:t>
      </w:r>
      <w:r>
        <w:rPr>
          <w:color w:val="231F20"/>
          <w:spacing w:val="-11"/>
          <w:sz w:val="16"/>
        </w:rPr>
        <w:t> </w:t>
      </w:r>
      <w:r>
        <w:rPr>
          <w:color w:val="231F20"/>
          <w:sz w:val="16"/>
        </w:rPr>
        <w:t>governance</w:t>
      </w:r>
      <w:r>
        <w:rPr>
          <w:color w:val="231F20"/>
          <w:spacing w:val="-11"/>
          <w:sz w:val="16"/>
        </w:rPr>
        <w:t> </w:t>
      </w:r>
      <w:r>
        <w:rPr>
          <w:color w:val="231F20"/>
          <w:sz w:val="16"/>
        </w:rPr>
        <w:t>data),</w:t>
      </w:r>
      <w:r>
        <w:rPr>
          <w:color w:val="231F20"/>
          <w:spacing w:val="-11"/>
          <w:sz w:val="16"/>
        </w:rPr>
        <w:t> </w:t>
      </w:r>
      <w:r>
        <w:rPr>
          <w:color w:val="231F20"/>
          <w:sz w:val="16"/>
        </w:rPr>
        <w:t>the</w:t>
      </w:r>
      <w:r>
        <w:rPr>
          <w:color w:val="231F20"/>
          <w:spacing w:val="-11"/>
          <w:sz w:val="16"/>
        </w:rPr>
        <w:t> </w:t>
      </w:r>
      <w:r>
        <w:rPr>
          <w:color w:val="231F20"/>
          <w:sz w:val="16"/>
        </w:rPr>
        <w:t>average</w:t>
      </w:r>
      <w:r>
        <w:rPr>
          <w:color w:val="231F20"/>
          <w:spacing w:val="-11"/>
          <w:sz w:val="16"/>
        </w:rPr>
        <w:t> </w:t>
      </w:r>
      <w:r>
        <w:rPr>
          <w:i/>
          <w:color w:val="231F20"/>
          <w:sz w:val="16"/>
        </w:rPr>
        <w:t>BRDSIZE</w:t>
      </w:r>
      <w:r>
        <w:rPr>
          <w:i/>
          <w:color w:val="231F20"/>
          <w:spacing w:val="-11"/>
          <w:sz w:val="16"/>
        </w:rPr>
        <w:t> </w:t>
      </w:r>
      <w:r>
        <w:rPr>
          <w:color w:val="231F20"/>
          <w:sz w:val="16"/>
        </w:rPr>
        <w:t>is</w:t>
      </w:r>
      <w:r>
        <w:rPr>
          <w:color w:val="231F20"/>
          <w:spacing w:val="-11"/>
          <w:sz w:val="16"/>
        </w:rPr>
        <w:t> </w:t>
      </w:r>
      <w:r>
        <w:rPr>
          <w:color w:val="231F20"/>
          <w:sz w:val="16"/>
        </w:rPr>
        <w:t>8.226,</w:t>
      </w:r>
      <w:r>
        <w:rPr>
          <w:color w:val="231F20"/>
          <w:spacing w:val="-11"/>
          <w:sz w:val="16"/>
        </w:rPr>
        <w:t> </w:t>
      </w:r>
      <w:r>
        <w:rPr>
          <w:color w:val="231F20"/>
          <w:sz w:val="16"/>
        </w:rPr>
        <w:t>indicating</w:t>
      </w:r>
      <w:r>
        <w:rPr>
          <w:color w:val="231F20"/>
          <w:spacing w:val="-11"/>
          <w:sz w:val="16"/>
        </w:rPr>
        <w:t> </w:t>
      </w:r>
      <w:r>
        <w:rPr>
          <w:color w:val="231F20"/>
          <w:sz w:val="16"/>
        </w:rPr>
        <w:t>that</w:t>
      </w:r>
      <w:r>
        <w:rPr>
          <w:color w:val="231F20"/>
          <w:spacing w:val="-11"/>
          <w:sz w:val="16"/>
        </w:rPr>
        <w:t> </w:t>
      </w:r>
      <w:r>
        <w:rPr>
          <w:color w:val="231F20"/>
          <w:sz w:val="16"/>
        </w:rPr>
        <w:t>a</w:t>
      </w:r>
      <w:r>
        <w:rPr>
          <w:color w:val="231F20"/>
          <w:spacing w:val="-11"/>
          <w:sz w:val="16"/>
        </w:rPr>
        <w:t> </w:t>
      </w:r>
      <w:r>
        <w:rPr>
          <w:color w:val="231F20"/>
          <w:sz w:val="16"/>
        </w:rPr>
        <w:t>typical</w:t>
      </w:r>
      <w:r>
        <w:rPr>
          <w:color w:val="231F20"/>
          <w:spacing w:val="-11"/>
          <w:sz w:val="16"/>
        </w:rPr>
        <w:t> </w:t>
      </w:r>
      <w:r>
        <w:rPr>
          <w:color w:val="231F20"/>
          <w:sz w:val="16"/>
        </w:rPr>
        <w:t>corporate</w:t>
      </w:r>
    </w:p>
    <w:p>
      <w:pPr>
        <w:spacing w:after="0"/>
        <w:jc w:val="both"/>
        <w:rPr>
          <w:sz w:val="16"/>
        </w:rPr>
        <w:sectPr>
          <w:pgSz w:w="9720" w:h="14400"/>
          <w:pgMar w:header="1066" w:footer="0" w:top="1300" w:bottom="280" w:left="1280" w:right="1300"/>
        </w:sectPr>
      </w:pPr>
    </w:p>
    <w:p>
      <w:pPr>
        <w:pStyle w:val="BodyText"/>
        <w:spacing w:before="8"/>
        <w:rPr>
          <w:sz w:val="14"/>
        </w:rPr>
      </w:pPr>
    </w:p>
    <w:p>
      <w:pPr>
        <w:spacing w:before="0"/>
        <w:ind w:left="495" w:right="889" w:firstLine="0"/>
        <w:jc w:val="center"/>
        <w:rPr>
          <w:rFonts w:ascii="Times New Roman"/>
          <w:b/>
          <w:sz w:val="16"/>
        </w:rPr>
      </w:pPr>
      <w:r>
        <w:rPr>
          <w:rFonts w:ascii="Times New Roman"/>
          <w:b/>
          <w:color w:val="231F20"/>
          <w:sz w:val="16"/>
        </w:rPr>
        <w:t>TA B L E  3</w:t>
      </w:r>
    </w:p>
    <w:p>
      <w:pPr>
        <w:spacing w:before="16"/>
        <w:ind w:left="495" w:right="852" w:firstLine="0"/>
        <w:jc w:val="center"/>
        <w:rPr>
          <w:i/>
          <w:sz w:val="16"/>
        </w:rPr>
      </w:pPr>
      <w:r>
        <w:rPr/>
        <w:pict>
          <v:group style="position:absolute;margin-left:72.125999pt;margin-top:11.473228pt;width:322.8pt;height:2.6pt;mso-position-horizontal-relative:page;mso-position-vertical-relative:paragraph;z-index:2560" coordorigin="1443,229" coordsize="6456,52">
            <v:line style="position:absolute" from="1443,235" to="7898,235" stroked="true" strokeweight=".504pt" strokecolor="#000000">
              <v:stroke dashstyle="solid"/>
            </v:line>
            <v:line style="position:absolute" from="1443,276" to="7898,276" stroked="true" strokeweight=".504pt" strokecolor="#000000">
              <v:stroke dashstyle="solid"/>
            </v:line>
            <w10:wrap type="none"/>
          </v:group>
        </w:pict>
      </w:r>
      <w:r>
        <w:rPr>
          <w:i/>
          <w:color w:val="231F20"/>
          <w:sz w:val="16"/>
        </w:rPr>
        <w:t>Correlation Matrix</w:t>
      </w:r>
    </w:p>
    <w:p>
      <w:pPr>
        <w:tabs>
          <w:tab w:pos="2451" w:val="left" w:leader="none"/>
          <w:tab w:pos="3022" w:val="left" w:leader="none"/>
          <w:tab w:pos="3594" w:val="left" w:leader="none"/>
          <w:tab w:pos="4165" w:val="left" w:leader="none"/>
          <w:tab w:pos="4736" w:val="left" w:leader="none"/>
          <w:tab w:pos="5307" w:val="left" w:leader="none"/>
          <w:tab w:pos="5817" w:val="left" w:leader="none"/>
          <w:tab w:pos="6410" w:val="right" w:leader="none"/>
        </w:tabs>
        <w:spacing w:before="125"/>
        <w:ind w:left="1160" w:right="0" w:firstLine="0"/>
        <w:jc w:val="left"/>
        <w:rPr>
          <w:i/>
          <w:sz w:val="16"/>
        </w:rPr>
      </w:pPr>
      <w:r>
        <w:rPr/>
        <w:pict>
          <v:line style="position:absolute;mso-position-horizontal-relative:page;mso-position-vertical-relative:paragraph;z-index:2584" from="72.125999pt,18.102369pt" to="394.919999pt,18.102369pt" stroked="true" strokeweight=".504pt" strokecolor="#000000">
            <v:stroke dashstyle="solid"/>
            <w10:wrap type="none"/>
          </v:line>
        </w:pict>
      </w:r>
      <w:r>
        <w:rPr>
          <w:i/>
          <w:color w:val="231F20"/>
          <w:w w:val="105"/>
          <w:sz w:val="16"/>
        </w:rPr>
        <w:t>1</w:t>
      </w:r>
      <w:r>
        <w:rPr>
          <w:i/>
          <w:color w:val="231F20"/>
          <w:spacing w:val="-9"/>
          <w:w w:val="105"/>
          <w:sz w:val="16"/>
        </w:rPr>
        <w:t> </w:t>
      </w:r>
      <w:r>
        <w:rPr>
          <w:i/>
          <w:color w:val="231F20"/>
          <w:w w:val="105"/>
          <w:sz w:val="16"/>
        </w:rPr>
        <w:t>CRANK</w:t>
      </w:r>
      <w:r>
        <w:rPr>
          <w:i/>
          <w:color w:val="231F20"/>
          <w:spacing w:val="-9"/>
          <w:w w:val="105"/>
          <w:sz w:val="16"/>
        </w:rPr>
        <w:t> </w:t>
      </w:r>
      <w:r>
        <w:rPr>
          <w:i/>
          <w:color w:val="231F20"/>
          <w:w w:val="105"/>
          <w:sz w:val="16"/>
        </w:rPr>
        <w:t>ALL</w:t>
        <w:tab/>
        <w:t>2</w:t>
        <w:tab/>
        <w:t>3</w:t>
        <w:tab/>
        <w:t>4</w:t>
        <w:tab/>
        <w:t>5</w:t>
        <w:tab/>
        <w:t>6</w:t>
        <w:tab/>
        <w:t>7</w:t>
        <w:tab/>
        <w:t>8</w:t>
        <w:tab/>
        <w:t>9</w:t>
      </w:r>
    </w:p>
    <w:p>
      <w:pPr>
        <w:tabs>
          <w:tab w:pos="1915" w:val="right" w:leader="none"/>
        </w:tabs>
        <w:spacing w:before="81"/>
        <w:ind w:left="162" w:right="0" w:firstLine="0"/>
        <w:jc w:val="left"/>
        <w:rPr>
          <w:rFonts w:ascii="Times New Roman"/>
          <w:b/>
          <w:sz w:val="16"/>
        </w:rPr>
      </w:pPr>
      <w:r>
        <w:rPr/>
        <w:pict>
          <v:line style="position:absolute;mso-position-horizontal-relative:page;mso-position-vertical-relative:paragraph;z-index:-69112" from="76.751999pt,11.315771pt" to="79.154999pt,11.315771pt" stroked="true" strokeweight=".405pt" strokecolor="#000000">
            <v:stroke dashstyle="solid"/>
            <w10:wrap type="none"/>
          </v:line>
        </w:pict>
      </w:r>
      <w:r>
        <w:rPr>
          <w:i/>
          <w:color w:val="231F20"/>
          <w:sz w:val="16"/>
        </w:rPr>
        <w:t>2</w:t>
      </w:r>
      <w:r>
        <w:rPr>
          <w:i/>
          <w:color w:val="231F20"/>
          <w:spacing w:val="15"/>
          <w:sz w:val="16"/>
        </w:rPr>
        <w:t> </w:t>
      </w:r>
      <w:r>
        <w:rPr>
          <w:i/>
          <w:color w:val="231F20"/>
          <w:sz w:val="16"/>
        </w:rPr>
        <w:t>POST</w:t>
        <w:tab/>
      </w:r>
      <w:r>
        <w:rPr>
          <w:rFonts w:ascii="Times New Roman"/>
          <w:b/>
          <w:color w:val="231F20"/>
          <w:sz w:val="16"/>
        </w:rPr>
        <w:t>0.065</w:t>
      </w:r>
    </w:p>
    <w:p>
      <w:pPr>
        <w:spacing w:before="6"/>
        <w:ind w:left="1542" w:right="0" w:firstLine="0"/>
        <w:jc w:val="left"/>
        <w:rPr>
          <w:b/>
          <w:i/>
          <w:sz w:val="16"/>
        </w:rPr>
      </w:pPr>
      <w:r>
        <w:rPr>
          <w:b/>
          <w:i/>
          <w:color w:val="231F20"/>
          <w:sz w:val="16"/>
        </w:rPr>
        <w:t>0.00</w:t>
      </w:r>
    </w:p>
    <w:p>
      <w:pPr>
        <w:tabs>
          <w:tab w:pos="1538" w:val="left" w:leader="none"/>
          <w:tab w:pos="2739" w:val="right" w:leader="none"/>
        </w:tabs>
        <w:spacing w:before="1"/>
        <w:ind w:left="162" w:right="0" w:firstLine="0"/>
        <w:jc w:val="left"/>
        <w:rPr>
          <w:sz w:val="16"/>
        </w:rPr>
      </w:pPr>
      <w:r>
        <w:rPr/>
        <w:pict>
          <v:line style="position:absolute;mso-position-horizontal-relative:page;mso-position-vertical-relative:paragraph;z-index:-69088" from="76.751999pt,7.530284pt" to="79.154999pt,7.530284pt" stroked="true" strokeweight=".405pt" strokecolor="#000000">
            <v:stroke dashstyle="solid"/>
            <w10:wrap type="none"/>
          </v:line>
        </w:pict>
      </w:r>
      <w:r>
        <w:rPr>
          <w:i/>
          <w:color w:val="231F20"/>
          <w:w w:val="105"/>
          <w:sz w:val="16"/>
        </w:rPr>
        <w:t>3</w:t>
      </w:r>
      <w:r>
        <w:rPr>
          <w:i/>
          <w:color w:val="231F20"/>
          <w:spacing w:val="0"/>
          <w:w w:val="105"/>
          <w:sz w:val="16"/>
        </w:rPr>
        <w:t> </w:t>
      </w:r>
      <w:r>
        <w:rPr>
          <w:i/>
          <w:color w:val="231F20"/>
          <w:w w:val="105"/>
          <w:sz w:val="16"/>
        </w:rPr>
        <w:t>DEL</w:t>
        <w:tab/>
      </w:r>
      <w:r>
        <w:rPr>
          <w:rFonts w:ascii="Times New Roman"/>
          <w:b/>
          <w:color w:val="231F20"/>
          <w:w w:val="105"/>
          <w:sz w:val="16"/>
        </w:rPr>
        <w:t>0.054</w:t>
        <w:tab/>
      </w:r>
      <w:r>
        <w:rPr>
          <w:color w:val="231F20"/>
          <w:w w:val="105"/>
          <w:sz w:val="16"/>
        </w:rPr>
        <w:t>0.012</w:t>
      </w:r>
    </w:p>
    <w:p>
      <w:pPr>
        <w:tabs>
          <w:tab w:pos="2366" w:val="left" w:leader="none"/>
        </w:tabs>
        <w:spacing w:before="6"/>
        <w:ind w:left="1542" w:right="0" w:firstLine="0"/>
        <w:jc w:val="left"/>
        <w:rPr>
          <w:i/>
          <w:sz w:val="16"/>
        </w:rPr>
      </w:pPr>
      <w:r>
        <w:rPr>
          <w:b/>
          <w:i/>
          <w:color w:val="231F20"/>
          <w:w w:val="105"/>
          <w:sz w:val="16"/>
        </w:rPr>
        <w:t>0.00</w:t>
        <w:tab/>
      </w:r>
      <w:r>
        <w:rPr>
          <w:i/>
          <w:color w:val="231F20"/>
          <w:w w:val="105"/>
          <w:sz w:val="16"/>
        </w:rPr>
        <w:t>0.11</w:t>
      </w:r>
    </w:p>
    <w:p>
      <w:pPr>
        <w:tabs>
          <w:tab w:pos="1538" w:val="left" w:leader="none"/>
          <w:tab w:pos="2366" w:val="left" w:leader="none"/>
          <w:tab w:pos="3310" w:val="right" w:leader="none"/>
        </w:tabs>
        <w:spacing w:before="1"/>
        <w:ind w:left="162" w:right="0" w:firstLine="0"/>
        <w:jc w:val="left"/>
        <w:rPr>
          <w:sz w:val="16"/>
        </w:rPr>
      </w:pPr>
      <w:r>
        <w:rPr/>
        <w:pict>
          <v:line style="position:absolute;mso-position-horizontal-relative:page;mso-position-vertical-relative:paragraph;z-index:-69064" from="76.751999pt,7.530381pt" to="79.154999pt,7.530381pt" stroked="true" strokeweight=".405pt" strokecolor="#000000">
            <v:stroke dashstyle="solid"/>
            <w10:wrap type="none"/>
          </v:line>
        </w:pict>
      </w:r>
      <w:r>
        <w:rPr/>
        <w:pict>
          <v:shape style="position:absolute;margin-left:176.092133pt;margin-top:1.381221pt;width:6.25pt;height:14pt;mso-position-horizontal-relative:page;mso-position-vertical-relative:paragraph;z-index:-6882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7"/>
                      <w:sz w:val="16"/>
                    </w:rPr>
                    <w:t>−</w:t>
                  </w:r>
                </w:p>
              </w:txbxContent>
            </v:textbox>
            <w10:wrap type="none"/>
          </v:shape>
        </w:pict>
      </w:r>
      <w:r>
        <w:rPr>
          <w:i/>
          <w:color w:val="231F20"/>
          <w:sz w:val="16"/>
        </w:rPr>
        <w:t>4</w:t>
      </w:r>
      <w:r>
        <w:rPr>
          <w:i/>
          <w:color w:val="231F20"/>
          <w:spacing w:val="5"/>
          <w:sz w:val="16"/>
        </w:rPr>
        <w:t> </w:t>
      </w:r>
      <w:r>
        <w:rPr>
          <w:i/>
          <w:color w:val="231F20"/>
          <w:sz w:val="16"/>
        </w:rPr>
        <w:t>HEDF93</w:t>
        <w:tab/>
      </w:r>
      <w:r>
        <w:rPr>
          <w:rFonts w:ascii="Times New Roman"/>
          <w:b/>
          <w:color w:val="231F20"/>
          <w:sz w:val="16"/>
        </w:rPr>
        <w:t>0.031</w:t>
        <w:tab/>
      </w:r>
      <w:r>
        <w:rPr>
          <w:color w:val="231F20"/>
          <w:sz w:val="16"/>
        </w:rPr>
        <w:t>0.009</w:t>
        <w:tab/>
        <w:t>0.012</w:t>
      </w:r>
    </w:p>
    <w:p>
      <w:pPr>
        <w:tabs>
          <w:tab w:pos="2366" w:val="left" w:leader="none"/>
          <w:tab w:pos="2937" w:val="left" w:leader="none"/>
        </w:tabs>
        <w:spacing w:before="6"/>
        <w:ind w:left="1542" w:right="0" w:firstLine="0"/>
        <w:jc w:val="left"/>
        <w:rPr>
          <w:i/>
          <w:sz w:val="16"/>
        </w:rPr>
      </w:pPr>
      <w:r>
        <w:rPr>
          <w:b/>
          <w:i/>
          <w:color w:val="231F20"/>
          <w:w w:val="105"/>
          <w:sz w:val="16"/>
        </w:rPr>
        <w:t>0.00</w:t>
        <w:tab/>
      </w:r>
      <w:r>
        <w:rPr>
          <w:i/>
          <w:color w:val="231F20"/>
          <w:w w:val="105"/>
          <w:sz w:val="16"/>
        </w:rPr>
        <w:t>0.24</w:t>
        <w:tab/>
        <w:t>0.10</w:t>
      </w:r>
    </w:p>
    <w:p>
      <w:pPr>
        <w:tabs>
          <w:tab w:pos="1538" w:val="left" w:leader="none"/>
          <w:tab w:pos="2366" w:val="left" w:leader="none"/>
          <w:tab w:pos="3884" w:val="right" w:leader="none"/>
        </w:tabs>
        <w:spacing w:before="5"/>
        <w:ind w:left="162" w:right="0" w:firstLine="0"/>
        <w:jc w:val="left"/>
        <w:rPr>
          <w:rFonts w:ascii="Times New Roman"/>
          <w:b/>
          <w:sz w:val="16"/>
        </w:rPr>
      </w:pPr>
      <w:r>
        <w:rPr/>
        <w:pict>
          <v:line style="position:absolute;mso-position-horizontal-relative:page;mso-position-vertical-relative:paragraph;z-index:-69040" from="76.751999pt,7.51545pt" to="79.154999pt,7.51545pt" stroked="true" strokeweight=".405pt" strokecolor="#000000">
            <v:stroke dashstyle="solid"/>
            <w10:wrap type="none"/>
          </v:line>
        </w:pict>
      </w:r>
      <w:r>
        <w:rPr/>
        <w:pict>
          <v:shape style="position:absolute;margin-left:134.720108pt;margin-top:.568281pt;width:104.75pt;height:14.65pt;mso-position-horizontal-relative:page;mso-position-vertical-relative:paragraph;z-index:-68776" type="#_x0000_t202" filled="false" stroked="false">
            <v:textbox inset="0,0,0,0">
              <w:txbxContent>
                <w:p>
                  <w:pPr>
                    <w:tabs>
                      <w:tab w:pos="1969"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r>
                  <w:r>
                    <w:rPr>
                      <w:rFonts w:ascii="Swis721 BT" w:hAnsi="Swis721 BT"/>
                      <w:b/>
                      <w:color w:val="231F20"/>
                      <w:w w:val="90"/>
                      <w:sz w:val="16"/>
                    </w:rPr>
                    <w:t>−</w:t>
                  </w:r>
                </w:p>
              </w:txbxContent>
            </v:textbox>
            <w10:wrap type="none"/>
          </v:shape>
        </w:pict>
      </w:r>
      <w:r>
        <w:rPr>
          <w:i/>
          <w:color w:val="231F20"/>
          <w:w w:val="105"/>
          <w:sz w:val="16"/>
        </w:rPr>
        <w:t>5</w:t>
      </w:r>
      <w:r>
        <w:rPr>
          <w:i/>
          <w:color w:val="231F20"/>
          <w:spacing w:val="-16"/>
          <w:w w:val="105"/>
          <w:sz w:val="16"/>
        </w:rPr>
        <w:t> </w:t>
      </w:r>
      <w:r>
        <w:rPr>
          <w:i/>
          <w:color w:val="231F20"/>
          <w:w w:val="105"/>
          <w:sz w:val="16"/>
        </w:rPr>
        <w:t>LNMVE</w:t>
        <w:tab/>
      </w:r>
      <w:r>
        <w:rPr>
          <w:rFonts w:ascii="Times New Roman"/>
          <w:b/>
          <w:color w:val="231F20"/>
          <w:w w:val="105"/>
          <w:sz w:val="16"/>
        </w:rPr>
        <w:t>0.057</w:t>
        <w:tab/>
        <w:t>0.102   </w:t>
      </w:r>
      <w:r>
        <w:rPr>
          <w:rFonts w:ascii="Times New Roman"/>
          <w:b/>
          <w:color w:val="231F20"/>
          <w:spacing w:val="16"/>
          <w:w w:val="105"/>
          <w:sz w:val="16"/>
        </w:rPr>
        <w:t> </w:t>
      </w:r>
      <w:r>
        <w:rPr>
          <w:rFonts w:ascii="Times New Roman"/>
          <w:b/>
          <w:color w:val="231F20"/>
          <w:w w:val="105"/>
          <w:sz w:val="16"/>
        </w:rPr>
        <w:t>0.058</w:t>
        <w:tab/>
        <w:t>0.412</w:t>
      </w:r>
    </w:p>
    <w:p>
      <w:pPr>
        <w:tabs>
          <w:tab w:pos="2369" w:val="left" w:leader="none"/>
          <w:tab w:pos="2940" w:val="left" w:leader="none"/>
          <w:tab w:pos="3511" w:val="left" w:leader="none"/>
        </w:tabs>
        <w:spacing w:before="6"/>
        <w:ind w:left="1542" w:right="0" w:firstLine="0"/>
        <w:jc w:val="left"/>
        <w:rPr>
          <w:b/>
          <w:i/>
          <w:sz w:val="16"/>
        </w:rPr>
      </w:pPr>
      <w:r>
        <w:rPr>
          <w:b/>
          <w:i/>
          <w:color w:val="231F20"/>
          <w:sz w:val="16"/>
        </w:rPr>
        <w:t>0.00</w:t>
        <w:tab/>
        <w:t>0.00</w:t>
        <w:tab/>
        <w:t>0.00</w:t>
        <w:tab/>
        <w:t>0.00</w:t>
      </w:r>
    </w:p>
    <w:p>
      <w:pPr>
        <w:tabs>
          <w:tab w:pos="1538" w:val="left" w:leader="none"/>
          <w:tab w:pos="2366" w:val="left" w:leader="none"/>
          <w:tab w:pos="4456" w:val="right" w:leader="none"/>
        </w:tabs>
        <w:spacing w:before="1"/>
        <w:ind w:left="162" w:right="0" w:firstLine="0"/>
        <w:jc w:val="left"/>
        <w:rPr>
          <w:rFonts w:ascii="Times New Roman"/>
          <w:b/>
          <w:sz w:val="16"/>
        </w:rPr>
      </w:pPr>
      <w:r>
        <w:rPr/>
        <w:pict>
          <v:line style="position:absolute;mso-position-horizontal-relative:page;mso-position-vertical-relative:paragraph;z-index:-69016" from="76.751999pt,7.530269pt" to="79.154999pt,7.530269pt" stroked="true" strokeweight=".405pt" strokecolor="#000000">
            <v:stroke dashstyle="solid"/>
            <w10:wrap type="none"/>
          </v:line>
        </w:pict>
      </w:r>
      <w:r>
        <w:rPr/>
        <w:pict>
          <v:shape style="position:absolute;margin-left:134.720917pt;margin-top:.583099pt;width:6.25pt;height:14.65pt;mso-position-horizontal-relative:page;mso-position-vertical-relative:paragraph;z-index:-68800" type="#_x0000_t202" filled="false" stroked="false">
            <v:textbox inset="0,0,0,0">
              <w:txbxContent>
                <w:p>
                  <w:pPr>
                    <w:spacing w:line="181" w:lineRule="exact" w:before="0"/>
                    <w:ind w:left="0" w:right="0" w:firstLine="0"/>
                    <w:jc w:val="left"/>
                    <w:rPr>
                      <w:rFonts w:ascii="Swis721 BT" w:hAnsi="Swis721 BT"/>
                      <w:b/>
                      <w:sz w:val="16"/>
                    </w:rPr>
                  </w:pPr>
                  <w:r>
                    <w:rPr>
                      <w:rFonts w:ascii="Swis721 BT" w:hAnsi="Swis721 BT"/>
                      <w:b/>
                      <w:color w:val="231F20"/>
                      <w:w w:val="93"/>
                      <w:sz w:val="16"/>
                    </w:rPr>
                    <w:t>−</w:t>
                  </w:r>
                </w:p>
              </w:txbxContent>
            </v:textbox>
            <w10:wrap type="none"/>
          </v:shape>
        </w:pict>
      </w:r>
      <w:r>
        <w:rPr>
          <w:i/>
          <w:color w:val="231F20"/>
          <w:w w:val="105"/>
          <w:sz w:val="16"/>
        </w:rPr>
        <w:t>6 LEV</w:t>
        <w:tab/>
      </w:r>
      <w:r>
        <w:rPr>
          <w:rFonts w:ascii="Times New Roman"/>
          <w:b/>
          <w:color w:val="231F20"/>
          <w:w w:val="105"/>
          <w:sz w:val="16"/>
        </w:rPr>
        <w:t>0.102</w:t>
        <w:tab/>
      </w:r>
      <w:r>
        <w:rPr>
          <w:color w:val="231F20"/>
          <w:w w:val="105"/>
          <w:sz w:val="16"/>
        </w:rPr>
        <w:t>0.003   </w:t>
      </w:r>
      <w:r>
        <w:rPr>
          <w:color w:val="231F20"/>
          <w:spacing w:val="20"/>
          <w:w w:val="105"/>
          <w:sz w:val="16"/>
        </w:rPr>
        <w:t> </w:t>
      </w:r>
      <w:r>
        <w:rPr>
          <w:rFonts w:ascii="Times New Roman"/>
          <w:b/>
          <w:color w:val="231F20"/>
          <w:w w:val="105"/>
          <w:sz w:val="16"/>
        </w:rPr>
        <w:t>0.025   </w:t>
      </w:r>
      <w:r>
        <w:rPr>
          <w:rFonts w:ascii="Times New Roman"/>
          <w:b/>
          <w:color w:val="231F20"/>
          <w:spacing w:val="17"/>
          <w:w w:val="105"/>
          <w:sz w:val="16"/>
        </w:rPr>
        <w:t> </w:t>
      </w:r>
      <w:r>
        <w:rPr>
          <w:rFonts w:ascii="Times New Roman"/>
          <w:b/>
          <w:color w:val="231F20"/>
          <w:w w:val="105"/>
          <w:sz w:val="16"/>
        </w:rPr>
        <w:t>0.111</w:t>
        <w:tab/>
        <w:t>0.120</w:t>
      </w:r>
    </w:p>
    <w:p>
      <w:pPr>
        <w:tabs>
          <w:tab w:pos="2366" w:val="left" w:leader="none"/>
          <w:tab w:pos="2940" w:val="left" w:leader="none"/>
          <w:tab w:pos="3511" w:val="left" w:leader="none"/>
          <w:tab w:pos="4082" w:val="left" w:leader="none"/>
        </w:tabs>
        <w:spacing w:before="6"/>
        <w:ind w:left="1542" w:right="0" w:firstLine="0"/>
        <w:jc w:val="left"/>
        <w:rPr>
          <w:b/>
          <w:i/>
          <w:sz w:val="16"/>
        </w:rPr>
      </w:pPr>
      <w:r>
        <w:rPr>
          <w:b/>
          <w:i/>
          <w:color w:val="231F20"/>
          <w:sz w:val="16"/>
        </w:rPr>
        <w:t>0.00</w:t>
        <w:tab/>
      </w:r>
      <w:r>
        <w:rPr>
          <w:i/>
          <w:color w:val="231F20"/>
          <w:sz w:val="16"/>
        </w:rPr>
        <w:t>0.65</w:t>
        <w:tab/>
      </w:r>
      <w:r>
        <w:rPr>
          <w:b/>
          <w:i/>
          <w:color w:val="231F20"/>
          <w:sz w:val="16"/>
        </w:rPr>
        <w:t>0.00</w:t>
        <w:tab/>
        <w:t>0.00</w:t>
        <w:tab/>
        <w:t>0.00</w:t>
      </w:r>
    </w:p>
    <w:p>
      <w:pPr>
        <w:tabs>
          <w:tab w:pos="1538" w:val="left" w:leader="none"/>
          <w:tab w:pos="2366" w:val="left" w:leader="none"/>
          <w:tab w:pos="5024" w:val="right" w:leader="none"/>
        </w:tabs>
        <w:spacing w:before="0"/>
        <w:ind w:left="162" w:right="0" w:firstLine="0"/>
        <w:jc w:val="left"/>
        <w:rPr>
          <w:sz w:val="16"/>
        </w:rPr>
      </w:pPr>
      <w:r>
        <w:rPr/>
        <w:pict>
          <v:line style="position:absolute;mso-position-horizontal-relative:page;mso-position-vertical-relative:paragraph;z-index:-68992" from="76.751999pt,7.480274pt" to="79.154999pt,7.480274pt" stroked="true" strokeweight=".405pt" strokecolor="#000000">
            <v:stroke dashstyle="solid"/>
            <w10:wrap type="none"/>
          </v:line>
        </w:pict>
      </w:r>
      <w:r>
        <w:rPr/>
        <w:pict>
          <v:shape style="position:absolute;margin-left:134.720108pt;margin-top:.533104pt;width:161.85pt;height:14.8pt;mso-position-horizontal-relative:page;mso-position-vertical-relative:paragraph;z-index:-68704" type="#_x0000_t202" filled="false" stroked="false">
            <v:textbox inset="0,0,0,0">
              <w:txbxContent>
                <w:p>
                  <w:pPr>
                    <w:tabs>
                      <w:tab w:pos="827" w:val="left" w:leader="none"/>
                      <w:tab w:pos="1398" w:val="left" w:leader="none"/>
                      <w:tab w:pos="2540" w:val="left" w:leader="none"/>
                      <w:tab w:pos="3111" w:val="left" w:leader="none"/>
                    </w:tabs>
                    <w:spacing w:line="213" w:lineRule="exact" w:before="0"/>
                    <w:ind w:left="0" w:right="0" w:firstLine="0"/>
                    <w:jc w:val="left"/>
                    <w:rPr>
                      <w:rFonts w:ascii="Lucida Sans Unicode" w:hAnsi="Lucida Sans Unicode"/>
                      <w:sz w:val="16"/>
                    </w:rPr>
                  </w:pPr>
                  <w:r>
                    <w:rPr>
                      <w:rFonts w:ascii="Swis721 BT" w:hAnsi="Swis721 BT"/>
                      <w:b/>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w w:val="105"/>
          <w:sz w:val="16"/>
        </w:rPr>
        <w:t>7</w:t>
      </w:r>
      <w:r>
        <w:rPr>
          <w:i/>
          <w:color w:val="231F20"/>
          <w:spacing w:val="3"/>
          <w:w w:val="105"/>
          <w:sz w:val="16"/>
        </w:rPr>
        <w:t> </w:t>
      </w:r>
      <w:r>
        <w:rPr>
          <w:i/>
          <w:color w:val="231F20"/>
          <w:w w:val="105"/>
          <w:sz w:val="16"/>
        </w:rPr>
        <w:t>BTM</w:t>
        <w:tab/>
      </w:r>
      <w:r>
        <w:rPr>
          <w:rFonts w:ascii="Times New Roman"/>
          <w:b/>
          <w:color w:val="231F20"/>
          <w:w w:val="105"/>
          <w:sz w:val="16"/>
        </w:rPr>
        <w:t>0.083</w:t>
        <w:tab/>
        <w:t>0.102     0.072  </w:t>
      </w:r>
      <w:r>
        <w:rPr>
          <w:rFonts w:ascii="Times New Roman"/>
          <w:b/>
          <w:color w:val="231F20"/>
          <w:spacing w:val="37"/>
          <w:w w:val="105"/>
          <w:sz w:val="16"/>
        </w:rPr>
        <w:t> </w:t>
      </w:r>
      <w:r>
        <w:rPr>
          <w:rFonts w:ascii="Times New Roman"/>
          <w:b/>
          <w:color w:val="231F20"/>
          <w:w w:val="105"/>
          <w:sz w:val="16"/>
        </w:rPr>
        <w:t>0.153   </w:t>
      </w:r>
      <w:r>
        <w:rPr>
          <w:rFonts w:ascii="Times New Roman"/>
          <w:b/>
          <w:color w:val="231F20"/>
          <w:spacing w:val="18"/>
          <w:w w:val="105"/>
          <w:sz w:val="16"/>
        </w:rPr>
        <w:t> </w:t>
      </w:r>
      <w:r>
        <w:rPr>
          <w:rFonts w:ascii="Times New Roman"/>
          <w:b/>
          <w:color w:val="231F20"/>
          <w:w w:val="105"/>
          <w:sz w:val="16"/>
        </w:rPr>
        <w:t>0.347</w:t>
        <w:tab/>
      </w:r>
      <w:r>
        <w:rPr>
          <w:color w:val="231F20"/>
          <w:w w:val="105"/>
          <w:sz w:val="16"/>
        </w:rPr>
        <w:t>0.002</w:t>
      </w:r>
    </w:p>
    <w:p>
      <w:pPr>
        <w:tabs>
          <w:tab w:pos="2369" w:val="left" w:leader="none"/>
          <w:tab w:pos="2940" w:val="left" w:leader="none"/>
          <w:tab w:pos="3511" w:val="left" w:leader="none"/>
          <w:tab w:pos="4082" w:val="left" w:leader="none"/>
          <w:tab w:pos="4650" w:val="left" w:leader="none"/>
        </w:tabs>
        <w:spacing w:before="6"/>
        <w:ind w:left="1542" w:right="0" w:firstLine="0"/>
        <w:jc w:val="left"/>
        <w:rPr>
          <w:i/>
          <w:sz w:val="16"/>
        </w:rPr>
      </w:pPr>
      <w:r>
        <w:rPr>
          <w:b/>
          <w:i/>
          <w:color w:val="231F20"/>
          <w:sz w:val="16"/>
        </w:rPr>
        <w:t>0.00</w:t>
        <w:tab/>
        <w:t>0.00</w:t>
        <w:tab/>
        <w:t>0.00</w:t>
        <w:tab/>
        <w:t>0.00</w:t>
        <w:tab/>
        <w:t>0.00</w:t>
        <w:tab/>
      </w:r>
      <w:r>
        <w:rPr>
          <w:i/>
          <w:color w:val="231F20"/>
          <w:sz w:val="16"/>
        </w:rPr>
        <w:t>0.77</w:t>
      </w:r>
    </w:p>
    <w:p>
      <w:pPr>
        <w:tabs>
          <w:tab w:pos="1538" w:val="left" w:leader="none"/>
          <w:tab w:pos="2366" w:val="left" w:leader="none"/>
          <w:tab w:pos="5598" w:val="right" w:leader="none"/>
        </w:tabs>
        <w:spacing w:before="5"/>
        <w:ind w:left="162" w:right="0" w:firstLine="0"/>
        <w:jc w:val="left"/>
        <w:rPr>
          <w:rFonts w:ascii="Times New Roman"/>
          <w:b/>
          <w:sz w:val="16"/>
        </w:rPr>
      </w:pPr>
      <w:r>
        <w:rPr/>
        <w:pict>
          <v:line style="position:absolute;mso-position-horizontal-relative:page;mso-position-vertical-relative:paragraph;z-index:-68968" from="76.751999pt,7.515436pt" to="79.154999pt,7.515436pt" stroked="true" strokeweight=".405pt" strokecolor="#000000">
            <v:stroke dashstyle="solid"/>
            <w10:wrap type="none"/>
          </v:line>
        </w:pict>
      </w:r>
      <w:r>
        <w:rPr/>
        <w:pict>
          <v:shape style="position:absolute;margin-left:134.720108pt;margin-top:.568166pt;width:190.4pt;height:14.65pt;mso-position-horizontal-relative:page;mso-position-vertical-relative:paragraph;z-index:-68680" type="#_x0000_t202" filled="false" stroked="false">
            <v:textbox inset="0,0,0,0">
              <w:txbxContent>
                <w:p>
                  <w:pPr>
                    <w:tabs>
                      <w:tab w:pos="827" w:val="left" w:leader="none"/>
                      <w:tab w:pos="1969" w:val="left" w:leader="none"/>
                      <w:tab w:pos="3111" w:val="left" w:leader="none"/>
                      <w:tab w:pos="3682"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t>−</w:t>
                    <w:tab/>
                    <w:t>−</w:t>
                    <w:tab/>
                    <w:t>−</w:t>
                    <w:tab/>
                  </w:r>
                  <w:r>
                    <w:rPr>
                      <w:rFonts w:ascii="Swis721 BT" w:hAnsi="Swis721 BT"/>
                      <w:b/>
                      <w:color w:val="231F20"/>
                      <w:w w:val="90"/>
                      <w:sz w:val="16"/>
                    </w:rPr>
                    <w:t>−</w:t>
                  </w:r>
                </w:p>
              </w:txbxContent>
            </v:textbox>
            <w10:wrap type="none"/>
          </v:shape>
        </w:pict>
      </w:r>
      <w:r>
        <w:rPr>
          <w:i/>
          <w:color w:val="231F20"/>
          <w:w w:val="105"/>
          <w:sz w:val="16"/>
        </w:rPr>
        <w:t>8</w:t>
      </w:r>
      <w:r>
        <w:rPr>
          <w:i/>
          <w:color w:val="231F20"/>
          <w:spacing w:val="-15"/>
          <w:w w:val="105"/>
          <w:sz w:val="16"/>
        </w:rPr>
        <w:t> </w:t>
      </w:r>
      <w:r>
        <w:rPr>
          <w:i/>
          <w:color w:val="231F20"/>
          <w:w w:val="105"/>
          <w:sz w:val="16"/>
        </w:rPr>
        <w:t>GROWTH</w:t>
        <w:tab/>
      </w:r>
      <w:r>
        <w:rPr>
          <w:rFonts w:ascii="Times New Roman"/>
          <w:b/>
          <w:color w:val="231F20"/>
          <w:w w:val="105"/>
          <w:sz w:val="16"/>
        </w:rPr>
        <w:t>0.072</w:t>
        <w:tab/>
        <w:t>0.064     0.028     0.098  </w:t>
      </w:r>
      <w:r>
        <w:rPr>
          <w:rFonts w:ascii="Times New Roman"/>
          <w:b/>
          <w:color w:val="231F20"/>
          <w:spacing w:val="15"/>
          <w:w w:val="105"/>
          <w:sz w:val="16"/>
        </w:rPr>
        <w:t> </w:t>
      </w:r>
      <w:r>
        <w:rPr>
          <w:rFonts w:ascii="Times New Roman"/>
          <w:b/>
          <w:color w:val="231F20"/>
          <w:w w:val="105"/>
          <w:sz w:val="16"/>
        </w:rPr>
        <w:t>0.152   </w:t>
      </w:r>
      <w:r>
        <w:rPr>
          <w:rFonts w:ascii="Times New Roman"/>
          <w:b/>
          <w:color w:val="231F20"/>
          <w:spacing w:val="18"/>
          <w:w w:val="105"/>
          <w:sz w:val="16"/>
        </w:rPr>
        <w:t> </w:t>
      </w:r>
      <w:r>
        <w:rPr>
          <w:rFonts w:ascii="Times New Roman"/>
          <w:b/>
          <w:color w:val="231F20"/>
          <w:w w:val="105"/>
          <w:sz w:val="16"/>
        </w:rPr>
        <w:t>0.071</w:t>
        <w:tab/>
        <w:t>0.309</w:t>
      </w:r>
    </w:p>
    <w:p>
      <w:pPr>
        <w:tabs>
          <w:tab w:pos="2369" w:val="left" w:leader="none"/>
          <w:tab w:pos="2940" w:val="left" w:leader="none"/>
          <w:tab w:pos="3511" w:val="left" w:leader="none"/>
          <w:tab w:pos="4082" w:val="left" w:leader="none"/>
          <w:tab w:pos="4653" w:val="left" w:leader="none"/>
          <w:tab w:pos="5224" w:val="left" w:leader="none"/>
        </w:tabs>
        <w:spacing w:before="7"/>
        <w:ind w:left="1542" w:right="0" w:firstLine="0"/>
        <w:jc w:val="left"/>
        <w:rPr>
          <w:b/>
          <w:i/>
          <w:sz w:val="16"/>
        </w:rPr>
      </w:pPr>
      <w:r>
        <w:rPr>
          <w:b/>
          <w:i/>
          <w:color w:val="231F20"/>
          <w:sz w:val="16"/>
        </w:rPr>
        <w:t>0.00</w:t>
        <w:tab/>
        <w:t>0.00</w:t>
        <w:tab/>
        <w:t>0.00</w:t>
        <w:tab/>
        <w:t>0.00</w:t>
        <w:tab/>
        <w:t>0.00</w:t>
        <w:tab/>
        <w:t>0.00</w:t>
        <w:tab/>
        <w:t>0.00</w:t>
      </w:r>
    </w:p>
    <w:p>
      <w:pPr>
        <w:tabs>
          <w:tab w:pos="1538" w:val="left" w:leader="none"/>
          <w:tab w:pos="2366" w:val="left" w:leader="none"/>
          <w:tab w:pos="6046" w:val="right" w:leader="none"/>
        </w:tabs>
        <w:spacing w:before="0"/>
        <w:ind w:left="162" w:right="0" w:firstLine="0"/>
        <w:jc w:val="left"/>
        <w:rPr>
          <w:rFonts w:ascii="Times New Roman"/>
          <w:b/>
          <w:sz w:val="16"/>
        </w:rPr>
      </w:pPr>
      <w:r>
        <w:rPr/>
        <w:pict>
          <v:line style="position:absolute;mso-position-horizontal-relative:page;mso-position-vertical-relative:paragraph;z-index:-68944" from="76.751999pt,7.480165pt" to="79.154999pt,7.480165pt" stroked="true" strokeweight=".405pt" strokecolor="#000000">
            <v:stroke dashstyle="solid"/>
            <w10:wrap type="none"/>
          </v:line>
        </w:pict>
      </w:r>
      <w:r>
        <w:rPr/>
        <w:pict>
          <v:shape style="position:absolute;margin-left:233.205719pt;margin-top:.532995pt;width:91.9pt;height:14.8pt;mso-position-horizontal-relative:page;mso-position-vertical-relative:paragraph;z-index:-68728" type="#_x0000_t202" filled="false" stroked="false">
            <v:textbox inset="0,0,0,0">
              <w:txbxContent>
                <w:p>
                  <w:pPr>
                    <w:tabs>
                      <w:tab w:pos="570" w:val="left" w:leader="none"/>
                      <w:tab w:pos="1141" w:val="left" w:leader="none"/>
                      <w:tab w:pos="1713" w:val="left" w:leader="none"/>
                    </w:tabs>
                    <w:spacing w:line="213" w:lineRule="exact" w:before="0"/>
                    <w:ind w:left="0" w:right="0" w:firstLine="0"/>
                    <w:jc w:val="left"/>
                    <w:rPr>
                      <w:rFonts w:ascii="Swis721 BT" w:hAnsi="Swis721 BT"/>
                      <w:b/>
                      <w:sz w:val="16"/>
                    </w:rPr>
                  </w:pPr>
                  <w:r>
                    <w:rPr>
                      <w:rFonts w:ascii="Lucida Sans Unicode" w:hAnsi="Lucida Sans Unicode"/>
                      <w:color w:val="231F20"/>
                      <w:sz w:val="16"/>
                    </w:rPr>
                    <w:t>−</w:t>
                    <w:tab/>
                  </w:r>
                  <w:r>
                    <w:rPr>
                      <w:rFonts w:ascii="Swis721 BT" w:hAnsi="Swis721 BT"/>
                      <w:b/>
                      <w:color w:val="231F20"/>
                      <w:sz w:val="16"/>
                    </w:rPr>
                    <w:t>−</w:t>
                    <w:tab/>
                    <w:t>−</w:t>
                    <w:tab/>
                  </w:r>
                  <w:r>
                    <w:rPr>
                      <w:rFonts w:ascii="Swis721 BT" w:hAnsi="Swis721 BT"/>
                      <w:b/>
                      <w:color w:val="231F20"/>
                      <w:w w:val="90"/>
                      <w:sz w:val="16"/>
                    </w:rPr>
                    <w:t>−</w:t>
                  </w:r>
                </w:p>
              </w:txbxContent>
            </v:textbox>
            <w10:wrap type="none"/>
          </v:shape>
        </w:pict>
      </w:r>
      <w:r>
        <w:rPr>
          <w:i/>
          <w:color w:val="231F20"/>
          <w:w w:val="105"/>
          <w:sz w:val="16"/>
        </w:rPr>
        <w:t>9</w:t>
      </w:r>
      <w:r>
        <w:rPr>
          <w:i/>
          <w:color w:val="231F20"/>
          <w:spacing w:val="6"/>
          <w:w w:val="105"/>
          <w:sz w:val="16"/>
        </w:rPr>
        <w:t> </w:t>
      </w:r>
      <w:r>
        <w:rPr>
          <w:i/>
          <w:color w:val="231F20"/>
          <w:w w:val="105"/>
          <w:sz w:val="16"/>
        </w:rPr>
        <w:t>LITIG</w:t>
        <w:tab/>
      </w:r>
      <w:r>
        <w:rPr>
          <w:rFonts w:ascii="Times New Roman"/>
          <w:b/>
          <w:color w:val="231F20"/>
          <w:w w:val="105"/>
          <w:sz w:val="16"/>
        </w:rPr>
        <w:t>0.173</w:t>
        <w:tab/>
        <w:t>0.013     0.064     </w:t>
      </w:r>
      <w:r>
        <w:rPr>
          <w:color w:val="231F20"/>
          <w:w w:val="105"/>
          <w:sz w:val="16"/>
        </w:rPr>
        <w:t>0.010  </w:t>
      </w:r>
      <w:r>
        <w:rPr>
          <w:color w:val="231F20"/>
          <w:spacing w:val="25"/>
          <w:w w:val="105"/>
          <w:sz w:val="16"/>
        </w:rPr>
        <w:t> </w:t>
      </w:r>
      <w:r>
        <w:rPr>
          <w:rFonts w:ascii="Times New Roman"/>
          <w:b/>
          <w:color w:val="231F20"/>
          <w:w w:val="105"/>
          <w:sz w:val="16"/>
        </w:rPr>
        <w:t>0.052   </w:t>
      </w:r>
      <w:r>
        <w:rPr>
          <w:rFonts w:ascii="Times New Roman"/>
          <w:b/>
          <w:color w:val="231F20"/>
          <w:spacing w:val="20"/>
          <w:w w:val="105"/>
          <w:sz w:val="16"/>
        </w:rPr>
        <w:t> </w:t>
      </w:r>
      <w:r>
        <w:rPr>
          <w:rFonts w:ascii="Times New Roman"/>
          <w:b/>
          <w:color w:val="231F20"/>
          <w:w w:val="105"/>
          <w:sz w:val="16"/>
        </w:rPr>
        <w:t>0.165</w:t>
        <w:tab/>
        <w:t>0.106</w:t>
      </w:r>
      <w:r>
        <w:rPr>
          <w:rFonts w:ascii="Times New Roman"/>
          <w:b/>
          <w:color w:val="231F20"/>
          <w:spacing w:val="28"/>
          <w:w w:val="105"/>
          <w:sz w:val="16"/>
        </w:rPr>
        <w:t> </w:t>
      </w:r>
      <w:r>
        <w:rPr>
          <w:rFonts w:ascii="Times New Roman"/>
          <w:b/>
          <w:color w:val="231F20"/>
          <w:w w:val="105"/>
          <w:sz w:val="16"/>
        </w:rPr>
        <w:t>0.055</w:t>
      </w:r>
    </w:p>
    <w:p>
      <w:pPr>
        <w:tabs>
          <w:tab w:pos="2369" w:val="left" w:leader="none"/>
          <w:tab w:pos="2940" w:val="left" w:leader="none"/>
          <w:tab w:pos="3508" w:val="left" w:leader="none"/>
          <w:tab w:pos="4082" w:val="left" w:leader="none"/>
          <w:tab w:pos="4653" w:val="left" w:leader="none"/>
          <w:tab w:pos="5224" w:val="left" w:leader="none"/>
        </w:tabs>
        <w:spacing w:before="6"/>
        <w:ind w:left="1542" w:right="0" w:firstLine="0"/>
        <w:jc w:val="left"/>
        <w:rPr>
          <w:b/>
          <w:i/>
          <w:sz w:val="16"/>
        </w:rPr>
      </w:pPr>
      <w:r>
        <w:rPr>
          <w:b/>
          <w:i/>
          <w:color w:val="231F20"/>
          <w:sz w:val="16"/>
        </w:rPr>
        <w:t>0.00</w:t>
        <w:tab/>
        <w:t>0.07</w:t>
        <w:tab/>
        <w:t>0.00</w:t>
        <w:tab/>
      </w:r>
      <w:r>
        <w:rPr>
          <w:i/>
          <w:color w:val="231F20"/>
          <w:sz w:val="16"/>
        </w:rPr>
        <w:t>0.17</w:t>
        <w:tab/>
      </w:r>
      <w:r>
        <w:rPr>
          <w:b/>
          <w:i/>
          <w:color w:val="231F20"/>
          <w:sz w:val="16"/>
        </w:rPr>
        <w:t>0.00</w:t>
        <w:tab/>
        <w:t>0.00</w:t>
        <w:tab/>
        <w:t>0.00</w:t>
      </w:r>
      <w:r>
        <w:rPr>
          <w:b/>
          <w:i/>
          <w:color w:val="231F20"/>
          <w:spacing w:val="3"/>
          <w:sz w:val="16"/>
        </w:rPr>
        <w:t> </w:t>
      </w:r>
      <w:r>
        <w:rPr>
          <w:b/>
          <w:i/>
          <w:color w:val="231F20"/>
          <w:sz w:val="16"/>
        </w:rPr>
        <w:t>0.00</w:t>
      </w:r>
    </w:p>
    <w:p>
      <w:pPr>
        <w:tabs>
          <w:tab w:pos="1538" w:val="left" w:leader="none"/>
          <w:tab w:pos="2366" w:val="left" w:leader="none"/>
          <w:tab w:pos="6617" w:val="right" w:leader="none"/>
        </w:tabs>
        <w:spacing w:before="5"/>
        <w:ind w:left="162" w:right="0" w:firstLine="0"/>
        <w:jc w:val="left"/>
        <w:rPr>
          <w:rFonts w:ascii="Times New Roman"/>
          <w:b/>
          <w:sz w:val="16"/>
        </w:rPr>
      </w:pPr>
      <w:r>
        <w:rPr/>
        <w:pict>
          <v:line style="position:absolute;mso-position-horizontal-relative:page;mso-position-vertical-relative:paragraph;z-index:-68920" from="80.901001pt,7.515449pt" to="83.304001pt,7.515449pt" stroked="true" strokeweight=".405pt" strokecolor="#000000">
            <v:stroke dashstyle="solid"/>
            <w10:wrap type="none"/>
          </v:line>
        </w:pict>
      </w:r>
      <w:r>
        <w:rPr/>
        <w:pict>
          <v:shape style="position:absolute;margin-left:233.204865pt;margin-top:.568279pt;width:142.9pt;height:14.65pt;mso-position-horizontal-relative:page;mso-position-vertical-relative:paragraph;z-index:-68752" type="#_x0000_t202" filled="false" stroked="false">
            <v:textbox inset="0,0,0,0">
              <w:txbxContent>
                <w:p>
                  <w:pPr>
                    <w:tabs>
                      <w:tab w:pos="1713" w:val="left" w:leader="none"/>
                      <w:tab w:pos="2732" w:val="left" w:leader="none"/>
                    </w:tabs>
                    <w:spacing w:line="181" w:lineRule="exact" w:before="0"/>
                    <w:ind w:left="0" w:right="0" w:firstLine="0"/>
                    <w:jc w:val="left"/>
                    <w:rPr>
                      <w:rFonts w:ascii="Swis721 BT" w:hAnsi="Swis721 BT"/>
                      <w:b/>
                      <w:sz w:val="16"/>
                    </w:rPr>
                  </w:pPr>
                  <w:r>
                    <w:rPr>
                      <w:rFonts w:ascii="Swis721 BT" w:hAnsi="Swis721 BT"/>
                      <w:b/>
                      <w:color w:val="231F20"/>
                      <w:sz w:val="16"/>
                    </w:rPr>
                    <w:t>−</w:t>
                    <w:tab/>
                    <w:t>−</w:t>
                    <w:tab/>
                  </w:r>
                  <w:r>
                    <w:rPr>
                      <w:rFonts w:ascii="Swis721 BT" w:hAnsi="Swis721 BT"/>
                      <w:b/>
                      <w:color w:val="231F20"/>
                      <w:w w:val="90"/>
                      <w:sz w:val="16"/>
                    </w:rPr>
                    <w:t>−</w:t>
                  </w:r>
                </w:p>
              </w:txbxContent>
            </v:textbox>
            <w10:wrap type="none"/>
          </v:shape>
        </w:pict>
      </w:r>
      <w:r>
        <w:rPr>
          <w:i/>
          <w:color w:val="231F20"/>
          <w:sz w:val="16"/>
        </w:rPr>
        <w:t>10</w:t>
      </w:r>
      <w:r>
        <w:rPr>
          <w:i/>
          <w:color w:val="231F20"/>
          <w:spacing w:val="-5"/>
          <w:sz w:val="16"/>
        </w:rPr>
        <w:t> </w:t>
      </w:r>
      <w:r>
        <w:rPr>
          <w:i/>
          <w:color w:val="231F20"/>
          <w:sz w:val="16"/>
        </w:rPr>
        <w:t>INSTOWN</w:t>
        <w:tab/>
      </w:r>
      <w:r>
        <w:rPr>
          <w:rFonts w:ascii="Times New Roman"/>
          <w:b/>
          <w:color w:val="231F20"/>
          <w:w w:val="105"/>
          <w:sz w:val="16"/>
        </w:rPr>
        <w:t>0.055</w:t>
        <w:tab/>
        <w:t>0.126     0.052     0.344     0.699     0.052 </w:t>
      </w:r>
      <w:r>
        <w:rPr>
          <w:rFonts w:ascii="Times New Roman"/>
          <w:b/>
          <w:color w:val="231F20"/>
          <w:spacing w:val="15"/>
          <w:w w:val="105"/>
          <w:sz w:val="16"/>
        </w:rPr>
        <w:t> </w:t>
      </w:r>
      <w:r>
        <w:rPr>
          <w:rFonts w:ascii="Times New Roman"/>
          <w:b/>
          <w:color w:val="231F20"/>
          <w:w w:val="105"/>
          <w:sz w:val="16"/>
        </w:rPr>
        <w:t>0.06  </w:t>
      </w:r>
      <w:r>
        <w:rPr>
          <w:rFonts w:ascii="Times New Roman"/>
          <w:b/>
          <w:color w:val="231F20"/>
          <w:spacing w:val="22"/>
          <w:w w:val="105"/>
          <w:sz w:val="16"/>
        </w:rPr>
        <w:t> </w:t>
      </w:r>
      <w:r>
        <w:rPr>
          <w:rFonts w:ascii="Times New Roman"/>
          <w:b/>
          <w:color w:val="231F20"/>
          <w:w w:val="105"/>
          <w:sz w:val="16"/>
        </w:rPr>
        <w:t>0.021</w:t>
        <w:tab/>
        <w:t>0.014</w:t>
      </w:r>
    </w:p>
    <w:p>
      <w:pPr>
        <w:tabs>
          <w:tab w:pos="2369" w:val="left" w:leader="none"/>
          <w:tab w:pos="2940" w:val="left" w:leader="none"/>
          <w:tab w:pos="3511" w:val="left" w:leader="none"/>
          <w:tab w:pos="4082" w:val="left" w:leader="none"/>
          <w:tab w:pos="4653" w:val="left" w:leader="none"/>
          <w:tab w:pos="5224" w:val="left" w:leader="none"/>
          <w:tab w:pos="6244" w:val="left" w:leader="none"/>
        </w:tabs>
        <w:spacing w:before="7" w:after="22"/>
        <w:ind w:left="1542" w:right="0" w:firstLine="0"/>
        <w:jc w:val="left"/>
        <w:rPr>
          <w:b/>
          <w:i/>
          <w:sz w:val="16"/>
        </w:rPr>
      </w:pPr>
      <w:r>
        <w:rPr>
          <w:b/>
          <w:i/>
          <w:color w:val="231F20"/>
          <w:sz w:val="16"/>
        </w:rPr>
        <w:t>0.00</w:t>
        <w:tab/>
        <w:t>0.00</w:t>
        <w:tab/>
        <w:t>0.00</w:t>
        <w:tab/>
        <w:t>0.00</w:t>
        <w:tab/>
        <w:t>0.00</w:t>
        <w:tab/>
        <w:t>0.00</w:t>
        <w:tab/>
        <w:t>0.00   </w:t>
      </w:r>
      <w:r>
        <w:rPr>
          <w:b/>
          <w:i/>
          <w:color w:val="231F20"/>
          <w:spacing w:val="5"/>
          <w:sz w:val="16"/>
        </w:rPr>
        <w:t> </w:t>
      </w:r>
      <w:r>
        <w:rPr>
          <w:b/>
          <w:i/>
          <w:color w:val="231F20"/>
          <w:sz w:val="16"/>
        </w:rPr>
        <w:t>0.00</w:t>
        <w:tab/>
        <w:t>0.05</w:t>
      </w:r>
    </w:p>
    <w:p>
      <w:pPr>
        <w:pStyle w:val="BodyText"/>
        <w:spacing w:line="20" w:lineRule="exact"/>
        <w:ind w:left="15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8" w:lineRule="auto" w:before="56"/>
        <w:ind w:left="162" w:right="518" w:firstLine="199"/>
        <w:jc w:val="both"/>
        <w:rPr>
          <w:sz w:val="14"/>
        </w:rPr>
      </w:pPr>
      <w:r>
        <w:rPr>
          <w:color w:val="231F20"/>
          <w:sz w:val="14"/>
        </w:rPr>
        <w:t>This table provides the Spearman correlation coefficients for the main variables in the main tests.</w:t>
      </w:r>
      <w:r>
        <w:rPr>
          <w:color w:val="231F20"/>
          <w:spacing w:val="-23"/>
          <w:sz w:val="14"/>
        </w:rPr>
        <w:t> </w:t>
      </w:r>
      <w:r>
        <w:rPr>
          <w:color w:val="231F20"/>
          <w:sz w:val="14"/>
        </w:rPr>
        <w:t>Ital- icized</w:t>
      </w:r>
      <w:r>
        <w:rPr>
          <w:color w:val="231F20"/>
          <w:spacing w:val="-2"/>
          <w:sz w:val="14"/>
        </w:rPr>
        <w:t> </w:t>
      </w:r>
      <w:r>
        <w:rPr>
          <w:color w:val="231F20"/>
          <w:sz w:val="14"/>
        </w:rPr>
        <w:t>rows</w:t>
      </w:r>
      <w:r>
        <w:rPr>
          <w:color w:val="231F20"/>
          <w:spacing w:val="-2"/>
          <w:sz w:val="14"/>
        </w:rPr>
        <w:t> </w:t>
      </w:r>
      <w:r>
        <w:rPr>
          <w:color w:val="231F20"/>
          <w:sz w:val="14"/>
        </w:rPr>
        <w:t>are</w:t>
      </w:r>
      <w:r>
        <w:rPr>
          <w:color w:val="231F20"/>
          <w:spacing w:val="-2"/>
          <w:sz w:val="14"/>
        </w:rPr>
        <w:t> </w:t>
      </w:r>
      <w:r>
        <w:rPr>
          <w:i/>
          <w:color w:val="231F20"/>
          <w:sz w:val="14"/>
        </w:rPr>
        <w:t>p</w:t>
      </w:r>
      <w:r>
        <w:rPr>
          <w:color w:val="231F20"/>
          <w:sz w:val="14"/>
        </w:rPr>
        <w:t>-values.</w:t>
      </w:r>
      <w:r>
        <w:rPr>
          <w:color w:val="231F20"/>
          <w:spacing w:val="-2"/>
          <w:sz w:val="14"/>
        </w:rPr>
        <w:t> </w:t>
      </w:r>
      <w:r>
        <w:rPr>
          <w:color w:val="231F20"/>
          <w:sz w:val="14"/>
        </w:rPr>
        <w:t>Significant</w:t>
      </w:r>
      <w:r>
        <w:rPr>
          <w:color w:val="231F20"/>
          <w:spacing w:val="-2"/>
          <w:sz w:val="14"/>
        </w:rPr>
        <w:t> </w:t>
      </w:r>
      <w:r>
        <w:rPr>
          <w:color w:val="231F20"/>
          <w:sz w:val="14"/>
        </w:rPr>
        <w:t>correlations</w:t>
      </w:r>
      <w:r>
        <w:rPr>
          <w:color w:val="231F20"/>
          <w:spacing w:val="-2"/>
          <w:sz w:val="14"/>
        </w:rPr>
        <w:t> </w:t>
      </w:r>
      <w:r>
        <w:rPr>
          <w:color w:val="231F20"/>
          <w:sz w:val="14"/>
        </w:rPr>
        <w:t>are</w:t>
      </w:r>
      <w:r>
        <w:rPr>
          <w:color w:val="231F20"/>
          <w:spacing w:val="-2"/>
          <w:sz w:val="14"/>
        </w:rPr>
        <w:t> </w:t>
      </w:r>
      <w:r>
        <w:rPr>
          <w:color w:val="231F20"/>
          <w:sz w:val="14"/>
        </w:rPr>
        <w:t>indicated</w:t>
      </w:r>
      <w:r>
        <w:rPr>
          <w:color w:val="231F20"/>
          <w:spacing w:val="-2"/>
          <w:sz w:val="14"/>
        </w:rPr>
        <w:t> </w:t>
      </w:r>
      <w:r>
        <w:rPr>
          <w:color w:val="231F20"/>
          <w:sz w:val="14"/>
        </w:rPr>
        <w:t>in</w:t>
      </w:r>
      <w:r>
        <w:rPr>
          <w:color w:val="231F20"/>
          <w:spacing w:val="-2"/>
          <w:sz w:val="14"/>
        </w:rPr>
        <w:t> </w:t>
      </w:r>
      <w:r>
        <w:rPr>
          <w:color w:val="231F20"/>
          <w:sz w:val="14"/>
        </w:rPr>
        <w:t>bold</w:t>
      </w:r>
      <w:r>
        <w:rPr>
          <w:color w:val="231F20"/>
          <w:spacing w:val="-2"/>
          <w:sz w:val="14"/>
        </w:rPr>
        <w:t> </w:t>
      </w:r>
      <w:r>
        <w:rPr>
          <w:color w:val="231F20"/>
          <w:sz w:val="14"/>
        </w:rPr>
        <w:t>(</w:t>
      </w:r>
      <w:r>
        <w:rPr>
          <w:i/>
          <w:color w:val="231F20"/>
          <w:sz w:val="14"/>
        </w:rPr>
        <w:t>p</w:t>
      </w:r>
      <w:r>
        <w:rPr>
          <w:i/>
          <w:color w:val="231F20"/>
          <w:spacing w:val="-2"/>
          <w:sz w:val="14"/>
        </w:rPr>
        <w:t> </w:t>
      </w:r>
      <w:r>
        <w:rPr>
          <w:rFonts w:ascii="Verdana"/>
          <w:i/>
          <w:color w:val="231F20"/>
          <w:sz w:val="14"/>
        </w:rPr>
        <w:t>&lt;</w:t>
      </w:r>
      <w:r>
        <w:rPr>
          <w:rFonts w:ascii="Verdana"/>
          <w:i/>
          <w:color w:val="231F20"/>
          <w:spacing w:val="-16"/>
          <w:sz w:val="14"/>
        </w:rPr>
        <w:t> </w:t>
      </w:r>
      <w:r>
        <w:rPr>
          <w:color w:val="231F20"/>
          <w:sz w:val="14"/>
        </w:rPr>
        <w:t>0.10,</w:t>
      </w:r>
      <w:r>
        <w:rPr>
          <w:color w:val="231F20"/>
          <w:spacing w:val="-2"/>
          <w:sz w:val="14"/>
        </w:rPr>
        <w:t> </w:t>
      </w:r>
      <w:r>
        <w:rPr>
          <w:color w:val="231F20"/>
          <w:sz w:val="14"/>
        </w:rPr>
        <w:t>two-tailed</w:t>
      </w:r>
      <w:r>
        <w:rPr>
          <w:color w:val="231F20"/>
          <w:spacing w:val="-2"/>
          <w:sz w:val="14"/>
        </w:rPr>
        <w:t> </w:t>
      </w:r>
      <w:r>
        <w:rPr>
          <w:color w:val="231F20"/>
          <w:sz w:val="14"/>
        </w:rPr>
        <w:t>test).</w:t>
      </w:r>
      <w:r>
        <w:rPr>
          <w:color w:val="231F20"/>
          <w:spacing w:val="-2"/>
          <w:sz w:val="14"/>
        </w:rPr>
        <w:t> </w:t>
      </w:r>
      <w:r>
        <w:rPr>
          <w:color w:val="231F20"/>
          <w:sz w:val="14"/>
        </w:rPr>
        <w:t>All</w:t>
      </w:r>
      <w:r>
        <w:rPr>
          <w:color w:val="231F20"/>
          <w:spacing w:val="-2"/>
          <w:sz w:val="14"/>
        </w:rPr>
        <w:t> </w:t>
      </w:r>
      <w:r>
        <w:rPr>
          <w:color w:val="231F20"/>
          <w:sz w:val="14"/>
        </w:rPr>
        <w:t>vari- ables are calculated as defined in the appendix. All continuous variables are winsorized at 1st and 99th percentiles.</w:t>
      </w:r>
    </w:p>
    <w:p>
      <w:pPr>
        <w:pStyle w:val="BodyText"/>
        <w:rPr>
          <w:sz w:val="16"/>
        </w:rPr>
      </w:pPr>
    </w:p>
    <w:p>
      <w:pPr>
        <w:pStyle w:val="BodyText"/>
        <w:spacing w:line="230" w:lineRule="auto" w:before="114"/>
        <w:ind w:left="162" w:right="519"/>
        <w:jc w:val="both"/>
      </w:pPr>
      <w:r>
        <w:rPr/>
        <w:pict>
          <v:line style="position:absolute;mso-position-horizontal-relative:page;mso-position-vertical-relative:paragraph;z-index:-68896" from="265.94101pt,146.225327pt" to="268.938010pt,146.225327pt" stroked="true" strokeweight=".405pt" strokecolor="#000000">
            <v:stroke dashstyle="solid"/>
            <w10:wrap type="none"/>
          </v:line>
        </w:pict>
      </w:r>
      <w:r>
        <w:rPr/>
        <w:pict>
          <v:line style="position:absolute;mso-position-horizontal-relative:page;mso-position-vertical-relative:paragraph;z-index:-68872" from="133.983002pt,212.627319pt" to="136.377002pt,212.627319pt" stroked="true" strokeweight=".405pt" strokecolor="#000000">
            <v:stroke dashstyle="solid"/>
            <w10:wrap type="none"/>
          </v:line>
        </w:pict>
      </w:r>
      <w:r>
        <w:rPr/>
        <w:pict>
          <v:line style="position:absolute;mso-position-horizontal-relative:page;mso-position-vertical-relative:paragraph;z-index:-68848" from="115.983002pt,231.536316pt" to="118.377002pt,231.536316pt" stroked="true" strokeweight=".405pt" strokecolor="#000000">
            <v:stroke dashstyle="solid"/>
            <w10:wrap type="none"/>
          </v:line>
        </w:pict>
      </w:r>
      <w:r>
        <w:rPr/>
        <w:t>the income aggregation and information asymmetries hypothesis by La- Fond and Watts [2008] and consistent with prior literature (Ramalinge- gowda and </w:t>
      </w:r>
      <w:r>
        <w:rPr>
          <w:spacing w:val="-4"/>
        </w:rPr>
        <w:t>Yu </w:t>
      </w:r>
      <w:r>
        <w:rPr/>
        <w:t>[2012], LaFond and Roychowhury [2008]); and is posi- tively</w:t>
      </w:r>
      <w:r>
        <w:rPr>
          <w:spacing w:val="-36"/>
        </w:rPr>
        <w:t> </w:t>
      </w:r>
      <w:r>
        <w:rPr/>
        <w:t>correlated</w:t>
      </w:r>
      <w:r>
        <w:rPr>
          <w:spacing w:val="-36"/>
        </w:rPr>
        <w:t> </w:t>
      </w:r>
      <w:r>
        <w:rPr/>
        <w:t>with</w:t>
      </w:r>
      <w:r>
        <w:rPr>
          <w:spacing w:val="-36"/>
        </w:rPr>
        <w:t> </w:t>
      </w:r>
      <w:r>
        <w:rPr/>
        <w:t>litigation</w:t>
      </w:r>
      <w:r>
        <w:rPr>
          <w:spacing w:val="-36"/>
        </w:rPr>
        <w:t> </w:t>
      </w:r>
      <w:r>
        <w:rPr/>
        <w:t>risk</w:t>
      </w:r>
      <w:r>
        <w:rPr>
          <w:spacing w:val="-36"/>
        </w:rPr>
        <w:t> </w:t>
      </w:r>
      <w:r>
        <w:rPr/>
        <w:t>and</w:t>
      </w:r>
      <w:r>
        <w:rPr>
          <w:spacing w:val="-36"/>
        </w:rPr>
        <w:t> </w:t>
      </w:r>
      <w:r>
        <w:rPr/>
        <w:t>institutional</w:t>
      </w:r>
      <w:r>
        <w:rPr>
          <w:spacing w:val="-36"/>
        </w:rPr>
        <w:t> </w:t>
      </w:r>
      <w:r>
        <w:rPr/>
        <w:t>ownership</w:t>
      </w:r>
      <w:r>
        <w:rPr>
          <w:spacing w:val="-36"/>
        </w:rPr>
        <w:t> </w:t>
      </w:r>
      <w:r>
        <w:rPr/>
        <w:t>(e.g.,</w:t>
      </w:r>
      <w:r>
        <w:rPr>
          <w:spacing w:val="-36"/>
        </w:rPr>
        <w:t> </w:t>
      </w:r>
      <w:r>
        <w:rPr>
          <w:spacing w:val="-3"/>
        </w:rPr>
        <w:t>Beatty, </w:t>
      </w:r>
      <w:r>
        <w:rPr>
          <w:spacing w:val="-5"/>
        </w:rPr>
        <w:t>Weber, </w:t>
      </w:r>
      <w:r>
        <w:rPr/>
        <w:t>and </w:t>
      </w:r>
      <w:r>
        <w:rPr>
          <w:spacing w:val="-4"/>
        </w:rPr>
        <w:t>Yu </w:t>
      </w:r>
      <w:r>
        <w:rPr/>
        <w:t>[2008] and Ramalingegowda and </w:t>
      </w:r>
      <w:r>
        <w:rPr>
          <w:spacing w:val="-4"/>
        </w:rPr>
        <w:t>Yu </w:t>
      </w:r>
      <w:r>
        <w:rPr/>
        <w:t>[2012]). The nega- tive correlation between our conservatism measure and leverage</w:t>
      </w:r>
      <w:r>
        <w:rPr>
          <w:spacing w:val="-34"/>
        </w:rPr>
        <w:t> </w:t>
      </w:r>
      <w:r>
        <w:rPr/>
        <w:t>appears to contradict prior studies (e.g., Khan and Watts [2009]), but multivari- ate</w:t>
      </w:r>
      <w:r>
        <w:rPr>
          <w:spacing w:val="-15"/>
        </w:rPr>
        <w:t> </w:t>
      </w:r>
      <w:r>
        <w:rPr/>
        <w:t>analyses</w:t>
      </w:r>
      <w:r>
        <w:rPr>
          <w:spacing w:val="-15"/>
        </w:rPr>
        <w:t> </w:t>
      </w:r>
      <w:r>
        <w:rPr/>
        <w:t>confirm</w:t>
      </w:r>
      <w:r>
        <w:rPr>
          <w:spacing w:val="-15"/>
        </w:rPr>
        <w:t> </w:t>
      </w:r>
      <w:r>
        <w:rPr/>
        <w:t>the</w:t>
      </w:r>
      <w:r>
        <w:rPr>
          <w:spacing w:val="-15"/>
        </w:rPr>
        <w:t> </w:t>
      </w:r>
      <w:r>
        <w:rPr/>
        <w:t>documented</w:t>
      </w:r>
      <w:r>
        <w:rPr>
          <w:spacing w:val="-15"/>
        </w:rPr>
        <w:t> </w:t>
      </w:r>
      <w:r>
        <w:rPr/>
        <w:t>positive</w:t>
      </w:r>
      <w:r>
        <w:rPr>
          <w:spacing w:val="-15"/>
        </w:rPr>
        <w:t> </w:t>
      </w:r>
      <w:r>
        <w:rPr/>
        <w:t>association</w:t>
      </w:r>
      <w:r>
        <w:rPr>
          <w:spacing w:val="-15"/>
        </w:rPr>
        <w:t> </w:t>
      </w:r>
      <w:r>
        <w:rPr/>
        <w:t>of</w:t>
      </w:r>
      <w:r>
        <w:rPr>
          <w:spacing w:val="-15"/>
        </w:rPr>
        <w:t> </w:t>
      </w:r>
      <w:r>
        <w:rPr/>
        <w:t>leverage</w:t>
      </w:r>
      <w:r>
        <w:rPr>
          <w:spacing w:val="-15"/>
        </w:rPr>
        <w:t> </w:t>
      </w:r>
      <w:r>
        <w:rPr/>
        <w:t>with conservatism. The negative association of book-to-market ratio with con- servatism</w:t>
      </w:r>
      <w:r>
        <w:rPr>
          <w:spacing w:val="-21"/>
        </w:rPr>
        <w:t> </w:t>
      </w:r>
      <w:r>
        <w:rPr/>
        <w:t>is</w:t>
      </w:r>
      <w:r>
        <w:rPr>
          <w:spacing w:val="-21"/>
        </w:rPr>
        <w:t> </w:t>
      </w:r>
      <w:r>
        <w:rPr/>
        <w:t>consistent</w:t>
      </w:r>
      <w:r>
        <w:rPr>
          <w:spacing w:val="-21"/>
        </w:rPr>
        <w:t> </w:t>
      </w:r>
      <w:r>
        <w:rPr/>
        <w:t>with</w:t>
      </w:r>
      <w:r>
        <w:rPr>
          <w:spacing w:val="-21"/>
        </w:rPr>
        <w:t> </w:t>
      </w:r>
      <w:r>
        <w:rPr/>
        <w:t>the</w:t>
      </w:r>
      <w:r>
        <w:rPr>
          <w:spacing w:val="-21"/>
        </w:rPr>
        <w:t> </w:t>
      </w:r>
      <w:r>
        <w:rPr/>
        <w:t>expected</w:t>
      </w:r>
      <w:r>
        <w:rPr>
          <w:spacing w:val="-21"/>
        </w:rPr>
        <w:t> </w:t>
      </w:r>
      <w:r>
        <w:rPr/>
        <w:t>positive</w:t>
      </w:r>
      <w:r>
        <w:rPr>
          <w:spacing w:val="-21"/>
        </w:rPr>
        <w:t> </w:t>
      </w:r>
      <w:r>
        <w:rPr/>
        <w:t>association</w:t>
      </w:r>
      <w:r>
        <w:rPr>
          <w:spacing w:val="-21"/>
        </w:rPr>
        <w:t> </w:t>
      </w:r>
      <w:r>
        <w:rPr/>
        <w:t>between</w:t>
      </w:r>
      <w:r>
        <w:rPr>
          <w:spacing w:val="-21"/>
        </w:rPr>
        <w:t> </w:t>
      </w:r>
      <w:r>
        <w:rPr/>
        <w:t>con- servatism and market-to-book (e.g., Roychowdhury and Watts [2007]). </w:t>
      </w:r>
      <w:r>
        <w:rPr>
          <w:i/>
        </w:rPr>
        <w:t>HEDF93</w:t>
      </w:r>
      <w:r>
        <w:rPr>
          <w:i/>
          <w:spacing w:val="-14"/>
        </w:rPr>
        <w:t> </w:t>
      </w:r>
      <w:r>
        <w:rPr/>
        <w:t>is</w:t>
      </w:r>
      <w:r>
        <w:rPr>
          <w:spacing w:val="-14"/>
        </w:rPr>
        <w:t> </w:t>
      </w:r>
      <w:r>
        <w:rPr/>
        <w:t>positively</w:t>
      </w:r>
      <w:r>
        <w:rPr>
          <w:spacing w:val="-14"/>
        </w:rPr>
        <w:t> </w:t>
      </w:r>
      <w:r>
        <w:rPr/>
        <w:t>correlated</w:t>
      </w:r>
      <w:r>
        <w:rPr>
          <w:spacing w:val="-14"/>
        </w:rPr>
        <w:t> </w:t>
      </w:r>
      <w:r>
        <w:rPr/>
        <w:t>with</w:t>
      </w:r>
      <w:r>
        <w:rPr>
          <w:spacing w:val="-14"/>
        </w:rPr>
        <w:t> </w:t>
      </w:r>
      <w:r>
        <w:rPr>
          <w:i/>
        </w:rPr>
        <w:t>CRANK</w:t>
      </w:r>
      <w:r>
        <w:rPr>
          <w:i/>
          <w:spacing w:val="-11"/>
        </w:rPr>
        <w:t> </w:t>
      </w:r>
      <w:r>
        <w:rPr>
          <w:i/>
        </w:rPr>
        <w:t>ALL</w:t>
      </w:r>
      <w:r>
        <w:rPr/>
        <w:t>,</w:t>
      </w:r>
      <w:r>
        <w:rPr>
          <w:spacing w:val="-14"/>
        </w:rPr>
        <w:t> </w:t>
      </w:r>
      <w:r>
        <w:rPr/>
        <w:t>that</w:t>
      </w:r>
      <w:r>
        <w:rPr>
          <w:spacing w:val="-14"/>
        </w:rPr>
        <w:t> </w:t>
      </w:r>
      <w:r>
        <w:rPr/>
        <w:t>is,</w:t>
      </w:r>
      <w:r>
        <w:rPr>
          <w:spacing w:val="-14"/>
        </w:rPr>
        <w:t> </w:t>
      </w:r>
      <w:r>
        <w:rPr/>
        <w:t>firms</w:t>
      </w:r>
      <w:r>
        <w:rPr>
          <w:spacing w:val="-14"/>
        </w:rPr>
        <w:t> </w:t>
      </w:r>
      <w:r>
        <w:rPr/>
        <w:t>approach- ing near insolvency in 1993 are on average more conservative during the sample</w:t>
      </w:r>
      <w:r>
        <w:rPr>
          <w:spacing w:val="-21"/>
        </w:rPr>
        <w:t> </w:t>
      </w:r>
      <w:r>
        <w:rPr/>
        <w:t>period.</w:t>
      </w:r>
      <w:r>
        <w:rPr>
          <w:spacing w:val="-21"/>
        </w:rPr>
        <w:t> </w:t>
      </w:r>
      <w:r>
        <w:rPr/>
        <w:t>Predictably,</w:t>
      </w:r>
      <w:r>
        <w:rPr>
          <w:spacing w:val="-21"/>
        </w:rPr>
        <w:t> </w:t>
      </w:r>
      <w:r>
        <w:rPr/>
        <w:t>firm</w:t>
      </w:r>
      <w:r>
        <w:rPr>
          <w:spacing w:val="-21"/>
        </w:rPr>
        <w:t> </w:t>
      </w:r>
      <w:r>
        <w:rPr/>
        <w:t>size</w:t>
      </w:r>
      <w:r>
        <w:rPr>
          <w:spacing w:val="-21"/>
        </w:rPr>
        <w:t> </w:t>
      </w:r>
      <w:r>
        <w:rPr/>
        <w:t>(natural</w:t>
      </w:r>
      <w:r>
        <w:rPr>
          <w:spacing w:val="-21"/>
        </w:rPr>
        <w:t> </w:t>
      </w:r>
      <w:r>
        <w:rPr/>
        <w:t>log</w:t>
      </w:r>
      <w:r>
        <w:rPr>
          <w:spacing w:val="-21"/>
        </w:rPr>
        <w:t> </w:t>
      </w:r>
      <w:r>
        <w:rPr/>
        <w:t>of</w:t>
      </w:r>
      <w:r>
        <w:rPr>
          <w:spacing w:val="-21"/>
        </w:rPr>
        <w:t> </w:t>
      </w:r>
      <w:r>
        <w:rPr/>
        <w:t>market</w:t>
      </w:r>
      <w:r>
        <w:rPr>
          <w:spacing w:val="-21"/>
        </w:rPr>
        <w:t> </w:t>
      </w:r>
      <w:r>
        <w:rPr/>
        <w:t>value</w:t>
      </w:r>
      <w:r>
        <w:rPr>
          <w:spacing w:val="-21"/>
        </w:rPr>
        <w:t> </w:t>
      </w:r>
      <w:r>
        <w:rPr/>
        <w:t>of</w:t>
      </w:r>
      <w:r>
        <w:rPr>
          <w:spacing w:val="-21"/>
        </w:rPr>
        <w:t> </w:t>
      </w:r>
      <w:r>
        <w:rPr/>
        <w:t>equity)</w:t>
      </w:r>
    </w:p>
    <w:p>
      <w:pPr>
        <w:pStyle w:val="BodyText"/>
        <w:spacing w:before="3"/>
        <w:rPr>
          <w:sz w:val="17"/>
        </w:rPr>
      </w:pPr>
      <w:r>
        <w:rPr/>
        <w:pict>
          <v:line style="position:absolute;mso-position-horizontal-relative:page;mso-position-vertical-relative:paragraph;z-index:2536;mso-wrap-distance-left:0;mso-wrap-distance-right:0" from="72.125999pt,12.967136pt" to="107.999999pt,12.967136pt" stroked="true" strokeweight=".504pt" strokecolor="#000000">
            <v:stroke dashstyle="solid"/>
            <w10:wrap type="topAndBottom"/>
          </v:line>
        </w:pict>
      </w:r>
    </w:p>
    <w:p>
      <w:pPr>
        <w:spacing w:line="237" w:lineRule="auto" w:before="156"/>
        <w:ind w:left="162" w:right="519" w:firstLine="0"/>
        <w:jc w:val="both"/>
        <w:rPr>
          <w:sz w:val="16"/>
        </w:rPr>
      </w:pPr>
      <w:r>
        <w:rPr>
          <w:color w:val="231F20"/>
          <w:sz w:val="16"/>
        </w:rPr>
        <w:t>board</w:t>
      </w:r>
      <w:r>
        <w:rPr>
          <w:color w:val="231F20"/>
          <w:spacing w:val="-8"/>
          <w:sz w:val="16"/>
        </w:rPr>
        <w:t> </w:t>
      </w:r>
      <w:r>
        <w:rPr>
          <w:color w:val="231F20"/>
          <w:sz w:val="16"/>
        </w:rPr>
        <w:t>in</w:t>
      </w:r>
      <w:r>
        <w:rPr>
          <w:color w:val="231F20"/>
          <w:spacing w:val="-7"/>
          <w:sz w:val="16"/>
        </w:rPr>
        <w:t> </w:t>
      </w:r>
      <w:r>
        <w:rPr>
          <w:color w:val="231F20"/>
          <w:sz w:val="16"/>
        </w:rPr>
        <w:t>our</w:t>
      </w:r>
      <w:r>
        <w:rPr>
          <w:color w:val="231F20"/>
          <w:spacing w:val="-8"/>
          <w:sz w:val="16"/>
        </w:rPr>
        <w:t> </w:t>
      </w:r>
      <w:r>
        <w:rPr>
          <w:color w:val="231F20"/>
          <w:sz w:val="16"/>
        </w:rPr>
        <w:t>sample</w:t>
      </w:r>
      <w:r>
        <w:rPr>
          <w:color w:val="231F20"/>
          <w:spacing w:val="-8"/>
          <w:sz w:val="16"/>
        </w:rPr>
        <w:t> </w:t>
      </w:r>
      <w:r>
        <w:rPr>
          <w:color w:val="231F20"/>
          <w:sz w:val="16"/>
        </w:rPr>
        <w:t>has</w:t>
      </w:r>
      <w:r>
        <w:rPr>
          <w:color w:val="231F20"/>
          <w:spacing w:val="-8"/>
          <w:sz w:val="16"/>
        </w:rPr>
        <w:t> </w:t>
      </w:r>
      <w:r>
        <w:rPr>
          <w:color w:val="231F20"/>
          <w:sz w:val="16"/>
        </w:rPr>
        <w:t>about</w:t>
      </w:r>
      <w:r>
        <w:rPr>
          <w:color w:val="231F20"/>
          <w:spacing w:val="-8"/>
          <w:sz w:val="16"/>
        </w:rPr>
        <w:t> </w:t>
      </w:r>
      <w:r>
        <w:rPr>
          <w:color w:val="231F20"/>
          <w:sz w:val="16"/>
        </w:rPr>
        <w:t>eight</w:t>
      </w:r>
      <w:r>
        <w:rPr>
          <w:color w:val="231F20"/>
          <w:spacing w:val="-7"/>
          <w:sz w:val="16"/>
        </w:rPr>
        <w:t> </w:t>
      </w:r>
      <w:r>
        <w:rPr>
          <w:color w:val="231F20"/>
          <w:sz w:val="16"/>
        </w:rPr>
        <w:t>directors</w:t>
      </w:r>
      <w:r>
        <w:rPr>
          <w:color w:val="231F20"/>
          <w:spacing w:val="-8"/>
          <w:sz w:val="16"/>
        </w:rPr>
        <w:t> </w:t>
      </w:r>
      <w:r>
        <w:rPr>
          <w:color w:val="231F20"/>
          <w:sz w:val="16"/>
        </w:rPr>
        <w:t>(similar</w:t>
      </w:r>
      <w:r>
        <w:rPr>
          <w:color w:val="231F20"/>
          <w:spacing w:val="-8"/>
          <w:sz w:val="16"/>
        </w:rPr>
        <w:t> </w:t>
      </w:r>
      <w:r>
        <w:rPr>
          <w:color w:val="231F20"/>
          <w:sz w:val="16"/>
        </w:rPr>
        <w:t>to</w:t>
      </w:r>
      <w:r>
        <w:rPr>
          <w:color w:val="231F20"/>
          <w:spacing w:val="-7"/>
          <w:sz w:val="16"/>
        </w:rPr>
        <w:t> </w:t>
      </w:r>
      <w:r>
        <w:rPr>
          <w:color w:val="231F20"/>
          <w:sz w:val="16"/>
        </w:rPr>
        <w:t>Anderson,</w:t>
      </w:r>
      <w:r>
        <w:rPr>
          <w:color w:val="231F20"/>
          <w:spacing w:val="-8"/>
          <w:sz w:val="16"/>
        </w:rPr>
        <w:t> </w:t>
      </w:r>
      <w:r>
        <w:rPr>
          <w:color w:val="231F20"/>
          <w:sz w:val="16"/>
        </w:rPr>
        <w:t>Mansi,</w:t>
      </w:r>
      <w:r>
        <w:rPr>
          <w:color w:val="231F20"/>
          <w:spacing w:val="-7"/>
          <w:sz w:val="16"/>
        </w:rPr>
        <w:t> </w:t>
      </w:r>
      <w:r>
        <w:rPr>
          <w:color w:val="231F20"/>
          <w:sz w:val="16"/>
        </w:rPr>
        <w:t>and</w:t>
      </w:r>
      <w:r>
        <w:rPr>
          <w:color w:val="231F20"/>
          <w:spacing w:val="-8"/>
          <w:sz w:val="16"/>
        </w:rPr>
        <w:t> </w:t>
      </w:r>
      <w:r>
        <w:rPr>
          <w:color w:val="231F20"/>
          <w:sz w:val="16"/>
        </w:rPr>
        <w:t>Reeb</w:t>
      </w:r>
      <w:r>
        <w:rPr>
          <w:color w:val="231F20"/>
          <w:spacing w:val="-8"/>
          <w:sz w:val="16"/>
        </w:rPr>
        <w:t> </w:t>
      </w:r>
      <w:r>
        <w:rPr>
          <w:color w:val="231F20"/>
          <w:sz w:val="16"/>
        </w:rPr>
        <w:t>[2004]). The average </w:t>
      </w:r>
      <w:r>
        <w:rPr>
          <w:i/>
          <w:color w:val="231F20"/>
          <w:sz w:val="16"/>
        </w:rPr>
        <w:t>PCT INDDIR </w:t>
      </w:r>
      <w:r>
        <w:rPr>
          <w:color w:val="231F20"/>
          <w:sz w:val="16"/>
        </w:rPr>
        <w:t>is 0.675, suggesting that on average about 68% of the directors on the board are independent, similar to data reported in Ahmed and Duellman [2007]. The</w:t>
      </w:r>
      <w:r>
        <w:rPr>
          <w:color w:val="231F20"/>
          <w:spacing w:val="-6"/>
          <w:sz w:val="16"/>
        </w:rPr>
        <w:t> </w:t>
      </w:r>
      <w:r>
        <w:rPr>
          <w:color w:val="231F20"/>
          <w:sz w:val="16"/>
        </w:rPr>
        <w:t>mean</w:t>
      </w:r>
      <w:r>
        <w:rPr>
          <w:color w:val="231F20"/>
          <w:spacing w:val="-6"/>
          <w:sz w:val="16"/>
        </w:rPr>
        <w:t> </w:t>
      </w:r>
      <w:r>
        <w:rPr>
          <w:i/>
          <w:color w:val="231F20"/>
          <w:sz w:val="16"/>
        </w:rPr>
        <w:t>D</w:t>
      </w:r>
      <w:r>
        <w:rPr>
          <w:i/>
          <w:color w:val="231F20"/>
          <w:spacing w:val="1"/>
          <w:sz w:val="16"/>
        </w:rPr>
        <w:t> </w:t>
      </w:r>
      <w:r>
        <w:rPr>
          <w:i/>
          <w:color w:val="231F20"/>
          <w:sz w:val="16"/>
        </w:rPr>
        <w:t>MAJIND</w:t>
      </w:r>
      <w:r>
        <w:rPr>
          <w:i/>
          <w:color w:val="231F20"/>
          <w:spacing w:val="-6"/>
          <w:sz w:val="16"/>
        </w:rPr>
        <w:t> </w:t>
      </w:r>
      <w:r>
        <w:rPr>
          <w:color w:val="231F20"/>
          <w:sz w:val="16"/>
        </w:rPr>
        <w:t>is</w:t>
      </w:r>
      <w:r>
        <w:rPr>
          <w:color w:val="231F20"/>
          <w:spacing w:val="-6"/>
          <w:sz w:val="16"/>
        </w:rPr>
        <w:t> </w:t>
      </w:r>
      <w:r>
        <w:rPr>
          <w:color w:val="231F20"/>
          <w:sz w:val="16"/>
        </w:rPr>
        <w:t>0.873,</w:t>
      </w:r>
      <w:r>
        <w:rPr>
          <w:color w:val="231F20"/>
          <w:spacing w:val="-6"/>
          <w:sz w:val="16"/>
        </w:rPr>
        <w:t> </w:t>
      </w:r>
      <w:r>
        <w:rPr>
          <w:color w:val="231F20"/>
          <w:sz w:val="16"/>
        </w:rPr>
        <w:t>implying</w:t>
      </w:r>
      <w:r>
        <w:rPr>
          <w:color w:val="231F20"/>
          <w:spacing w:val="-6"/>
          <w:sz w:val="16"/>
        </w:rPr>
        <w:t> </w:t>
      </w:r>
      <w:r>
        <w:rPr>
          <w:color w:val="231F20"/>
          <w:sz w:val="16"/>
        </w:rPr>
        <w:t>that</w:t>
      </w:r>
      <w:r>
        <w:rPr>
          <w:color w:val="231F20"/>
          <w:spacing w:val="-6"/>
          <w:sz w:val="16"/>
        </w:rPr>
        <w:t> </w:t>
      </w:r>
      <w:r>
        <w:rPr>
          <w:color w:val="231F20"/>
          <w:sz w:val="16"/>
        </w:rPr>
        <w:t>about</w:t>
      </w:r>
      <w:r>
        <w:rPr>
          <w:color w:val="231F20"/>
          <w:spacing w:val="-6"/>
          <w:sz w:val="16"/>
        </w:rPr>
        <w:t> </w:t>
      </w:r>
      <w:r>
        <w:rPr>
          <w:color w:val="231F20"/>
          <w:sz w:val="16"/>
        </w:rPr>
        <w:t>87%</w:t>
      </w:r>
      <w:r>
        <w:rPr>
          <w:color w:val="231F20"/>
          <w:spacing w:val="-6"/>
          <w:sz w:val="16"/>
        </w:rPr>
        <w:t> </w:t>
      </w:r>
      <w:r>
        <w:rPr>
          <w:color w:val="231F20"/>
          <w:sz w:val="16"/>
        </w:rPr>
        <w:t>of</w:t>
      </w:r>
      <w:r>
        <w:rPr>
          <w:color w:val="231F20"/>
          <w:spacing w:val="-6"/>
          <w:sz w:val="16"/>
        </w:rPr>
        <w:t> </w:t>
      </w:r>
      <w:r>
        <w:rPr>
          <w:color w:val="231F20"/>
          <w:sz w:val="16"/>
        </w:rPr>
        <w:t>firms</w:t>
      </w:r>
      <w:r>
        <w:rPr>
          <w:color w:val="231F20"/>
          <w:spacing w:val="-6"/>
          <w:sz w:val="16"/>
        </w:rPr>
        <w:t> </w:t>
      </w:r>
      <w:r>
        <w:rPr>
          <w:color w:val="231F20"/>
          <w:sz w:val="16"/>
        </w:rPr>
        <w:t>in</w:t>
      </w:r>
      <w:r>
        <w:rPr>
          <w:color w:val="231F20"/>
          <w:spacing w:val="-6"/>
          <w:sz w:val="16"/>
        </w:rPr>
        <w:t> </w:t>
      </w:r>
      <w:r>
        <w:rPr>
          <w:color w:val="231F20"/>
          <w:sz w:val="16"/>
        </w:rPr>
        <w:t>our</w:t>
      </w:r>
      <w:r>
        <w:rPr>
          <w:color w:val="231F20"/>
          <w:spacing w:val="-6"/>
          <w:sz w:val="16"/>
        </w:rPr>
        <w:t> </w:t>
      </w:r>
      <w:r>
        <w:rPr>
          <w:color w:val="231F20"/>
          <w:sz w:val="16"/>
        </w:rPr>
        <w:t>sample</w:t>
      </w:r>
      <w:r>
        <w:rPr>
          <w:color w:val="231F20"/>
          <w:spacing w:val="-6"/>
          <w:sz w:val="16"/>
        </w:rPr>
        <w:t> </w:t>
      </w:r>
      <w:r>
        <w:rPr>
          <w:color w:val="231F20"/>
          <w:sz w:val="16"/>
        </w:rPr>
        <w:t>have</w:t>
      </w:r>
      <w:r>
        <w:rPr>
          <w:color w:val="231F20"/>
          <w:spacing w:val="-6"/>
          <w:sz w:val="16"/>
        </w:rPr>
        <w:t> </w:t>
      </w:r>
      <w:r>
        <w:rPr>
          <w:color w:val="231F20"/>
          <w:sz w:val="16"/>
        </w:rPr>
        <w:t>majority independent boards. In addition, consistent with the perceived lack of accounting expertise on boards prior to the passage of the Sarbanes-Oxley Act in 2002 and with the findings in Krishnan</w:t>
      </w:r>
      <w:r>
        <w:rPr>
          <w:color w:val="231F20"/>
          <w:spacing w:val="-15"/>
          <w:sz w:val="16"/>
        </w:rPr>
        <w:t> </w:t>
      </w:r>
      <w:r>
        <w:rPr>
          <w:color w:val="231F20"/>
          <w:sz w:val="16"/>
        </w:rPr>
        <w:t>and</w:t>
      </w:r>
      <w:r>
        <w:rPr>
          <w:color w:val="231F20"/>
          <w:spacing w:val="-15"/>
          <w:sz w:val="16"/>
        </w:rPr>
        <w:t> </w:t>
      </w:r>
      <w:r>
        <w:rPr>
          <w:color w:val="231F20"/>
          <w:sz w:val="16"/>
        </w:rPr>
        <w:t>Visvanathan</w:t>
      </w:r>
      <w:r>
        <w:rPr>
          <w:color w:val="231F20"/>
          <w:spacing w:val="-15"/>
          <w:sz w:val="16"/>
        </w:rPr>
        <w:t> </w:t>
      </w:r>
      <w:r>
        <w:rPr>
          <w:color w:val="231F20"/>
          <w:sz w:val="16"/>
        </w:rPr>
        <w:t>[2008],</w:t>
      </w:r>
      <w:r>
        <w:rPr>
          <w:color w:val="231F20"/>
          <w:spacing w:val="-15"/>
          <w:sz w:val="16"/>
        </w:rPr>
        <w:t> </w:t>
      </w:r>
      <w:r>
        <w:rPr>
          <w:color w:val="231F20"/>
          <w:sz w:val="16"/>
        </w:rPr>
        <w:t>we</w:t>
      </w:r>
      <w:r>
        <w:rPr>
          <w:color w:val="231F20"/>
          <w:spacing w:val="-15"/>
          <w:sz w:val="16"/>
        </w:rPr>
        <w:t> </w:t>
      </w:r>
      <w:r>
        <w:rPr>
          <w:color w:val="231F20"/>
          <w:sz w:val="16"/>
        </w:rPr>
        <w:t>find</w:t>
      </w:r>
      <w:r>
        <w:rPr>
          <w:color w:val="231F20"/>
          <w:spacing w:val="-15"/>
          <w:sz w:val="16"/>
        </w:rPr>
        <w:t> </w:t>
      </w:r>
      <w:r>
        <w:rPr>
          <w:color w:val="231F20"/>
          <w:sz w:val="16"/>
        </w:rPr>
        <w:t>that</w:t>
      </w:r>
      <w:r>
        <w:rPr>
          <w:color w:val="231F20"/>
          <w:spacing w:val="-15"/>
          <w:sz w:val="16"/>
        </w:rPr>
        <w:t> </w:t>
      </w:r>
      <w:r>
        <w:rPr>
          <w:color w:val="231F20"/>
          <w:sz w:val="16"/>
        </w:rPr>
        <w:t>only</w:t>
      </w:r>
      <w:r>
        <w:rPr>
          <w:color w:val="231F20"/>
          <w:spacing w:val="-15"/>
          <w:sz w:val="16"/>
        </w:rPr>
        <w:t> </w:t>
      </w:r>
      <w:r>
        <w:rPr>
          <w:color w:val="231F20"/>
          <w:sz w:val="16"/>
        </w:rPr>
        <w:t>22.1%</w:t>
      </w:r>
      <w:r>
        <w:rPr>
          <w:color w:val="231F20"/>
          <w:spacing w:val="-15"/>
          <w:sz w:val="16"/>
        </w:rPr>
        <w:t> </w:t>
      </w:r>
      <w:r>
        <w:rPr>
          <w:color w:val="231F20"/>
          <w:sz w:val="16"/>
        </w:rPr>
        <w:t>of</w:t>
      </w:r>
      <w:r>
        <w:rPr>
          <w:color w:val="231F20"/>
          <w:spacing w:val="-15"/>
          <w:sz w:val="16"/>
        </w:rPr>
        <w:t> </w:t>
      </w:r>
      <w:r>
        <w:rPr>
          <w:color w:val="231F20"/>
          <w:sz w:val="16"/>
        </w:rPr>
        <w:t>our</w:t>
      </w:r>
      <w:r>
        <w:rPr>
          <w:color w:val="231F20"/>
          <w:spacing w:val="-15"/>
          <w:sz w:val="16"/>
        </w:rPr>
        <w:t> </w:t>
      </w:r>
      <w:r>
        <w:rPr>
          <w:color w:val="231F20"/>
          <w:sz w:val="16"/>
        </w:rPr>
        <w:t>sample</w:t>
      </w:r>
      <w:r>
        <w:rPr>
          <w:color w:val="231F20"/>
          <w:spacing w:val="-15"/>
          <w:sz w:val="16"/>
        </w:rPr>
        <w:t> </w:t>
      </w:r>
      <w:r>
        <w:rPr>
          <w:color w:val="231F20"/>
          <w:sz w:val="16"/>
        </w:rPr>
        <w:t>observations</w:t>
      </w:r>
      <w:r>
        <w:rPr>
          <w:color w:val="231F20"/>
          <w:spacing w:val="-15"/>
          <w:sz w:val="16"/>
        </w:rPr>
        <w:t> </w:t>
      </w:r>
      <w:r>
        <w:rPr>
          <w:color w:val="231F20"/>
          <w:sz w:val="16"/>
        </w:rPr>
        <w:t>have</w:t>
      </w:r>
      <w:r>
        <w:rPr>
          <w:color w:val="231F20"/>
          <w:spacing w:val="-15"/>
          <w:sz w:val="16"/>
        </w:rPr>
        <w:t> </w:t>
      </w:r>
      <w:r>
        <w:rPr>
          <w:color w:val="231F20"/>
          <w:sz w:val="16"/>
        </w:rPr>
        <w:t>at least</w:t>
      </w:r>
      <w:r>
        <w:rPr>
          <w:color w:val="231F20"/>
          <w:spacing w:val="-19"/>
          <w:sz w:val="16"/>
        </w:rPr>
        <w:t> </w:t>
      </w:r>
      <w:r>
        <w:rPr>
          <w:color w:val="231F20"/>
          <w:sz w:val="16"/>
        </w:rPr>
        <w:t>one</w:t>
      </w:r>
      <w:r>
        <w:rPr>
          <w:color w:val="231F20"/>
          <w:spacing w:val="-19"/>
          <w:sz w:val="16"/>
        </w:rPr>
        <w:t> </w:t>
      </w:r>
      <w:r>
        <w:rPr>
          <w:color w:val="231F20"/>
          <w:sz w:val="16"/>
        </w:rPr>
        <w:t>director</w:t>
      </w:r>
      <w:r>
        <w:rPr>
          <w:color w:val="231F20"/>
          <w:spacing w:val="-19"/>
          <w:sz w:val="16"/>
        </w:rPr>
        <w:t> </w:t>
      </w:r>
      <w:r>
        <w:rPr>
          <w:color w:val="231F20"/>
          <w:sz w:val="16"/>
        </w:rPr>
        <w:t>with</w:t>
      </w:r>
      <w:r>
        <w:rPr>
          <w:color w:val="231F20"/>
          <w:spacing w:val="-19"/>
          <w:sz w:val="16"/>
        </w:rPr>
        <w:t> </w:t>
      </w:r>
      <w:r>
        <w:rPr>
          <w:color w:val="231F20"/>
          <w:sz w:val="16"/>
        </w:rPr>
        <w:t>accounting</w:t>
      </w:r>
      <w:r>
        <w:rPr>
          <w:color w:val="231F20"/>
          <w:spacing w:val="-19"/>
          <w:sz w:val="16"/>
        </w:rPr>
        <w:t> </w:t>
      </w:r>
      <w:r>
        <w:rPr>
          <w:color w:val="231F20"/>
          <w:sz w:val="16"/>
        </w:rPr>
        <w:t>expertise.</w:t>
      </w:r>
      <w:r>
        <w:rPr>
          <w:color w:val="231F20"/>
          <w:spacing w:val="-19"/>
          <w:sz w:val="16"/>
        </w:rPr>
        <w:t> </w:t>
      </w:r>
      <w:r>
        <w:rPr>
          <w:color w:val="231F20"/>
          <w:sz w:val="16"/>
        </w:rPr>
        <w:t>Finally,</w:t>
      </w:r>
      <w:r>
        <w:rPr>
          <w:color w:val="231F20"/>
          <w:spacing w:val="-19"/>
          <w:sz w:val="16"/>
        </w:rPr>
        <w:t> </w:t>
      </w:r>
      <w:r>
        <w:rPr>
          <w:color w:val="231F20"/>
          <w:sz w:val="16"/>
        </w:rPr>
        <w:t>we</w:t>
      </w:r>
      <w:r>
        <w:rPr>
          <w:color w:val="231F20"/>
          <w:spacing w:val="-19"/>
          <w:sz w:val="16"/>
        </w:rPr>
        <w:t> </w:t>
      </w:r>
      <w:r>
        <w:rPr>
          <w:color w:val="231F20"/>
          <w:sz w:val="16"/>
        </w:rPr>
        <w:t>find</w:t>
      </w:r>
      <w:r>
        <w:rPr>
          <w:color w:val="231F20"/>
          <w:spacing w:val="-19"/>
          <w:sz w:val="16"/>
        </w:rPr>
        <w:t> </w:t>
      </w:r>
      <w:r>
        <w:rPr>
          <w:color w:val="231F20"/>
          <w:sz w:val="16"/>
        </w:rPr>
        <w:t>at</w:t>
      </w:r>
      <w:r>
        <w:rPr>
          <w:color w:val="231F20"/>
          <w:spacing w:val="-19"/>
          <w:sz w:val="16"/>
        </w:rPr>
        <w:t> </w:t>
      </w:r>
      <w:r>
        <w:rPr>
          <w:color w:val="231F20"/>
          <w:sz w:val="16"/>
        </w:rPr>
        <w:t>least</w:t>
      </w:r>
      <w:r>
        <w:rPr>
          <w:color w:val="231F20"/>
          <w:spacing w:val="-19"/>
          <w:sz w:val="16"/>
        </w:rPr>
        <w:t> </w:t>
      </w:r>
      <w:r>
        <w:rPr>
          <w:color w:val="231F20"/>
          <w:sz w:val="16"/>
        </w:rPr>
        <w:t>one</w:t>
      </w:r>
      <w:r>
        <w:rPr>
          <w:color w:val="231F20"/>
          <w:spacing w:val="-19"/>
          <w:sz w:val="16"/>
        </w:rPr>
        <w:t> </w:t>
      </w:r>
      <w:r>
        <w:rPr>
          <w:color w:val="231F20"/>
          <w:sz w:val="16"/>
        </w:rPr>
        <w:t>director</w:t>
      </w:r>
      <w:r>
        <w:rPr>
          <w:color w:val="231F20"/>
          <w:spacing w:val="-19"/>
          <w:sz w:val="16"/>
        </w:rPr>
        <w:t> </w:t>
      </w:r>
      <w:r>
        <w:rPr>
          <w:color w:val="231F20"/>
          <w:sz w:val="16"/>
        </w:rPr>
        <w:t>with</w:t>
      </w:r>
      <w:r>
        <w:rPr>
          <w:color w:val="231F20"/>
          <w:spacing w:val="-19"/>
          <w:sz w:val="16"/>
        </w:rPr>
        <w:t> </w:t>
      </w:r>
      <w:r>
        <w:rPr>
          <w:color w:val="231F20"/>
          <w:sz w:val="16"/>
        </w:rPr>
        <w:t>industry expertise on 28.2% of firm-years in our</w:t>
      </w:r>
      <w:r>
        <w:rPr>
          <w:color w:val="231F20"/>
          <w:spacing w:val="1"/>
          <w:sz w:val="16"/>
        </w:rPr>
        <w:t> </w:t>
      </w:r>
      <w:r>
        <w:rPr>
          <w:color w:val="231F20"/>
          <w:sz w:val="16"/>
        </w:rPr>
        <w:t>sample.</w:t>
      </w:r>
    </w:p>
    <w:p>
      <w:pPr>
        <w:spacing w:after="0" w:line="237" w:lineRule="auto"/>
        <w:jc w:val="both"/>
        <w:rPr>
          <w:sz w:val="16"/>
        </w:rPr>
        <w:sectPr>
          <w:headerReference w:type="even" r:id="rId14"/>
          <w:headerReference w:type="default" r:id="rId15"/>
          <w:pgSz w:w="9720" w:h="14400"/>
          <w:pgMar w:header="1055" w:footer="0" w:top="1300" w:bottom="280" w:left="1280" w:right="1300"/>
        </w:sectPr>
      </w:pPr>
    </w:p>
    <w:p>
      <w:pPr>
        <w:pStyle w:val="BodyText"/>
        <w:spacing w:line="230" w:lineRule="auto" w:before="178"/>
        <w:ind w:left="532" w:right="149"/>
        <w:jc w:val="both"/>
      </w:pPr>
      <w:r>
        <w:rPr/>
        <w:t>and default risk in 1993 are also negatively correlated, as near insolvent firms</w:t>
      </w:r>
      <w:r>
        <w:rPr>
          <w:spacing w:val="-16"/>
        </w:rPr>
        <w:t> </w:t>
      </w:r>
      <w:r>
        <w:rPr/>
        <w:t>are</w:t>
      </w:r>
      <w:r>
        <w:rPr>
          <w:spacing w:val="-16"/>
        </w:rPr>
        <w:t> </w:t>
      </w:r>
      <w:r>
        <w:rPr/>
        <w:t>more</w:t>
      </w:r>
      <w:r>
        <w:rPr>
          <w:spacing w:val="-16"/>
        </w:rPr>
        <w:t> </w:t>
      </w:r>
      <w:r>
        <w:rPr/>
        <w:t>likely</w:t>
      </w:r>
      <w:r>
        <w:rPr>
          <w:spacing w:val="-16"/>
        </w:rPr>
        <w:t> </w:t>
      </w:r>
      <w:r>
        <w:rPr/>
        <w:t>to</w:t>
      </w:r>
      <w:r>
        <w:rPr>
          <w:spacing w:val="-16"/>
        </w:rPr>
        <w:t> </w:t>
      </w:r>
      <w:r>
        <w:rPr/>
        <w:t>be</w:t>
      </w:r>
      <w:r>
        <w:rPr>
          <w:spacing w:val="-16"/>
        </w:rPr>
        <w:t> </w:t>
      </w:r>
      <w:r>
        <w:rPr/>
        <w:t>undercapitalized.</w:t>
      </w:r>
      <w:r>
        <w:rPr>
          <w:spacing w:val="-15"/>
        </w:rPr>
        <w:t> </w:t>
      </w:r>
      <w:r>
        <w:rPr/>
        <w:t>Other</w:t>
      </w:r>
      <w:r>
        <w:rPr>
          <w:spacing w:val="-16"/>
        </w:rPr>
        <w:t> </w:t>
      </w:r>
      <w:r>
        <w:rPr/>
        <w:t>significant</w:t>
      </w:r>
      <w:r>
        <w:rPr>
          <w:spacing w:val="-16"/>
        </w:rPr>
        <w:t> </w:t>
      </w:r>
      <w:r>
        <w:rPr/>
        <w:t>correlations are generally in line with</w:t>
      </w:r>
      <w:r>
        <w:rPr>
          <w:spacing w:val="-1"/>
        </w:rPr>
        <w:t> </w:t>
      </w:r>
      <w:r>
        <w:rPr/>
        <w:t>expectations.</w:t>
      </w:r>
    </w:p>
    <w:p>
      <w:pPr>
        <w:pStyle w:val="BodyText"/>
        <w:spacing w:before="9"/>
        <w:rPr>
          <w:sz w:val="26"/>
        </w:rPr>
      </w:pPr>
    </w:p>
    <w:p>
      <w:pPr>
        <w:pStyle w:val="Heading1"/>
        <w:numPr>
          <w:ilvl w:val="0"/>
          <w:numId w:val="3"/>
        </w:numPr>
        <w:tabs>
          <w:tab w:pos="844" w:val="left" w:leader="none"/>
        </w:tabs>
        <w:spacing w:line="240" w:lineRule="auto" w:before="0" w:after="0"/>
        <w:ind w:left="843" w:right="0" w:hanging="311"/>
        <w:jc w:val="left"/>
        <w:rPr>
          <w:i/>
        </w:rPr>
      </w:pPr>
      <w:r>
        <w:rPr>
          <w:i/>
        </w:rPr>
        <w:t>Empirical Results</w:t>
      </w:r>
    </w:p>
    <w:p>
      <w:pPr>
        <w:pStyle w:val="ListParagraph"/>
        <w:numPr>
          <w:ilvl w:val="1"/>
          <w:numId w:val="3"/>
        </w:numPr>
        <w:tabs>
          <w:tab w:pos="910" w:val="left" w:leader="none"/>
        </w:tabs>
        <w:spacing w:line="264" w:lineRule="auto" w:before="130" w:after="0"/>
        <w:ind w:left="532" w:right="1279" w:firstLine="0"/>
        <w:jc w:val="left"/>
        <w:rPr>
          <w:sz w:val="16"/>
        </w:rPr>
      </w:pPr>
      <w:r>
        <w:rPr>
          <w:sz w:val="16"/>
        </w:rPr>
        <w:t>MAIN RESULTS ON THE COURT RULING AND ACCOUNTING CONSERVATISM</w:t>
      </w:r>
    </w:p>
    <w:p>
      <w:pPr>
        <w:pStyle w:val="BodyText"/>
        <w:spacing w:line="230" w:lineRule="auto" w:before="69"/>
        <w:ind w:left="532" w:right="149" w:firstLine="199"/>
        <w:jc w:val="both"/>
      </w:pPr>
      <w:r>
        <w:rPr/>
        <w:pict>
          <v:shape style="position:absolute;margin-left:349.004456pt;margin-top:16.692234pt;width:7.8pt;height:17.45pt;mso-position-horizontal-relative:page;mso-position-vertical-relative:paragraph;z-index:-68584"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93.762421pt;margin-top:76.470825pt;width:7.8pt;height:17.45pt;mso-position-horizontal-relative:page;mso-position-vertical-relative:paragraph;z-index:-68560"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113.148857pt;margin-top:124.288315pt;width:7.8pt;height:17.45pt;mso-position-horizontal-relative:page;mso-position-vertical-relative:paragraph;z-index:-68536"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46.836578pt;margin-top:112.336182pt;width:37.25pt;height:17.45pt;mso-position-horizontal-relative:page;mso-position-vertical-relative:paragraph;z-index:-68512" type="#_x0000_t202" filled="false" stroked="false">
            <v:textbox inset="0,0,0,0">
              <w:txbxContent>
                <w:p>
                  <w:pPr>
                    <w:pStyle w:val="BodyText"/>
                    <w:tabs>
                      <w:tab w:pos="58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264.853363pt;margin-top:64.509727pt;width:119.65pt;height:17.45pt;mso-position-horizontal-relative:page;mso-position-vertical-relative:paragraph;z-index:-68440" type="#_x0000_t202" filled="false" stroked="false">
            <v:textbox inset="0,0,0,0">
              <w:txbxContent>
                <w:p>
                  <w:pPr>
                    <w:pStyle w:val="BodyText"/>
                    <w:tabs>
                      <w:tab w:pos="934" w:val="left" w:leader="none"/>
                      <w:tab w:pos="2236"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t>Panel</w:t>
      </w:r>
      <w:r>
        <w:rPr>
          <w:spacing w:val="-10"/>
        </w:rPr>
        <w:t> </w:t>
      </w:r>
      <w:r>
        <w:rPr/>
        <w:t>A</w:t>
      </w:r>
      <w:r>
        <w:rPr>
          <w:spacing w:val="-10"/>
        </w:rPr>
        <w:t> </w:t>
      </w:r>
      <w:r>
        <w:rPr/>
        <w:t>of</w:t>
      </w:r>
      <w:r>
        <w:rPr>
          <w:spacing w:val="-10"/>
        </w:rPr>
        <w:t> </w:t>
      </w:r>
      <w:r>
        <w:rPr/>
        <w:t>table</w:t>
      </w:r>
      <w:r>
        <w:rPr>
          <w:spacing w:val="-10"/>
        </w:rPr>
        <w:t> </w:t>
      </w:r>
      <w:r>
        <w:rPr/>
        <w:t>4</w:t>
      </w:r>
      <w:r>
        <w:rPr>
          <w:spacing w:val="-10"/>
        </w:rPr>
        <w:t> </w:t>
      </w:r>
      <w:r>
        <w:rPr/>
        <w:t>presents</w:t>
      </w:r>
      <w:r>
        <w:rPr>
          <w:spacing w:val="-10"/>
        </w:rPr>
        <w:t> </w:t>
      </w:r>
      <w:r>
        <w:rPr/>
        <w:t>three</w:t>
      </w:r>
      <w:r>
        <w:rPr>
          <w:spacing w:val="-10"/>
        </w:rPr>
        <w:t> </w:t>
      </w:r>
      <w:r>
        <w:rPr/>
        <w:t>types</w:t>
      </w:r>
      <w:r>
        <w:rPr>
          <w:spacing w:val="-10"/>
        </w:rPr>
        <w:t> </w:t>
      </w:r>
      <w:r>
        <w:rPr/>
        <w:t>of</w:t>
      </w:r>
      <w:r>
        <w:rPr>
          <w:spacing w:val="-10"/>
        </w:rPr>
        <w:t> </w:t>
      </w:r>
      <w:r>
        <w:rPr/>
        <w:t>difference-in-differences</w:t>
      </w:r>
      <w:r>
        <w:rPr>
          <w:spacing w:val="-9"/>
        </w:rPr>
        <w:t> </w:t>
      </w:r>
      <w:r>
        <w:rPr/>
        <w:t>tests. First, we constrain the sample to Delaware firms (i.e., </w:t>
      </w:r>
      <w:r>
        <w:rPr>
          <w:i/>
        </w:rPr>
        <w:t>DEL </w:t>
      </w:r>
      <w:r>
        <w:rPr/>
        <w:t>1) and com- pare</w:t>
      </w:r>
      <w:r>
        <w:rPr>
          <w:spacing w:val="-6"/>
        </w:rPr>
        <w:t> </w:t>
      </w:r>
      <w:r>
        <w:rPr/>
        <w:t>the</w:t>
      </w:r>
      <w:r>
        <w:rPr>
          <w:spacing w:val="-5"/>
        </w:rPr>
        <w:t> </w:t>
      </w:r>
      <w:r>
        <w:rPr/>
        <w:t>increase</w:t>
      </w:r>
      <w:r>
        <w:rPr>
          <w:spacing w:val="-6"/>
        </w:rPr>
        <w:t> </w:t>
      </w:r>
      <w:r>
        <w:rPr/>
        <w:t>in</w:t>
      </w:r>
      <w:r>
        <w:rPr>
          <w:spacing w:val="-5"/>
        </w:rPr>
        <w:t> </w:t>
      </w:r>
      <w:r>
        <w:rPr/>
        <w:t>conservatism</w:t>
      </w:r>
      <w:r>
        <w:rPr>
          <w:spacing w:val="-6"/>
        </w:rPr>
        <w:t> </w:t>
      </w:r>
      <w:r>
        <w:rPr/>
        <w:t>for</w:t>
      </w:r>
      <w:r>
        <w:rPr>
          <w:spacing w:val="-5"/>
        </w:rPr>
        <w:t> </w:t>
      </w:r>
      <w:r>
        <w:rPr/>
        <w:t>firms</w:t>
      </w:r>
      <w:r>
        <w:rPr>
          <w:spacing w:val="-6"/>
        </w:rPr>
        <w:t> </w:t>
      </w:r>
      <w:r>
        <w:rPr/>
        <w:t>near</w:t>
      </w:r>
      <w:r>
        <w:rPr>
          <w:spacing w:val="-5"/>
        </w:rPr>
        <w:t> </w:t>
      </w:r>
      <w:r>
        <w:rPr/>
        <w:t>insolvency</w:t>
      </w:r>
      <w:r>
        <w:rPr>
          <w:spacing w:val="-5"/>
        </w:rPr>
        <w:t> </w:t>
      </w:r>
      <w:r>
        <w:rPr/>
        <w:t>and</w:t>
      </w:r>
      <w:r>
        <w:rPr>
          <w:spacing w:val="-5"/>
        </w:rPr>
        <w:t> </w:t>
      </w:r>
      <w:r>
        <w:rPr/>
        <w:t>those</w:t>
      </w:r>
      <w:r>
        <w:rPr>
          <w:spacing w:val="-6"/>
        </w:rPr>
        <w:t> </w:t>
      </w:r>
      <w:r>
        <w:rPr/>
        <w:t>that are</w:t>
      </w:r>
      <w:r>
        <w:rPr>
          <w:spacing w:val="-10"/>
        </w:rPr>
        <w:t> </w:t>
      </w:r>
      <w:r>
        <w:rPr/>
        <w:t>not.</w:t>
      </w:r>
      <w:r>
        <w:rPr>
          <w:spacing w:val="-10"/>
        </w:rPr>
        <w:t> </w:t>
      </w:r>
      <w:r>
        <w:rPr>
          <w:spacing w:val="-6"/>
        </w:rPr>
        <w:t>We</w:t>
      </w:r>
      <w:r>
        <w:rPr>
          <w:spacing w:val="-10"/>
        </w:rPr>
        <w:t> </w:t>
      </w:r>
      <w:r>
        <w:rPr/>
        <w:t>find</w:t>
      </w:r>
      <w:r>
        <w:rPr>
          <w:spacing w:val="-10"/>
        </w:rPr>
        <w:t> </w:t>
      </w:r>
      <w:r>
        <w:rPr/>
        <w:t>that,</w:t>
      </w:r>
      <w:r>
        <w:rPr>
          <w:spacing w:val="-9"/>
        </w:rPr>
        <w:t> </w:t>
      </w:r>
      <w:r>
        <w:rPr/>
        <w:t>after</w:t>
      </w:r>
      <w:r>
        <w:rPr>
          <w:spacing w:val="-9"/>
        </w:rPr>
        <w:t> </w:t>
      </w:r>
      <w:r>
        <w:rPr/>
        <w:t>the</w:t>
      </w:r>
      <w:r>
        <w:rPr>
          <w:spacing w:val="-10"/>
        </w:rPr>
        <w:t> </w:t>
      </w:r>
      <w:r>
        <w:rPr/>
        <w:t>court</w:t>
      </w:r>
      <w:r>
        <w:rPr>
          <w:spacing w:val="-10"/>
        </w:rPr>
        <w:t> </w:t>
      </w:r>
      <w:r>
        <w:rPr/>
        <w:t>ruling,</w:t>
      </w:r>
      <w:r>
        <w:rPr>
          <w:spacing w:val="-10"/>
        </w:rPr>
        <w:t> </w:t>
      </w:r>
      <w:r>
        <w:rPr/>
        <w:t>near</w:t>
      </w:r>
      <w:r>
        <w:rPr>
          <w:spacing w:val="-10"/>
        </w:rPr>
        <w:t> </w:t>
      </w:r>
      <w:r>
        <w:rPr/>
        <w:t>insolvent</w:t>
      </w:r>
      <w:r>
        <w:rPr>
          <w:spacing w:val="-10"/>
        </w:rPr>
        <w:t> </w:t>
      </w:r>
      <w:r>
        <w:rPr/>
        <w:t>Delaware</w:t>
      </w:r>
      <w:r>
        <w:rPr>
          <w:spacing w:val="-9"/>
        </w:rPr>
        <w:t> </w:t>
      </w:r>
      <w:r>
        <w:rPr/>
        <w:t>firms increase</w:t>
      </w:r>
      <w:r>
        <w:rPr>
          <w:spacing w:val="-18"/>
        </w:rPr>
        <w:t> </w:t>
      </w:r>
      <w:r>
        <w:rPr/>
        <w:t>conservatism</w:t>
      </w:r>
      <w:r>
        <w:rPr>
          <w:spacing w:val="-18"/>
        </w:rPr>
        <w:t> </w:t>
      </w:r>
      <w:r>
        <w:rPr/>
        <w:t>significantly</w:t>
      </w:r>
      <w:r>
        <w:rPr>
          <w:spacing w:val="-18"/>
        </w:rPr>
        <w:t> </w:t>
      </w:r>
      <w:r>
        <w:rPr/>
        <w:t>more</w:t>
      </w:r>
      <w:r>
        <w:rPr>
          <w:spacing w:val="-18"/>
        </w:rPr>
        <w:t> </w:t>
      </w:r>
      <w:r>
        <w:rPr/>
        <w:t>than</w:t>
      </w:r>
      <w:r>
        <w:rPr>
          <w:spacing w:val="-18"/>
        </w:rPr>
        <w:t> </w:t>
      </w:r>
      <w:r>
        <w:rPr/>
        <w:t>not</w:t>
      </w:r>
      <w:r>
        <w:rPr>
          <w:spacing w:val="-18"/>
        </w:rPr>
        <w:t> </w:t>
      </w:r>
      <w:r>
        <w:rPr/>
        <w:t>near</w:t>
      </w:r>
      <w:r>
        <w:rPr>
          <w:spacing w:val="-18"/>
        </w:rPr>
        <w:t> </w:t>
      </w:r>
      <w:r>
        <w:rPr/>
        <w:t>insolvent</w:t>
      </w:r>
      <w:r>
        <w:rPr>
          <w:spacing w:val="-18"/>
        </w:rPr>
        <w:t> </w:t>
      </w:r>
      <w:r>
        <w:rPr/>
        <w:t>Delaware firms (column (i): coefficient on </w:t>
      </w:r>
      <w:r>
        <w:rPr>
          <w:i/>
        </w:rPr>
        <w:t>POST HEDF93 </w:t>
      </w:r>
      <w:r>
        <w:rPr/>
        <w:t>0.393, </w:t>
      </w:r>
      <w:r>
        <w:rPr>
          <w:i/>
        </w:rPr>
        <w:t>t</w:t>
      </w:r>
      <w:r>
        <w:rPr/>
        <w:t>-stat 4.48).  Second, we focus on a subsample of near insolvent firms (i.e., </w:t>
      </w:r>
      <w:r>
        <w:rPr>
          <w:i/>
        </w:rPr>
        <w:t>HEDF93</w:t>
      </w:r>
      <w:r>
        <w:rPr>
          <w:i/>
          <w:spacing w:val="20"/>
        </w:rPr>
        <w:t> </w:t>
      </w:r>
      <w:r>
        <w:rPr/>
        <w:t>1) and</w:t>
      </w:r>
      <w:r>
        <w:rPr>
          <w:spacing w:val="-7"/>
        </w:rPr>
        <w:t> </w:t>
      </w:r>
      <w:r>
        <w:rPr/>
        <w:t>find</w:t>
      </w:r>
      <w:r>
        <w:rPr>
          <w:spacing w:val="-7"/>
        </w:rPr>
        <w:t> </w:t>
      </w:r>
      <w:r>
        <w:rPr/>
        <w:t>that</w:t>
      </w:r>
      <w:r>
        <w:rPr>
          <w:spacing w:val="-7"/>
        </w:rPr>
        <w:t> </w:t>
      </w:r>
      <w:r>
        <w:rPr/>
        <w:t>the</w:t>
      </w:r>
      <w:r>
        <w:rPr>
          <w:spacing w:val="-7"/>
        </w:rPr>
        <w:t> </w:t>
      </w:r>
      <w:r>
        <w:rPr/>
        <w:t>change</w:t>
      </w:r>
      <w:r>
        <w:rPr>
          <w:spacing w:val="-7"/>
        </w:rPr>
        <w:t> </w:t>
      </w:r>
      <w:r>
        <w:rPr/>
        <w:t>in</w:t>
      </w:r>
      <w:r>
        <w:rPr>
          <w:spacing w:val="-7"/>
        </w:rPr>
        <w:t> </w:t>
      </w:r>
      <w:r>
        <w:rPr/>
        <w:t>conservatism</w:t>
      </w:r>
      <w:r>
        <w:rPr>
          <w:spacing w:val="-8"/>
        </w:rPr>
        <w:t> </w:t>
      </w:r>
      <w:r>
        <w:rPr/>
        <w:t>around</w:t>
      </w:r>
      <w:r>
        <w:rPr>
          <w:spacing w:val="-7"/>
        </w:rPr>
        <w:t> </w:t>
      </w:r>
      <w:r>
        <w:rPr/>
        <w:t>the</w:t>
      </w:r>
      <w:r>
        <w:rPr>
          <w:spacing w:val="-7"/>
        </w:rPr>
        <w:t> </w:t>
      </w:r>
      <w:r>
        <w:rPr/>
        <w:t>court</w:t>
      </w:r>
      <w:r>
        <w:rPr>
          <w:spacing w:val="-7"/>
        </w:rPr>
        <w:t> </w:t>
      </w:r>
      <w:r>
        <w:rPr/>
        <w:t>ruling</w:t>
      </w:r>
      <w:r>
        <w:rPr>
          <w:spacing w:val="-8"/>
        </w:rPr>
        <w:t> </w:t>
      </w:r>
      <w:r>
        <w:rPr/>
        <w:t>is</w:t>
      </w:r>
      <w:r>
        <w:rPr>
          <w:spacing w:val="-8"/>
        </w:rPr>
        <w:t> </w:t>
      </w:r>
      <w:r>
        <w:rPr/>
        <w:t>signif- icantly</w:t>
      </w:r>
      <w:r>
        <w:rPr>
          <w:spacing w:val="-17"/>
        </w:rPr>
        <w:t> </w:t>
      </w:r>
      <w:r>
        <w:rPr/>
        <w:t>larger</w:t>
      </w:r>
      <w:r>
        <w:rPr>
          <w:spacing w:val="-17"/>
        </w:rPr>
        <w:t> </w:t>
      </w:r>
      <w:r>
        <w:rPr/>
        <w:t>for</w:t>
      </w:r>
      <w:r>
        <w:rPr>
          <w:spacing w:val="-17"/>
        </w:rPr>
        <w:t> </w:t>
      </w:r>
      <w:r>
        <w:rPr/>
        <w:t>near</w:t>
      </w:r>
      <w:r>
        <w:rPr>
          <w:spacing w:val="-17"/>
        </w:rPr>
        <w:t> </w:t>
      </w:r>
      <w:r>
        <w:rPr/>
        <w:t>insolvent</w:t>
      </w:r>
      <w:r>
        <w:rPr>
          <w:spacing w:val="-17"/>
        </w:rPr>
        <w:t> </w:t>
      </w:r>
      <w:r>
        <w:rPr/>
        <w:t>firms</w:t>
      </w:r>
      <w:r>
        <w:rPr>
          <w:spacing w:val="-17"/>
        </w:rPr>
        <w:t> </w:t>
      </w:r>
      <w:r>
        <w:rPr/>
        <w:t>incorporated</w:t>
      </w:r>
      <w:r>
        <w:rPr>
          <w:spacing w:val="-17"/>
        </w:rPr>
        <w:t> </w:t>
      </w:r>
      <w:r>
        <w:rPr/>
        <w:t>in</w:t>
      </w:r>
      <w:r>
        <w:rPr>
          <w:spacing w:val="-17"/>
        </w:rPr>
        <w:t> </w:t>
      </w:r>
      <w:r>
        <w:rPr/>
        <w:t>Delaware</w:t>
      </w:r>
      <w:r>
        <w:rPr>
          <w:spacing w:val="-17"/>
        </w:rPr>
        <w:t> </w:t>
      </w:r>
      <w:r>
        <w:rPr/>
        <w:t>than</w:t>
      </w:r>
      <w:r>
        <w:rPr>
          <w:spacing w:val="-17"/>
        </w:rPr>
        <w:t> </w:t>
      </w:r>
      <w:r>
        <w:rPr/>
        <w:t>those incorporated elsewhere (column (ii): coefficient on </w:t>
      </w:r>
      <w:r>
        <w:rPr>
          <w:i/>
        </w:rPr>
        <w:t>POST DEL </w:t>
      </w:r>
      <w:r>
        <w:rPr/>
        <w:t>0.497,  </w:t>
      </w:r>
      <w:r>
        <w:rPr>
          <w:i/>
        </w:rPr>
        <w:t>t</w:t>
      </w:r>
      <w:r>
        <w:rPr/>
        <w:t>-stat</w:t>
      </w:r>
      <w:r>
        <w:rPr>
          <w:spacing w:val="6"/>
        </w:rPr>
        <w:t> </w:t>
      </w:r>
      <w:r>
        <w:rPr/>
        <w:t>4.26).</w:t>
      </w:r>
    </w:p>
    <w:p>
      <w:pPr>
        <w:pStyle w:val="BodyText"/>
        <w:spacing w:line="230" w:lineRule="auto" w:before="6"/>
        <w:ind w:left="532" w:right="149" w:firstLine="199"/>
        <w:jc w:val="both"/>
      </w:pPr>
      <w:r>
        <w:rPr/>
        <w:pict>
          <v:line style="position:absolute;mso-position-horizontal-relative:page;mso-position-vertical-relative:paragraph;z-index:-68632" from="392.093994pt,69.085098pt" to="395.090994pt,69.085098pt" stroked="true" strokeweight=".405pt" strokecolor="#000000">
            <v:stroke dashstyle="solid"/>
            <w10:wrap type="none"/>
          </v:line>
        </w:pict>
      </w:r>
      <w:r>
        <w:rPr/>
        <w:pict>
          <v:shape style="position:absolute;margin-left:109.521004pt;margin-top:37.453865pt;width:73.6pt;height:17.45pt;mso-position-horizontal-relative:page;mso-position-vertical-relative:paragraph;z-index:-68488" type="#_x0000_t202" filled="false" stroked="false">
            <v:textbox inset="0,0,0,0">
              <w:txbxContent>
                <w:p>
                  <w:pPr>
                    <w:pStyle w:val="BodyText"/>
                    <w:tabs>
                      <w:tab w:pos="1316"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233.651489pt;margin-top:25.494335pt;width:33.8pt;height:17.45pt;mso-position-horizontal-relative:page;mso-position-vertical-relative:paragraph;z-index:-68464"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t>Last, we estimate the full model (1) on the entire sample and present the result in column (iii) in panel A. As predicted by our hypothesis, we find</w:t>
      </w:r>
      <w:r>
        <w:rPr>
          <w:spacing w:val="-13"/>
        </w:rPr>
        <w:t> </w:t>
      </w:r>
      <w:r>
        <w:rPr/>
        <w:t>that</w:t>
      </w:r>
      <w:r>
        <w:rPr>
          <w:spacing w:val="-13"/>
        </w:rPr>
        <w:t> </w:t>
      </w:r>
      <w:r>
        <w:rPr/>
        <w:t>the</w:t>
      </w:r>
      <w:r>
        <w:rPr>
          <w:spacing w:val="-13"/>
        </w:rPr>
        <w:t> </w:t>
      </w:r>
      <w:r>
        <w:rPr/>
        <w:t>coefficient</w:t>
      </w:r>
      <w:r>
        <w:rPr>
          <w:spacing w:val="-13"/>
        </w:rPr>
        <w:t> </w:t>
      </w:r>
      <w:r>
        <w:rPr/>
        <w:t>on</w:t>
      </w:r>
      <w:r>
        <w:rPr>
          <w:spacing w:val="-13"/>
        </w:rPr>
        <w:t> </w:t>
      </w:r>
      <w:r>
        <w:rPr>
          <w:i/>
        </w:rPr>
        <w:t>POST</w:t>
      </w:r>
      <w:r>
        <w:rPr>
          <w:i/>
          <w:spacing w:val="12"/>
        </w:rPr>
        <w:t> </w:t>
      </w:r>
      <w:r>
        <w:rPr>
          <w:i/>
        </w:rPr>
        <w:t>DEL</w:t>
      </w:r>
      <w:r>
        <w:rPr>
          <w:i/>
          <w:spacing w:val="12"/>
        </w:rPr>
        <w:t> </w:t>
      </w:r>
      <w:r>
        <w:rPr>
          <w:i/>
        </w:rPr>
        <w:t>HEDF93</w:t>
      </w:r>
      <w:r>
        <w:rPr>
          <w:i/>
          <w:spacing w:val="-13"/>
        </w:rPr>
        <w:t> </w:t>
      </w:r>
      <w:r>
        <w:rPr/>
        <w:t>is</w:t>
      </w:r>
      <w:r>
        <w:rPr>
          <w:spacing w:val="-13"/>
        </w:rPr>
        <w:t> </w:t>
      </w:r>
      <w:r>
        <w:rPr/>
        <w:t>positive</w:t>
      </w:r>
      <w:r>
        <w:rPr>
          <w:spacing w:val="-13"/>
        </w:rPr>
        <w:t> </w:t>
      </w:r>
      <w:r>
        <w:rPr/>
        <w:t>and</w:t>
      </w:r>
      <w:r>
        <w:rPr>
          <w:spacing w:val="-13"/>
        </w:rPr>
        <w:t> </w:t>
      </w:r>
      <w:r>
        <w:rPr/>
        <w:t>significant </w:t>
      </w:r>
      <w:r>
        <w:rPr>
          <w:spacing w:val="3"/>
        </w:rPr>
        <w:t>(</w:t>
      </w:r>
      <w:r>
        <w:rPr>
          <w:rFonts w:ascii="Verdana" w:hAnsi="Verdana"/>
          <w:i/>
          <w:spacing w:val="3"/>
        </w:rPr>
        <w:t>β</w:t>
      </w:r>
      <w:r>
        <w:rPr>
          <w:color w:val="231F20"/>
          <w:spacing w:val="3"/>
          <w:vertAlign w:val="subscript"/>
        </w:rPr>
        <w:t>7</w:t>
      </w:r>
      <w:r>
        <w:rPr>
          <w:color w:val="231F20"/>
          <w:spacing w:val="3"/>
          <w:vertAlign w:val="baseline"/>
        </w:rPr>
        <w:t>  </w:t>
      </w:r>
      <w:r>
        <w:rPr>
          <w:vertAlign w:val="baseline"/>
        </w:rPr>
        <w:t>0.489, </w:t>
      </w:r>
      <w:r>
        <w:rPr>
          <w:i/>
          <w:vertAlign w:val="baseline"/>
        </w:rPr>
        <w:t>t</w:t>
      </w:r>
      <w:r>
        <w:rPr>
          <w:vertAlign w:val="baseline"/>
        </w:rPr>
        <w:t>-stat  3.82), which suggests that near insolvent Delaware  firms exhibit a larger increase in conservatism around the court ruling. Focusing</w:t>
      </w:r>
      <w:r>
        <w:rPr>
          <w:spacing w:val="-12"/>
          <w:vertAlign w:val="baseline"/>
        </w:rPr>
        <w:t> </w:t>
      </w:r>
      <w:r>
        <w:rPr>
          <w:vertAlign w:val="baseline"/>
        </w:rPr>
        <w:t>on</w:t>
      </w:r>
      <w:r>
        <w:rPr>
          <w:spacing w:val="-12"/>
          <w:vertAlign w:val="baseline"/>
        </w:rPr>
        <w:t> </w:t>
      </w:r>
      <w:r>
        <w:rPr>
          <w:vertAlign w:val="baseline"/>
        </w:rPr>
        <w:t>the</w:t>
      </w:r>
      <w:r>
        <w:rPr>
          <w:spacing w:val="-12"/>
          <w:vertAlign w:val="baseline"/>
        </w:rPr>
        <w:t> </w:t>
      </w:r>
      <w:r>
        <w:rPr>
          <w:vertAlign w:val="baseline"/>
        </w:rPr>
        <w:t>full</w:t>
      </w:r>
      <w:r>
        <w:rPr>
          <w:spacing w:val="-12"/>
          <w:vertAlign w:val="baseline"/>
        </w:rPr>
        <w:t> </w:t>
      </w:r>
      <w:r>
        <w:rPr>
          <w:vertAlign w:val="baseline"/>
        </w:rPr>
        <w:t>specification</w:t>
      </w:r>
      <w:r>
        <w:rPr>
          <w:spacing w:val="-12"/>
          <w:vertAlign w:val="baseline"/>
        </w:rPr>
        <w:t> </w:t>
      </w:r>
      <w:r>
        <w:rPr>
          <w:vertAlign w:val="baseline"/>
        </w:rPr>
        <w:t>in</w:t>
      </w:r>
      <w:r>
        <w:rPr>
          <w:spacing w:val="-12"/>
          <w:vertAlign w:val="baseline"/>
        </w:rPr>
        <w:t> </w:t>
      </w:r>
      <w:r>
        <w:rPr>
          <w:vertAlign w:val="baseline"/>
        </w:rPr>
        <w:t>column</w:t>
      </w:r>
      <w:r>
        <w:rPr>
          <w:spacing w:val="-12"/>
          <w:vertAlign w:val="baseline"/>
        </w:rPr>
        <w:t> </w:t>
      </w:r>
      <w:r>
        <w:rPr>
          <w:vertAlign w:val="baseline"/>
        </w:rPr>
        <w:t>(iii),</w:t>
      </w:r>
      <w:r>
        <w:rPr>
          <w:spacing w:val="-12"/>
          <w:vertAlign w:val="baseline"/>
        </w:rPr>
        <w:t> </w:t>
      </w:r>
      <w:r>
        <w:rPr>
          <w:vertAlign w:val="baseline"/>
        </w:rPr>
        <w:t>we</w:t>
      </w:r>
      <w:r>
        <w:rPr>
          <w:spacing w:val="-12"/>
          <w:vertAlign w:val="baseline"/>
        </w:rPr>
        <w:t> </w:t>
      </w:r>
      <w:r>
        <w:rPr>
          <w:vertAlign w:val="baseline"/>
        </w:rPr>
        <w:t>find</w:t>
      </w:r>
      <w:r>
        <w:rPr>
          <w:spacing w:val="-12"/>
          <w:vertAlign w:val="baseline"/>
        </w:rPr>
        <w:t> </w:t>
      </w:r>
      <w:r>
        <w:rPr>
          <w:vertAlign w:val="baseline"/>
        </w:rPr>
        <w:t>that</w:t>
      </w:r>
      <w:r>
        <w:rPr>
          <w:spacing w:val="-12"/>
          <w:vertAlign w:val="baseline"/>
        </w:rPr>
        <w:t> </w:t>
      </w:r>
      <w:r>
        <w:rPr>
          <w:i/>
          <w:vertAlign w:val="baseline"/>
        </w:rPr>
        <w:t>CRANK</w:t>
      </w:r>
      <w:r>
        <w:rPr>
          <w:i/>
          <w:spacing w:val="6"/>
          <w:vertAlign w:val="baseline"/>
        </w:rPr>
        <w:t> </w:t>
      </w:r>
      <w:r>
        <w:rPr>
          <w:i/>
          <w:vertAlign w:val="baseline"/>
        </w:rPr>
        <w:t>ALL </w:t>
      </w:r>
      <w:r>
        <w:rPr>
          <w:vertAlign w:val="baseline"/>
        </w:rPr>
        <w:t>is</w:t>
      </w:r>
      <w:r>
        <w:rPr>
          <w:spacing w:val="-24"/>
          <w:vertAlign w:val="baseline"/>
        </w:rPr>
        <w:t> </w:t>
      </w:r>
      <w:r>
        <w:rPr>
          <w:vertAlign w:val="baseline"/>
        </w:rPr>
        <w:t>positively</w:t>
      </w:r>
      <w:r>
        <w:rPr>
          <w:spacing w:val="-24"/>
          <w:vertAlign w:val="baseline"/>
        </w:rPr>
        <w:t> </w:t>
      </w:r>
      <w:r>
        <w:rPr>
          <w:vertAlign w:val="baseline"/>
        </w:rPr>
        <w:t>associated</w:t>
      </w:r>
      <w:r>
        <w:rPr>
          <w:spacing w:val="-24"/>
          <w:vertAlign w:val="baseline"/>
        </w:rPr>
        <w:t> </w:t>
      </w:r>
      <w:r>
        <w:rPr>
          <w:vertAlign w:val="baseline"/>
        </w:rPr>
        <w:t>with</w:t>
      </w:r>
      <w:r>
        <w:rPr>
          <w:spacing w:val="-24"/>
          <w:vertAlign w:val="baseline"/>
        </w:rPr>
        <w:t> </w:t>
      </w:r>
      <w:r>
        <w:rPr>
          <w:vertAlign w:val="baseline"/>
        </w:rPr>
        <w:t>litigation</w:t>
      </w:r>
      <w:r>
        <w:rPr>
          <w:spacing w:val="-24"/>
          <w:vertAlign w:val="baseline"/>
        </w:rPr>
        <w:t> </w:t>
      </w:r>
      <w:r>
        <w:rPr>
          <w:vertAlign w:val="baseline"/>
        </w:rPr>
        <w:t>risk</w:t>
      </w:r>
      <w:r>
        <w:rPr>
          <w:spacing w:val="-24"/>
          <w:vertAlign w:val="baseline"/>
        </w:rPr>
        <w:t> </w:t>
      </w:r>
      <w:r>
        <w:rPr>
          <w:vertAlign w:val="baseline"/>
        </w:rPr>
        <w:t>and</w:t>
      </w:r>
      <w:r>
        <w:rPr>
          <w:spacing w:val="-24"/>
          <w:vertAlign w:val="baseline"/>
        </w:rPr>
        <w:t> </w:t>
      </w:r>
      <w:r>
        <w:rPr>
          <w:vertAlign w:val="baseline"/>
        </w:rPr>
        <w:t>institutional</w:t>
      </w:r>
      <w:r>
        <w:rPr>
          <w:spacing w:val="-24"/>
          <w:vertAlign w:val="baseline"/>
        </w:rPr>
        <w:t> </w:t>
      </w:r>
      <w:r>
        <w:rPr>
          <w:vertAlign w:val="baseline"/>
        </w:rPr>
        <w:t>ownership,</w:t>
      </w:r>
      <w:r>
        <w:rPr>
          <w:spacing w:val="-24"/>
          <w:vertAlign w:val="baseline"/>
        </w:rPr>
        <w:t> </w:t>
      </w:r>
      <w:r>
        <w:rPr>
          <w:vertAlign w:val="baseline"/>
        </w:rPr>
        <w:t>and negatively</w:t>
      </w:r>
      <w:r>
        <w:rPr>
          <w:spacing w:val="-32"/>
          <w:vertAlign w:val="baseline"/>
        </w:rPr>
        <w:t> </w:t>
      </w:r>
      <w:r>
        <w:rPr>
          <w:vertAlign w:val="baseline"/>
        </w:rPr>
        <w:t>with</w:t>
      </w:r>
      <w:r>
        <w:rPr>
          <w:spacing w:val="-32"/>
          <w:vertAlign w:val="baseline"/>
        </w:rPr>
        <w:t> </w:t>
      </w:r>
      <w:r>
        <w:rPr>
          <w:vertAlign w:val="baseline"/>
        </w:rPr>
        <w:t>firm</w:t>
      </w:r>
      <w:r>
        <w:rPr>
          <w:spacing w:val="-32"/>
          <w:vertAlign w:val="baseline"/>
        </w:rPr>
        <w:t> </w:t>
      </w:r>
      <w:r>
        <w:rPr>
          <w:vertAlign w:val="baseline"/>
        </w:rPr>
        <w:t>size,</w:t>
      </w:r>
      <w:r>
        <w:rPr>
          <w:spacing w:val="-32"/>
          <w:vertAlign w:val="baseline"/>
        </w:rPr>
        <w:t> </w:t>
      </w:r>
      <w:r>
        <w:rPr>
          <w:vertAlign w:val="baseline"/>
        </w:rPr>
        <w:t>book-to-market</w:t>
      </w:r>
      <w:r>
        <w:rPr>
          <w:spacing w:val="-32"/>
          <w:vertAlign w:val="baseline"/>
        </w:rPr>
        <w:t> </w:t>
      </w:r>
      <w:r>
        <w:rPr>
          <w:vertAlign w:val="baseline"/>
        </w:rPr>
        <w:t>ratio,</w:t>
      </w:r>
      <w:r>
        <w:rPr>
          <w:spacing w:val="-32"/>
          <w:vertAlign w:val="baseline"/>
        </w:rPr>
        <w:t> </w:t>
      </w:r>
      <w:r>
        <w:rPr>
          <w:vertAlign w:val="baseline"/>
        </w:rPr>
        <w:t>and</w:t>
      </w:r>
      <w:r>
        <w:rPr>
          <w:spacing w:val="-32"/>
          <w:vertAlign w:val="baseline"/>
        </w:rPr>
        <w:t> </w:t>
      </w:r>
      <w:r>
        <w:rPr>
          <w:vertAlign w:val="baseline"/>
        </w:rPr>
        <w:t>asset</w:t>
      </w:r>
      <w:r>
        <w:rPr>
          <w:spacing w:val="-32"/>
          <w:vertAlign w:val="baseline"/>
        </w:rPr>
        <w:t> </w:t>
      </w:r>
      <w:r>
        <w:rPr>
          <w:vertAlign w:val="baseline"/>
        </w:rPr>
        <w:t>growth,</w:t>
      </w:r>
      <w:r>
        <w:rPr>
          <w:spacing w:val="-32"/>
          <w:vertAlign w:val="baseline"/>
        </w:rPr>
        <w:t> </w:t>
      </w:r>
      <w:r>
        <w:rPr>
          <w:vertAlign w:val="baseline"/>
        </w:rPr>
        <w:t>consistent with</w:t>
      </w:r>
      <w:r>
        <w:rPr>
          <w:spacing w:val="-13"/>
          <w:vertAlign w:val="baseline"/>
        </w:rPr>
        <w:t> </w:t>
      </w:r>
      <w:r>
        <w:rPr>
          <w:vertAlign w:val="baseline"/>
        </w:rPr>
        <w:t>prior</w:t>
      </w:r>
      <w:r>
        <w:rPr>
          <w:spacing w:val="-13"/>
          <w:vertAlign w:val="baseline"/>
        </w:rPr>
        <w:t> </w:t>
      </w:r>
      <w:r>
        <w:rPr>
          <w:vertAlign w:val="baseline"/>
        </w:rPr>
        <w:t>literature</w:t>
      </w:r>
      <w:r>
        <w:rPr>
          <w:spacing w:val="-13"/>
          <w:vertAlign w:val="baseline"/>
        </w:rPr>
        <w:t> </w:t>
      </w:r>
      <w:r>
        <w:rPr>
          <w:vertAlign w:val="baseline"/>
        </w:rPr>
        <w:t>(e.g.,</w:t>
      </w:r>
      <w:r>
        <w:rPr>
          <w:spacing w:val="-13"/>
          <w:vertAlign w:val="baseline"/>
        </w:rPr>
        <w:t> </w:t>
      </w:r>
      <w:r>
        <w:rPr>
          <w:vertAlign w:val="baseline"/>
        </w:rPr>
        <w:t>Roychowdhury</w:t>
      </w:r>
      <w:r>
        <w:rPr>
          <w:spacing w:val="-13"/>
          <w:vertAlign w:val="baseline"/>
        </w:rPr>
        <w:t> </w:t>
      </w:r>
      <w:r>
        <w:rPr>
          <w:vertAlign w:val="baseline"/>
        </w:rPr>
        <w:t>and</w:t>
      </w:r>
      <w:r>
        <w:rPr>
          <w:spacing w:val="-13"/>
          <w:vertAlign w:val="baseline"/>
        </w:rPr>
        <w:t> </w:t>
      </w:r>
      <w:r>
        <w:rPr>
          <w:spacing w:val="-3"/>
          <w:vertAlign w:val="baseline"/>
        </w:rPr>
        <w:t>Watts</w:t>
      </w:r>
      <w:r>
        <w:rPr>
          <w:spacing w:val="-13"/>
          <w:vertAlign w:val="baseline"/>
        </w:rPr>
        <w:t> </w:t>
      </w:r>
      <w:r>
        <w:rPr>
          <w:vertAlign w:val="baseline"/>
        </w:rPr>
        <w:t>[2007],</w:t>
      </w:r>
      <w:r>
        <w:rPr>
          <w:spacing w:val="-13"/>
          <w:vertAlign w:val="baseline"/>
        </w:rPr>
        <w:t> </w:t>
      </w:r>
      <w:r>
        <w:rPr>
          <w:spacing w:val="-3"/>
          <w:vertAlign w:val="baseline"/>
        </w:rPr>
        <w:t>Beatty,</w:t>
      </w:r>
      <w:r>
        <w:rPr>
          <w:spacing w:val="-13"/>
          <w:vertAlign w:val="baseline"/>
        </w:rPr>
        <w:t> </w:t>
      </w:r>
      <w:r>
        <w:rPr>
          <w:spacing w:val="-6"/>
          <w:vertAlign w:val="baseline"/>
        </w:rPr>
        <w:t>Weber, </w:t>
      </w:r>
      <w:r>
        <w:rPr>
          <w:vertAlign w:val="baseline"/>
        </w:rPr>
        <w:t>and </w:t>
      </w:r>
      <w:r>
        <w:rPr>
          <w:spacing w:val="-4"/>
          <w:vertAlign w:val="baseline"/>
        </w:rPr>
        <w:t>Yu </w:t>
      </w:r>
      <w:r>
        <w:rPr>
          <w:vertAlign w:val="baseline"/>
        </w:rPr>
        <w:t>[2008], Ramalingegowda and </w:t>
      </w:r>
      <w:r>
        <w:rPr>
          <w:spacing w:val="-4"/>
          <w:vertAlign w:val="baseline"/>
        </w:rPr>
        <w:t>Yu</w:t>
      </w:r>
      <w:r>
        <w:rPr>
          <w:spacing w:val="6"/>
          <w:vertAlign w:val="baseline"/>
        </w:rPr>
        <w:t> </w:t>
      </w:r>
      <w:r>
        <w:rPr>
          <w:vertAlign w:val="baseline"/>
        </w:rPr>
        <w:t>[2012]).</w:t>
      </w:r>
    </w:p>
    <w:p>
      <w:pPr>
        <w:pStyle w:val="BodyText"/>
        <w:spacing w:line="230" w:lineRule="auto"/>
        <w:ind w:left="532" w:right="148" w:firstLine="199"/>
        <w:jc w:val="both"/>
        <w:rPr>
          <w:sz w:val="14"/>
        </w:rPr>
      </w:pPr>
      <w:r>
        <w:rPr/>
        <w:pict>
          <v:line style="position:absolute;mso-position-horizontal-relative:page;mso-position-vertical-relative:paragraph;z-index:-68608" from="336.402008pt,183.859833pt" to="338.796008pt,183.859833pt" stroked="true" strokeweight=".405pt" strokecolor="#000000">
            <v:stroke dashstyle="solid"/>
            <w10:wrap type="none"/>
          </v:line>
        </w:pict>
      </w:r>
      <w:r>
        <w:rPr/>
        <w:pict>
          <v:shape style="position:absolute;margin-left:356.178253pt;margin-top:177.718536pt;width:57.25pt;height:13.95pt;mso-position-horizontal-relative:page;mso-position-vertical-relative:paragraph;z-index:-68416" type="#_x0000_t202" filled="false" stroked="false">
            <v:textbox inset="0,0,0,0">
              <w:txbxContent>
                <w:p>
                  <w:pPr>
                    <w:tabs>
                      <w:tab w:pos="1020" w:val="left" w:leader="none"/>
                    </w:tabs>
                    <w:spacing w:line="197" w:lineRule="exact" w:before="0"/>
                    <w:ind w:left="0" w:right="0" w:firstLine="0"/>
                    <w:jc w:val="left"/>
                    <w:rPr>
                      <w:rFonts w:ascii="Lucida Sans Unicode"/>
                      <w:sz w:val="16"/>
                    </w:rPr>
                  </w:pPr>
                  <w:r>
                    <w:rPr>
                      <w:rFonts w:ascii="Lucida Sans Unicode"/>
                      <w:color w:val="231F20"/>
                      <w:sz w:val="16"/>
                    </w:rPr>
                    <w:t>=</w:t>
                    <w:tab/>
                  </w:r>
                  <w:r>
                    <w:rPr>
                      <w:rFonts w:ascii="Lucida Sans Unicode"/>
                      <w:color w:val="231F20"/>
                      <w:w w:val="95"/>
                      <w:sz w:val="16"/>
                    </w:rPr>
                    <w:t>=</w:t>
                  </w:r>
                </w:p>
              </w:txbxContent>
            </v:textbox>
            <w10:wrap type="none"/>
          </v:shape>
        </w:pict>
      </w:r>
      <w:r>
        <w:rPr>
          <w:spacing w:val="-6"/>
        </w:rPr>
        <w:t>We </w:t>
      </w:r>
      <w:r>
        <w:rPr/>
        <w:t>also estimate model (1) using dimensional conservatism  ranks (i.e.,</w:t>
      </w:r>
      <w:r>
        <w:rPr>
          <w:spacing w:val="-9"/>
        </w:rPr>
        <w:t> </w:t>
      </w:r>
      <w:r>
        <w:rPr/>
        <w:t>negative</w:t>
      </w:r>
      <w:r>
        <w:rPr>
          <w:spacing w:val="-9"/>
        </w:rPr>
        <w:t> </w:t>
      </w:r>
      <w:r>
        <w:rPr/>
        <w:t>non-operating</w:t>
      </w:r>
      <w:r>
        <w:rPr>
          <w:spacing w:val="-9"/>
        </w:rPr>
        <w:t> </w:t>
      </w:r>
      <w:r>
        <w:rPr/>
        <w:t>accruals,</w:t>
      </w:r>
      <w:r>
        <w:rPr>
          <w:spacing w:val="-9"/>
        </w:rPr>
        <w:t> </w:t>
      </w:r>
      <w:r>
        <w:rPr/>
        <w:t>relative</w:t>
      </w:r>
      <w:r>
        <w:rPr>
          <w:spacing w:val="-9"/>
        </w:rPr>
        <w:t> </w:t>
      </w:r>
      <w:r>
        <w:rPr/>
        <w:t>earnings</w:t>
      </w:r>
      <w:r>
        <w:rPr>
          <w:spacing w:val="-9"/>
        </w:rPr>
        <w:t> </w:t>
      </w:r>
      <w:r>
        <w:rPr/>
        <w:t>skewness,</w:t>
      </w:r>
      <w:r>
        <w:rPr>
          <w:spacing w:val="-9"/>
        </w:rPr>
        <w:t> </w:t>
      </w:r>
      <w:r>
        <w:rPr/>
        <w:t>and</w:t>
      </w:r>
      <w:r>
        <w:rPr>
          <w:spacing w:val="-9"/>
        </w:rPr>
        <w:t> </w:t>
      </w:r>
      <w:r>
        <w:rPr/>
        <w:t>un- recorded</w:t>
      </w:r>
      <w:r>
        <w:rPr>
          <w:spacing w:val="-15"/>
        </w:rPr>
        <w:t> </w:t>
      </w:r>
      <w:r>
        <w:rPr/>
        <w:t>reserves</w:t>
      </w:r>
      <w:r>
        <w:rPr>
          <w:spacing w:val="-15"/>
        </w:rPr>
        <w:t> </w:t>
      </w:r>
      <w:r>
        <w:rPr/>
        <w:t>on</w:t>
      </w:r>
      <w:r>
        <w:rPr>
          <w:spacing w:val="-15"/>
        </w:rPr>
        <w:t> </w:t>
      </w:r>
      <w:r>
        <w:rPr/>
        <w:t>the</w:t>
      </w:r>
      <w:r>
        <w:rPr>
          <w:spacing w:val="-15"/>
        </w:rPr>
        <w:t> </w:t>
      </w:r>
      <w:r>
        <w:rPr/>
        <w:t>balance</w:t>
      </w:r>
      <w:r>
        <w:rPr>
          <w:spacing w:val="-15"/>
        </w:rPr>
        <w:t> </w:t>
      </w:r>
      <w:r>
        <w:rPr/>
        <w:t>sheet)</w:t>
      </w:r>
      <w:r>
        <w:rPr>
          <w:spacing w:val="-15"/>
        </w:rPr>
        <w:t> </w:t>
      </w:r>
      <w:r>
        <w:rPr/>
        <w:t>as</w:t>
      </w:r>
      <w:r>
        <w:rPr>
          <w:spacing w:val="-15"/>
        </w:rPr>
        <w:t> </w:t>
      </w:r>
      <w:r>
        <w:rPr/>
        <w:t>the</w:t>
      </w:r>
      <w:r>
        <w:rPr>
          <w:spacing w:val="-15"/>
        </w:rPr>
        <w:t> </w:t>
      </w:r>
      <w:r>
        <w:rPr/>
        <w:t>dependent</w:t>
      </w:r>
      <w:r>
        <w:rPr>
          <w:spacing w:val="-15"/>
        </w:rPr>
        <w:t> </w:t>
      </w:r>
      <w:r>
        <w:rPr/>
        <w:t>variable.</w:t>
      </w:r>
      <w:r>
        <w:rPr>
          <w:spacing w:val="-15"/>
        </w:rPr>
        <w:t> </w:t>
      </w:r>
      <w:r>
        <w:rPr/>
        <w:t>Dimen- sional</w:t>
      </w:r>
      <w:r>
        <w:rPr>
          <w:spacing w:val="-9"/>
        </w:rPr>
        <w:t> </w:t>
      </w:r>
      <w:r>
        <w:rPr/>
        <w:t>results</w:t>
      </w:r>
      <w:r>
        <w:rPr>
          <w:spacing w:val="-9"/>
        </w:rPr>
        <w:t> </w:t>
      </w:r>
      <w:r>
        <w:rPr/>
        <w:t>in</w:t>
      </w:r>
      <w:r>
        <w:rPr>
          <w:spacing w:val="-9"/>
        </w:rPr>
        <w:t> </w:t>
      </w:r>
      <w:r>
        <w:rPr/>
        <w:t>panel</w:t>
      </w:r>
      <w:r>
        <w:rPr>
          <w:spacing w:val="-9"/>
        </w:rPr>
        <w:t> </w:t>
      </w:r>
      <w:r>
        <w:rPr/>
        <w:t>B</w:t>
      </w:r>
      <w:r>
        <w:rPr>
          <w:spacing w:val="-9"/>
        </w:rPr>
        <w:t> </w:t>
      </w:r>
      <w:r>
        <w:rPr/>
        <w:t>of</w:t>
      </w:r>
      <w:r>
        <w:rPr>
          <w:spacing w:val="-10"/>
        </w:rPr>
        <w:t> </w:t>
      </w:r>
      <w:r>
        <w:rPr/>
        <w:t>table</w:t>
      </w:r>
      <w:r>
        <w:rPr>
          <w:spacing w:val="-9"/>
        </w:rPr>
        <w:t> </w:t>
      </w:r>
      <w:r>
        <w:rPr/>
        <w:t>4</w:t>
      </w:r>
      <w:r>
        <w:rPr>
          <w:spacing w:val="-9"/>
        </w:rPr>
        <w:t> </w:t>
      </w:r>
      <w:r>
        <w:rPr/>
        <w:t>also</w:t>
      </w:r>
      <w:r>
        <w:rPr>
          <w:spacing w:val="-9"/>
        </w:rPr>
        <w:t> </w:t>
      </w:r>
      <w:r>
        <w:rPr/>
        <w:t>provide</w:t>
      </w:r>
      <w:r>
        <w:rPr>
          <w:spacing w:val="-10"/>
        </w:rPr>
        <w:t> </w:t>
      </w:r>
      <w:r>
        <w:rPr/>
        <w:t>similar</w:t>
      </w:r>
      <w:r>
        <w:rPr>
          <w:spacing w:val="-9"/>
        </w:rPr>
        <w:t> </w:t>
      </w:r>
      <w:r>
        <w:rPr/>
        <w:t>evidence</w:t>
      </w:r>
      <w:r>
        <w:rPr>
          <w:spacing w:val="-9"/>
        </w:rPr>
        <w:t> </w:t>
      </w:r>
      <w:r>
        <w:rPr/>
        <w:t>to</w:t>
      </w:r>
      <w:r>
        <w:rPr>
          <w:spacing w:val="-9"/>
        </w:rPr>
        <w:t> </w:t>
      </w:r>
      <w:r>
        <w:rPr/>
        <w:t>those</w:t>
      </w:r>
      <w:r>
        <w:rPr>
          <w:spacing w:val="-10"/>
        </w:rPr>
        <w:t> </w:t>
      </w:r>
      <w:r>
        <w:rPr/>
        <w:t>in column (iii) of panel A, suggesting that our result on the composite con- servatism measure is not driven by a particular measure of</w:t>
      </w:r>
      <w:r>
        <w:rPr>
          <w:spacing w:val="-18"/>
        </w:rPr>
        <w:t> </w:t>
      </w:r>
      <w:r>
        <w:rPr/>
        <w:t>conservatism. Overall,</w:t>
      </w:r>
      <w:r>
        <w:rPr>
          <w:spacing w:val="-13"/>
        </w:rPr>
        <w:t> </w:t>
      </w:r>
      <w:r>
        <w:rPr/>
        <w:t>the</w:t>
      </w:r>
      <w:r>
        <w:rPr>
          <w:spacing w:val="-14"/>
        </w:rPr>
        <w:t> </w:t>
      </w:r>
      <w:r>
        <w:rPr/>
        <w:t>results</w:t>
      </w:r>
      <w:r>
        <w:rPr>
          <w:spacing w:val="-14"/>
        </w:rPr>
        <w:t> </w:t>
      </w:r>
      <w:r>
        <w:rPr/>
        <w:t>in</w:t>
      </w:r>
      <w:r>
        <w:rPr>
          <w:spacing w:val="-13"/>
        </w:rPr>
        <w:t> </w:t>
      </w:r>
      <w:r>
        <w:rPr/>
        <w:t>table</w:t>
      </w:r>
      <w:r>
        <w:rPr>
          <w:spacing w:val="-14"/>
        </w:rPr>
        <w:t> </w:t>
      </w:r>
      <w:r>
        <w:rPr/>
        <w:t>4</w:t>
      </w:r>
      <w:r>
        <w:rPr>
          <w:spacing w:val="-13"/>
        </w:rPr>
        <w:t> </w:t>
      </w:r>
      <w:r>
        <w:rPr/>
        <w:t>are</w:t>
      </w:r>
      <w:r>
        <w:rPr>
          <w:spacing w:val="-14"/>
        </w:rPr>
        <w:t> </w:t>
      </w:r>
      <w:r>
        <w:rPr/>
        <w:t>consistent</w:t>
      </w:r>
      <w:r>
        <w:rPr>
          <w:spacing w:val="-14"/>
        </w:rPr>
        <w:t> </w:t>
      </w:r>
      <w:r>
        <w:rPr/>
        <w:t>with</w:t>
      </w:r>
      <w:r>
        <w:rPr>
          <w:spacing w:val="-13"/>
        </w:rPr>
        <w:t> </w:t>
      </w:r>
      <w:r>
        <w:rPr/>
        <w:t>the</w:t>
      </w:r>
      <w:r>
        <w:rPr>
          <w:spacing w:val="-13"/>
        </w:rPr>
        <w:t> </w:t>
      </w:r>
      <w:r>
        <w:rPr/>
        <w:t>notion</w:t>
      </w:r>
      <w:r>
        <w:rPr>
          <w:spacing w:val="-14"/>
        </w:rPr>
        <w:t> </w:t>
      </w:r>
      <w:r>
        <w:rPr/>
        <w:t>that</w:t>
      </w:r>
      <w:r>
        <w:rPr>
          <w:spacing w:val="-13"/>
        </w:rPr>
        <w:t> </w:t>
      </w:r>
      <w:r>
        <w:rPr/>
        <w:t>near</w:t>
      </w:r>
      <w:r>
        <w:rPr>
          <w:spacing w:val="-13"/>
        </w:rPr>
        <w:t> </w:t>
      </w:r>
      <w:r>
        <w:rPr/>
        <w:t>insol- vent</w:t>
      </w:r>
      <w:r>
        <w:rPr>
          <w:spacing w:val="-19"/>
        </w:rPr>
        <w:t> </w:t>
      </w:r>
      <w:r>
        <w:rPr/>
        <w:t>Delaware</w:t>
      </w:r>
      <w:r>
        <w:rPr>
          <w:spacing w:val="-19"/>
        </w:rPr>
        <w:t> </w:t>
      </w:r>
      <w:r>
        <w:rPr/>
        <w:t>firms</w:t>
      </w:r>
      <w:r>
        <w:rPr>
          <w:spacing w:val="-19"/>
        </w:rPr>
        <w:t> </w:t>
      </w:r>
      <w:r>
        <w:rPr/>
        <w:t>increased</w:t>
      </w:r>
      <w:r>
        <w:rPr>
          <w:spacing w:val="-19"/>
        </w:rPr>
        <w:t> </w:t>
      </w:r>
      <w:r>
        <w:rPr/>
        <w:t>conservatism</w:t>
      </w:r>
      <w:r>
        <w:rPr>
          <w:spacing w:val="-19"/>
        </w:rPr>
        <w:t> </w:t>
      </w:r>
      <w:r>
        <w:rPr/>
        <w:t>as</w:t>
      </w:r>
      <w:r>
        <w:rPr>
          <w:spacing w:val="-19"/>
        </w:rPr>
        <w:t> </w:t>
      </w:r>
      <w:r>
        <w:rPr/>
        <w:t>a</w:t>
      </w:r>
      <w:r>
        <w:rPr>
          <w:spacing w:val="-19"/>
        </w:rPr>
        <w:t> </w:t>
      </w:r>
      <w:r>
        <w:rPr/>
        <w:t>response</w:t>
      </w:r>
      <w:r>
        <w:rPr>
          <w:spacing w:val="-19"/>
        </w:rPr>
        <w:t> </w:t>
      </w:r>
      <w:r>
        <w:rPr/>
        <w:t>to</w:t>
      </w:r>
      <w:r>
        <w:rPr>
          <w:spacing w:val="-19"/>
        </w:rPr>
        <w:t> </w:t>
      </w:r>
      <w:r>
        <w:rPr/>
        <w:t>the</w:t>
      </w:r>
      <w:r>
        <w:rPr>
          <w:spacing w:val="-19"/>
        </w:rPr>
        <w:t> </w:t>
      </w:r>
      <w:r>
        <w:rPr/>
        <w:t>1991</w:t>
      </w:r>
      <w:r>
        <w:rPr>
          <w:spacing w:val="-19"/>
        </w:rPr>
        <w:t> </w:t>
      </w:r>
      <w:r>
        <w:rPr/>
        <w:t>court ruling.</w:t>
      </w:r>
      <w:r>
        <w:rPr>
          <w:color w:val="231F20"/>
          <w:position w:val="7"/>
          <w:sz w:val="14"/>
        </w:rPr>
        <w:t>27</w:t>
      </w:r>
    </w:p>
    <w:p>
      <w:pPr>
        <w:pStyle w:val="BodyText"/>
      </w:pPr>
    </w:p>
    <w:p>
      <w:pPr>
        <w:pStyle w:val="BodyText"/>
        <w:rPr>
          <w:sz w:val="11"/>
        </w:rPr>
      </w:pPr>
      <w:r>
        <w:rPr/>
        <w:pict>
          <v:line style="position:absolute;mso-position-horizontal-relative:page;mso-position-vertical-relative:paragraph;z-index:3064;mso-wrap-distance-left:0;mso-wrap-distance-right:0" from="90.629997pt,9.092712pt" to="126.503997pt,9.092712pt" stroked="true" strokeweight=".504pt" strokecolor="#000000">
            <v:stroke dashstyle="solid"/>
            <w10:wrap type="topAndBottom"/>
          </v:line>
        </w:pict>
      </w:r>
    </w:p>
    <w:p>
      <w:pPr>
        <w:tabs>
          <w:tab w:pos="6022" w:val="left" w:leader="none"/>
        </w:tabs>
        <w:spacing w:line="200" w:lineRule="exact" w:before="95"/>
        <w:ind w:left="532" w:right="148" w:firstLine="179"/>
        <w:jc w:val="left"/>
        <w:rPr>
          <w:sz w:val="16"/>
        </w:rPr>
      </w:pPr>
      <w:r>
        <w:rPr>
          <w:color w:val="231F20"/>
          <w:position w:val="6"/>
          <w:sz w:val="12"/>
        </w:rPr>
        <w:t>27</w:t>
      </w:r>
      <w:r>
        <w:rPr>
          <w:color w:val="231F20"/>
          <w:spacing w:val="-16"/>
          <w:position w:val="6"/>
          <w:sz w:val="12"/>
        </w:rPr>
        <w:t> </w:t>
      </w:r>
      <w:r>
        <w:rPr>
          <w:color w:val="231F20"/>
          <w:spacing w:val="-8"/>
          <w:sz w:val="16"/>
        </w:rPr>
        <w:t>To</w:t>
      </w:r>
      <w:r>
        <w:rPr>
          <w:color w:val="231F20"/>
          <w:spacing w:val="-16"/>
          <w:sz w:val="16"/>
        </w:rPr>
        <w:t> </w:t>
      </w:r>
      <w:r>
        <w:rPr>
          <w:color w:val="231F20"/>
          <w:sz w:val="16"/>
        </w:rPr>
        <w:t>test</w:t>
      </w:r>
      <w:r>
        <w:rPr>
          <w:color w:val="231F20"/>
          <w:spacing w:val="-16"/>
          <w:sz w:val="16"/>
        </w:rPr>
        <w:t> </w:t>
      </w:r>
      <w:r>
        <w:rPr>
          <w:color w:val="231F20"/>
          <w:sz w:val="16"/>
        </w:rPr>
        <w:t>robustness</w:t>
      </w:r>
      <w:r>
        <w:rPr>
          <w:color w:val="231F20"/>
          <w:spacing w:val="-16"/>
          <w:sz w:val="16"/>
        </w:rPr>
        <w:t> </w:t>
      </w:r>
      <w:r>
        <w:rPr>
          <w:color w:val="231F20"/>
          <w:sz w:val="16"/>
        </w:rPr>
        <w:t>of</w:t>
      </w:r>
      <w:r>
        <w:rPr>
          <w:color w:val="231F20"/>
          <w:spacing w:val="-16"/>
          <w:sz w:val="16"/>
        </w:rPr>
        <w:t> </w:t>
      </w:r>
      <w:r>
        <w:rPr>
          <w:color w:val="231F20"/>
          <w:sz w:val="16"/>
        </w:rPr>
        <w:t>our</w:t>
      </w:r>
      <w:r>
        <w:rPr>
          <w:color w:val="231F20"/>
          <w:spacing w:val="-16"/>
          <w:sz w:val="16"/>
        </w:rPr>
        <w:t> </w:t>
      </w:r>
      <w:r>
        <w:rPr>
          <w:color w:val="231F20"/>
          <w:sz w:val="16"/>
        </w:rPr>
        <w:t>main</w:t>
      </w:r>
      <w:r>
        <w:rPr>
          <w:color w:val="231F20"/>
          <w:spacing w:val="-16"/>
          <w:sz w:val="16"/>
        </w:rPr>
        <w:t> </w:t>
      </w:r>
      <w:r>
        <w:rPr>
          <w:color w:val="231F20"/>
          <w:sz w:val="16"/>
        </w:rPr>
        <w:t>findings</w:t>
      </w:r>
      <w:r>
        <w:rPr>
          <w:color w:val="231F20"/>
          <w:spacing w:val="-16"/>
          <w:sz w:val="16"/>
        </w:rPr>
        <w:t> </w:t>
      </w:r>
      <w:r>
        <w:rPr>
          <w:color w:val="231F20"/>
          <w:sz w:val="16"/>
        </w:rPr>
        <w:t>to</w:t>
      </w:r>
      <w:r>
        <w:rPr>
          <w:color w:val="231F20"/>
          <w:spacing w:val="-16"/>
          <w:sz w:val="16"/>
        </w:rPr>
        <w:t> </w:t>
      </w:r>
      <w:r>
        <w:rPr>
          <w:color w:val="231F20"/>
          <w:sz w:val="16"/>
        </w:rPr>
        <w:t>the</w:t>
      </w:r>
      <w:r>
        <w:rPr>
          <w:color w:val="231F20"/>
          <w:spacing w:val="-16"/>
          <w:sz w:val="16"/>
        </w:rPr>
        <w:t> </w:t>
      </w:r>
      <w:r>
        <w:rPr>
          <w:color w:val="231F20"/>
          <w:sz w:val="16"/>
        </w:rPr>
        <w:t>confounding</w:t>
      </w:r>
      <w:r>
        <w:rPr>
          <w:color w:val="231F20"/>
          <w:spacing w:val="-16"/>
          <w:sz w:val="16"/>
        </w:rPr>
        <w:t> </w:t>
      </w:r>
      <w:r>
        <w:rPr>
          <w:color w:val="231F20"/>
          <w:sz w:val="16"/>
        </w:rPr>
        <w:t>effects</w:t>
      </w:r>
      <w:r>
        <w:rPr>
          <w:color w:val="231F20"/>
          <w:spacing w:val="-16"/>
          <w:sz w:val="16"/>
        </w:rPr>
        <w:t> </w:t>
      </w:r>
      <w:r>
        <w:rPr>
          <w:color w:val="231F20"/>
          <w:sz w:val="16"/>
        </w:rPr>
        <w:t>of</w:t>
      </w:r>
      <w:r>
        <w:rPr>
          <w:color w:val="231F20"/>
          <w:spacing w:val="-16"/>
          <w:sz w:val="16"/>
        </w:rPr>
        <w:t> </w:t>
      </w:r>
      <w:r>
        <w:rPr>
          <w:color w:val="231F20"/>
          <w:sz w:val="16"/>
        </w:rPr>
        <w:t>firm-level</w:t>
      </w:r>
      <w:r>
        <w:rPr>
          <w:color w:val="231F20"/>
          <w:spacing w:val="-16"/>
          <w:sz w:val="16"/>
        </w:rPr>
        <w:t> </w:t>
      </w:r>
      <w:r>
        <w:rPr>
          <w:color w:val="231F20"/>
          <w:sz w:val="16"/>
        </w:rPr>
        <w:t>character- istics,</w:t>
      </w:r>
      <w:r>
        <w:rPr>
          <w:color w:val="231F20"/>
          <w:spacing w:val="-6"/>
          <w:sz w:val="16"/>
        </w:rPr>
        <w:t> </w:t>
      </w:r>
      <w:r>
        <w:rPr>
          <w:color w:val="231F20"/>
          <w:sz w:val="16"/>
        </w:rPr>
        <w:t>we</w:t>
      </w:r>
      <w:r>
        <w:rPr>
          <w:color w:val="231F20"/>
          <w:spacing w:val="-6"/>
          <w:sz w:val="16"/>
        </w:rPr>
        <w:t> </w:t>
      </w:r>
      <w:r>
        <w:rPr>
          <w:color w:val="231F20"/>
          <w:sz w:val="16"/>
        </w:rPr>
        <w:t>run</w:t>
      </w:r>
      <w:r>
        <w:rPr>
          <w:color w:val="231F20"/>
          <w:spacing w:val="-6"/>
          <w:sz w:val="16"/>
        </w:rPr>
        <w:t> </w:t>
      </w:r>
      <w:r>
        <w:rPr>
          <w:color w:val="231F20"/>
          <w:sz w:val="16"/>
        </w:rPr>
        <w:t>the</w:t>
      </w:r>
      <w:r>
        <w:rPr>
          <w:color w:val="231F20"/>
          <w:spacing w:val="-6"/>
          <w:sz w:val="16"/>
        </w:rPr>
        <w:t> </w:t>
      </w:r>
      <w:r>
        <w:rPr>
          <w:color w:val="231F20"/>
          <w:sz w:val="16"/>
        </w:rPr>
        <w:t>following</w:t>
      </w:r>
      <w:r>
        <w:rPr>
          <w:color w:val="231F20"/>
          <w:spacing w:val="-6"/>
          <w:sz w:val="16"/>
        </w:rPr>
        <w:t> </w:t>
      </w:r>
      <w:r>
        <w:rPr>
          <w:color w:val="231F20"/>
          <w:sz w:val="16"/>
        </w:rPr>
        <w:t>sensitivity</w:t>
      </w:r>
      <w:r>
        <w:rPr>
          <w:color w:val="231F20"/>
          <w:spacing w:val="-6"/>
          <w:sz w:val="16"/>
        </w:rPr>
        <w:t> </w:t>
      </w:r>
      <w:r>
        <w:rPr>
          <w:color w:val="231F20"/>
          <w:sz w:val="16"/>
        </w:rPr>
        <w:t>tests:</w:t>
      </w:r>
      <w:r>
        <w:rPr>
          <w:color w:val="231F20"/>
          <w:spacing w:val="-6"/>
          <w:sz w:val="16"/>
        </w:rPr>
        <w:t> </w:t>
      </w:r>
      <w:r>
        <w:rPr>
          <w:color w:val="231F20"/>
          <w:sz w:val="16"/>
        </w:rPr>
        <w:t>(1)</w:t>
      </w:r>
      <w:r>
        <w:rPr>
          <w:color w:val="231F20"/>
          <w:spacing w:val="-6"/>
          <w:sz w:val="16"/>
        </w:rPr>
        <w:t> </w:t>
      </w:r>
      <w:r>
        <w:rPr>
          <w:color w:val="231F20"/>
          <w:sz w:val="16"/>
        </w:rPr>
        <w:t>as</w:t>
      </w:r>
      <w:r>
        <w:rPr>
          <w:color w:val="231F20"/>
          <w:spacing w:val="-6"/>
          <w:sz w:val="16"/>
        </w:rPr>
        <w:t> </w:t>
      </w:r>
      <w:r>
        <w:rPr>
          <w:color w:val="231F20"/>
          <w:sz w:val="16"/>
        </w:rPr>
        <w:t>presented</w:t>
      </w:r>
      <w:r>
        <w:rPr>
          <w:color w:val="231F20"/>
          <w:spacing w:val="-6"/>
          <w:sz w:val="16"/>
        </w:rPr>
        <w:t> </w:t>
      </w:r>
      <w:r>
        <w:rPr>
          <w:color w:val="231F20"/>
          <w:sz w:val="16"/>
        </w:rPr>
        <w:t>in</w:t>
      </w:r>
      <w:r>
        <w:rPr>
          <w:color w:val="231F20"/>
          <w:spacing w:val="-6"/>
          <w:sz w:val="16"/>
        </w:rPr>
        <w:t> </w:t>
      </w:r>
      <w:r>
        <w:rPr>
          <w:color w:val="231F20"/>
          <w:sz w:val="16"/>
        </w:rPr>
        <w:t>online</w:t>
      </w:r>
      <w:r>
        <w:rPr>
          <w:color w:val="231F20"/>
          <w:spacing w:val="-6"/>
          <w:sz w:val="16"/>
        </w:rPr>
        <w:t> </w:t>
      </w:r>
      <w:r>
        <w:rPr>
          <w:color w:val="231F20"/>
          <w:sz w:val="16"/>
        </w:rPr>
        <w:t>appendix</w:t>
      </w:r>
      <w:r>
        <w:rPr>
          <w:color w:val="231F20"/>
          <w:spacing w:val="-6"/>
          <w:sz w:val="16"/>
        </w:rPr>
        <w:t> </w:t>
      </w:r>
      <w:r>
        <w:rPr>
          <w:color w:val="231F20"/>
          <w:sz w:val="16"/>
        </w:rPr>
        <w:t>table</w:t>
      </w:r>
      <w:r>
        <w:rPr>
          <w:color w:val="231F20"/>
          <w:spacing w:val="-6"/>
          <w:sz w:val="16"/>
        </w:rPr>
        <w:t> </w:t>
      </w:r>
      <w:r>
        <w:rPr>
          <w:color w:val="231F20"/>
          <w:sz w:val="16"/>
        </w:rPr>
        <w:t>A4,</w:t>
      </w:r>
      <w:r>
        <w:rPr>
          <w:color w:val="231F20"/>
          <w:spacing w:val="-6"/>
          <w:sz w:val="16"/>
        </w:rPr>
        <w:t> </w:t>
      </w:r>
      <w:r>
        <w:rPr>
          <w:color w:val="231F20"/>
          <w:sz w:val="16"/>
        </w:rPr>
        <w:t>we include</w:t>
      </w:r>
      <w:r>
        <w:rPr>
          <w:color w:val="231F20"/>
          <w:spacing w:val="-8"/>
          <w:sz w:val="16"/>
        </w:rPr>
        <w:t> </w:t>
      </w:r>
      <w:r>
        <w:rPr>
          <w:color w:val="231F20"/>
          <w:sz w:val="16"/>
        </w:rPr>
        <w:t>a</w:t>
      </w:r>
      <w:r>
        <w:rPr>
          <w:color w:val="231F20"/>
          <w:spacing w:val="-8"/>
          <w:sz w:val="16"/>
        </w:rPr>
        <w:t> </w:t>
      </w:r>
      <w:r>
        <w:rPr>
          <w:color w:val="231F20"/>
          <w:sz w:val="16"/>
        </w:rPr>
        <w:t>full</w:t>
      </w:r>
      <w:r>
        <w:rPr>
          <w:color w:val="231F20"/>
          <w:spacing w:val="-8"/>
          <w:sz w:val="16"/>
        </w:rPr>
        <w:t> </w:t>
      </w:r>
      <w:r>
        <w:rPr>
          <w:color w:val="231F20"/>
          <w:sz w:val="16"/>
        </w:rPr>
        <w:t>set</w:t>
      </w:r>
      <w:r>
        <w:rPr>
          <w:color w:val="231F20"/>
          <w:spacing w:val="-8"/>
          <w:sz w:val="16"/>
        </w:rPr>
        <w:t> </w:t>
      </w:r>
      <w:r>
        <w:rPr>
          <w:color w:val="231F20"/>
          <w:sz w:val="16"/>
        </w:rPr>
        <w:t>of</w:t>
      </w:r>
      <w:r>
        <w:rPr>
          <w:color w:val="231F20"/>
          <w:spacing w:val="-8"/>
          <w:sz w:val="16"/>
        </w:rPr>
        <w:t> </w:t>
      </w:r>
      <w:r>
        <w:rPr>
          <w:color w:val="231F20"/>
          <w:sz w:val="16"/>
        </w:rPr>
        <w:t>interaction</w:t>
      </w:r>
      <w:r>
        <w:rPr>
          <w:color w:val="231F20"/>
          <w:spacing w:val="-8"/>
          <w:sz w:val="16"/>
        </w:rPr>
        <w:t> </w:t>
      </w:r>
      <w:r>
        <w:rPr>
          <w:color w:val="231F20"/>
          <w:sz w:val="16"/>
        </w:rPr>
        <w:t>terms</w:t>
      </w:r>
      <w:r>
        <w:rPr>
          <w:color w:val="231F20"/>
          <w:spacing w:val="-8"/>
          <w:sz w:val="16"/>
        </w:rPr>
        <w:t> </w:t>
      </w:r>
      <w:r>
        <w:rPr>
          <w:color w:val="231F20"/>
          <w:sz w:val="16"/>
        </w:rPr>
        <w:t>of</w:t>
      </w:r>
      <w:r>
        <w:rPr>
          <w:color w:val="231F20"/>
          <w:spacing w:val="-8"/>
          <w:sz w:val="16"/>
        </w:rPr>
        <w:t> </w:t>
      </w:r>
      <w:r>
        <w:rPr>
          <w:color w:val="231F20"/>
          <w:sz w:val="16"/>
        </w:rPr>
        <w:t>control</w:t>
      </w:r>
      <w:r>
        <w:rPr>
          <w:color w:val="231F20"/>
          <w:spacing w:val="-8"/>
          <w:sz w:val="16"/>
        </w:rPr>
        <w:t> </w:t>
      </w:r>
      <w:r>
        <w:rPr>
          <w:color w:val="231F20"/>
          <w:sz w:val="16"/>
        </w:rPr>
        <w:t>variables</w:t>
      </w:r>
      <w:r>
        <w:rPr>
          <w:color w:val="231F20"/>
          <w:spacing w:val="-8"/>
          <w:sz w:val="16"/>
        </w:rPr>
        <w:t> </w:t>
      </w:r>
      <w:r>
        <w:rPr>
          <w:color w:val="231F20"/>
          <w:sz w:val="16"/>
        </w:rPr>
        <w:t>with</w:t>
      </w:r>
      <w:r>
        <w:rPr>
          <w:color w:val="231F20"/>
          <w:spacing w:val="-8"/>
          <w:sz w:val="16"/>
        </w:rPr>
        <w:t> </w:t>
      </w:r>
      <w:r>
        <w:rPr>
          <w:i/>
          <w:color w:val="231F20"/>
          <w:sz w:val="16"/>
        </w:rPr>
        <w:t>DEL,</w:t>
      </w:r>
      <w:r>
        <w:rPr>
          <w:i/>
          <w:color w:val="231F20"/>
          <w:spacing w:val="-8"/>
          <w:sz w:val="16"/>
        </w:rPr>
        <w:t> </w:t>
      </w:r>
      <w:r>
        <w:rPr>
          <w:i/>
          <w:color w:val="231F20"/>
          <w:sz w:val="16"/>
        </w:rPr>
        <w:t>HEDF93,</w:t>
      </w:r>
      <w:r>
        <w:rPr>
          <w:i/>
          <w:color w:val="231F20"/>
          <w:spacing w:val="-8"/>
          <w:sz w:val="16"/>
        </w:rPr>
        <w:t> </w:t>
      </w:r>
      <w:r>
        <w:rPr>
          <w:i/>
          <w:color w:val="231F20"/>
          <w:sz w:val="16"/>
        </w:rPr>
        <w:t>DEL</w:t>
      </w:r>
      <w:r>
        <w:rPr>
          <w:rFonts w:ascii="Lucida Sans Unicode" w:hAnsi="Lucida Sans Unicode"/>
          <w:color w:val="231F20"/>
          <w:sz w:val="16"/>
        </w:rPr>
        <w:t>×</w:t>
      </w:r>
      <w:r>
        <w:rPr>
          <w:i/>
          <w:color w:val="231F20"/>
          <w:sz w:val="16"/>
        </w:rPr>
        <w:t>HEDF93, </w:t>
      </w:r>
      <w:r>
        <w:rPr>
          <w:i/>
          <w:color w:val="231F20"/>
          <w:spacing w:val="-3"/>
          <w:sz w:val="16"/>
        </w:rPr>
        <w:t>POST,</w:t>
      </w:r>
      <w:r>
        <w:rPr>
          <w:i/>
          <w:color w:val="231F20"/>
          <w:spacing w:val="-12"/>
          <w:sz w:val="16"/>
        </w:rPr>
        <w:t> </w:t>
      </w:r>
      <w:r>
        <w:rPr>
          <w:i/>
          <w:color w:val="231F20"/>
          <w:sz w:val="16"/>
        </w:rPr>
        <w:t>POST</w:t>
      </w:r>
      <w:r>
        <w:rPr>
          <w:rFonts w:ascii="Lucida Sans Unicode" w:hAnsi="Lucida Sans Unicode"/>
          <w:color w:val="231F20"/>
          <w:sz w:val="16"/>
        </w:rPr>
        <w:t>×</w:t>
      </w:r>
      <w:r>
        <w:rPr>
          <w:i/>
          <w:color w:val="231F20"/>
          <w:sz w:val="16"/>
        </w:rPr>
        <w:t>DEL,</w:t>
      </w:r>
      <w:r>
        <w:rPr>
          <w:i/>
          <w:color w:val="231F20"/>
          <w:spacing w:val="-12"/>
          <w:sz w:val="16"/>
        </w:rPr>
        <w:t> </w:t>
      </w:r>
      <w:r>
        <w:rPr>
          <w:i/>
          <w:color w:val="231F20"/>
          <w:sz w:val="16"/>
        </w:rPr>
        <w:t>POST</w:t>
      </w:r>
      <w:r>
        <w:rPr>
          <w:rFonts w:ascii="Lucida Sans Unicode" w:hAnsi="Lucida Sans Unicode"/>
          <w:color w:val="231F20"/>
          <w:sz w:val="16"/>
        </w:rPr>
        <w:t>×</w:t>
      </w:r>
      <w:r>
        <w:rPr>
          <w:i/>
          <w:color w:val="231F20"/>
          <w:sz w:val="16"/>
        </w:rPr>
        <w:t>HEDF93</w:t>
      </w:r>
      <w:r>
        <w:rPr>
          <w:color w:val="231F20"/>
          <w:sz w:val="16"/>
        </w:rPr>
        <w:t>,</w:t>
      </w:r>
      <w:r>
        <w:rPr>
          <w:color w:val="231F20"/>
          <w:spacing w:val="-12"/>
          <w:sz w:val="16"/>
        </w:rPr>
        <w:t> </w:t>
      </w:r>
      <w:r>
        <w:rPr>
          <w:color w:val="231F20"/>
          <w:sz w:val="16"/>
        </w:rPr>
        <w:t>and</w:t>
      </w:r>
      <w:r>
        <w:rPr>
          <w:color w:val="231F20"/>
          <w:spacing w:val="-12"/>
          <w:sz w:val="16"/>
        </w:rPr>
        <w:t> </w:t>
      </w:r>
      <w:r>
        <w:rPr>
          <w:i/>
          <w:color w:val="231F20"/>
          <w:sz w:val="16"/>
        </w:rPr>
        <w:t>POST</w:t>
      </w:r>
      <w:r>
        <w:rPr>
          <w:rFonts w:ascii="Lucida Sans Unicode" w:hAnsi="Lucida Sans Unicode"/>
          <w:color w:val="231F20"/>
          <w:sz w:val="16"/>
        </w:rPr>
        <w:t>×</w:t>
      </w:r>
      <w:r>
        <w:rPr>
          <w:i/>
          <w:color w:val="231F20"/>
          <w:sz w:val="16"/>
        </w:rPr>
        <w:t>DEL</w:t>
      </w:r>
      <w:r>
        <w:rPr>
          <w:rFonts w:ascii="Lucida Sans Unicode" w:hAnsi="Lucida Sans Unicode"/>
          <w:color w:val="231F20"/>
          <w:sz w:val="16"/>
        </w:rPr>
        <w:t>×</w:t>
      </w:r>
      <w:r>
        <w:rPr>
          <w:i/>
          <w:color w:val="231F20"/>
          <w:sz w:val="16"/>
        </w:rPr>
        <w:t>HEDF93</w:t>
      </w:r>
      <w:r>
        <w:rPr>
          <w:color w:val="231F20"/>
          <w:sz w:val="16"/>
        </w:rPr>
        <w:t>,</w:t>
      </w:r>
      <w:r>
        <w:rPr>
          <w:color w:val="231F20"/>
          <w:spacing w:val="-12"/>
          <w:sz w:val="16"/>
        </w:rPr>
        <w:t> </w:t>
      </w:r>
      <w:r>
        <w:rPr>
          <w:color w:val="231F20"/>
          <w:sz w:val="16"/>
        </w:rPr>
        <w:t>respectively.</w:t>
      </w:r>
      <w:r>
        <w:rPr>
          <w:color w:val="231F20"/>
          <w:spacing w:val="-12"/>
          <w:sz w:val="16"/>
        </w:rPr>
        <w:t> </w:t>
      </w:r>
      <w:r>
        <w:rPr>
          <w:color w:val="231F20"/>
          <w:sz w:val="16"/>
        </w:rPr>
        <w:t>Our</w:t>
      </w:r>
      <w:r>
        <w:rPr>
          <w:color w:val="231F20"/>
          <w:spacing w:val="-12"/>
          <w:sz w:val="16"/>
        </w:rPr>
        <w:t> </w:t>
      </w:r>
      <w:r>
        <w:rPr>
          <w:color w:val="231F20"/>
          <w:sz w:val="16"/>
        </w:rPr>
        <w:t>results</w:t>
      </w:r>
      <w:r>
        <w:rPr>
          <w:color w:val="231F20"/>
          <w:spacing w:val="-12"/>
          <w:sz w:val="16"/>
        </w:rPr>
        <w:t> </w:t>
      </w:r>
      <w:r>
        <w:rPr>
          <w:color w:val="231F20"/>
          <w:sz w:val="16"/>
        </w:rPr>
        <w:t>re- main qualitatively similar to those reported in table 4 </w:t>
      </w:r>
      <w:r>
        <w:rPr>
          <w:color w:val="231F20"/>
          <w:spacing w:val="2"/>
          <w:sz w:val="16"/>
        </w:rPr>
        <w:t>(</w:t>
      </w:r>
      <w:r>
        <w:rPr>
          <w:rFonts w:ascii="Verdana" w:hAnsi="Verdana"/>
          <w:i/>
          <w:color w:val="231F20"/>
          <w:spacing w:val="2"/>
          <w:sz w:val="16"/>
        </w:rPr>
        <w:t>β</w:t>
      </w:r>
      <w:r>
        <w:rPr>
          <w:color w:val="231F20"/>
          <w:spacing w:val="2"/>
          <w:sz w:val="16"/>
          <w:vertAlign w:val="subscript"/>
        </w:rPr>
        <w:t>7</w:t>
      </w:r>
      <w:r>
        <w:rPr>
          <w:color w:val="231F20"/>
          <w:spacing w:val="2"/>
          <w:sz w:val="16"/>
          <w:vertAlign w:val="baseline"/>
        </w:rPr>
        <w:t> </w:t>
      </w:r>
      <w:r>
        <w:rPr>
          <w:color w:val="231F20"/>
          <w:sz w:val="16"/>
          <w:vertAlign w:val="baseline"/>
        </w:rPr>
        <w:t>for</w:t>
      </w:r>
      <w:r>
        <w:rPr>
          <w:color w:val="231F20"/>
          <w:spacing w:val="35"/>
          <w:sz w:val="16"/>
          <w:vertAlign w:val="baseline"/>
        </w:rPr>
        <w:t> </w:t>
      </w:r>
      <w:r>
        <w:rPr>
          <w:i/>
          <w:color w:val="231F20"/>
          <w:sz w:val="16"/>
          <w:vertAlign w:val="baseline"/>
        </w:rPr>
        <w:t>CRANK</w:t>
      </w:r>
      <w:r>
        <w:rPr>
          <w:i/>
          <w:color w:val="231F20"/>
          <w:spacing w:val="5"/>
          <w:sz w:val="16"/>
          <w:vertAlign w:val="baseline"/>
        </w:rPr>
        <w:t> </w:t>
      </w:r>
      <w:r>
        <w:rPr>
          <w:i/>
          <w:color w:val="231F20"/>
          <w:sz w:val="16"/>
          <w:vertAlign w:val="baseline"/>
        </w:rPr>
        <w:t>ALL</w:t>
        <w:tab/>
      </w:r>
      <w:r>
        <w:rPr>
          <w:color w:val="231F20"/>
          <w:sz w:val="16"/>
          <w:vertAlign w:val="baseline"/>
        </w:rPr>
        <w:t>0.794, </w:t>
      </w:r>
      <w:r>
        <w:rPr>
          <w:i/>
          <w:color w:val="231F20"/>
          <w:sz w:val="16"/>
          <w:vertAlign w:val="baseline"/>
        </w:rPr>
        <w:t>t</w:t>
      </w:r>
      <w:r>
        <w:rPr>
          <w:color w:val="231F20"/>
          <w:sz w:val="16"/>
          <w:vertAlign w:val="baseline"/>
        </w:rPr>
        <w:t>-stat 3.59). (2) In the online appendix table A5, we add controls for a firm’s business process,</w:t>
      </w:r>
      <w:r>
        <w:rPr>
          <w:color w:val="231F20"/>
          <w:spacing w:val="1"/>
          <w:sz w:val="16"/>
          <w:vertAlign w:val="baseline"/>
        </w:rPr>
        <w:t> </w:t>
      </w:r>
      <w:r>
        <w:rPr>
          <w:color w:val="231F20"/>
          <w:sz w:val="16"/>
          <w:vertAlign w:val="baseline"/>
        </w:rPr>
        <w:t>i.e.,</w:t>
      </w:r>
    </w:p>
    <w:p>
      <w:pPr>
        <w:spacing w:after="0" w:line="200" w:lineRule="exact"/>
        <w:jc w:val="left"/>
        <w:rPr>
          <w:sz w:val="16"/>
        </w:rPr>
        <w:sectPr>
          <w:pgSz w:w="9720" w:h="14400"/>
          <w:pgMar w:header="1055" w:footer="0" w:top="1300" w:bottom="280" w:left="1280" w:right="1300"/>
        </w:sectPr>
      </w:pPr>
    </w:p>
    <w:p>
      <w:pPr>
        <w:pStyle w:val="BodyText"/>
        <w:spacing w:before="5"/>
        <w:rPr>
          <w:sz w:val="14"/>
        </w:rPr>
      </w:pPr>
    </w:p>
    <w:p>
      <w:pPr>
        <w:spacing w:before="1"/>
        <w:ind w:left="495" w:right="889" w:firstLine="0"/>
        <w:jc w:val="center"/>
        <w:rPr>
          <w:rFonts w:ascii="Times New Roman"/>
          <w:b/>
          <w:sz w:val="16"/>
        </w:rPr>
      </w:pPr>
      <w:r>
        <w:rPr>
          <w:rFonts w:ascii="Times New Roman"/>
          <w:b/>
          <w:color w:val="231F20"/>
          <w:sz w:val="16"/>
        </w:rPr>
        <w:t>TA B L E  4</w:t>
      </w:r>
    </w:p>
    <w:p>
      <w:pPr>
        <w:spacing w:before="16" w:after="19"/>
        <w:ind w:left="495" w:right="852" w:firstLine="0"/>
        <w:jc w:val="center"/>
        <w:rPr>
          <w:i/>
          <w:sz w:val="16"/>
        </w:rPr>
      </w:pPr>
      <w:r>
        <w:rPr>
          <w:i/>
          <w:color w:val="231F20"/>
          <w:sz w:val="16"/>
        </w:rPr>
        <w:t>Effect of the 1991 Delaware Court Ruling on Conservatism Rank</w:t>
      </w: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7" to="6456,47" stroked="true" strokeweight=".504pt" strokecolor="#000000">
              <v:stroke dashstyle="solid"/>
            </v:line>
          </v:group>
        </w:pict>
      </w:r>
      <w:r>
        <w:rPr>
          <w:position w:val="0"/>
          <w:sz w:val="5"/>
        </w:rPr>
      </w:r>
    </w:p>
    <w:p>
      <w:pPr>
        <w:spacing w:before="57"/>
        <w:ind w:left="162" w:right="0" w:firstLine="0"/>
        <w:jc w:val="left"/>
        <w:rPr>
          <w:rFonts w:ascii="Times New Roman"/>
          <w:b/>
          <w:sz w:val="15"/>
        </w:rPr>
      </w:pPr>
      <w:r>
        <w:rPr>
          <w:rFonts w:ascii="Times New Roman"/>
          <w:b/>
          <w:color w:val="231F20"/>
          <w:w w:val="105"/>
          <w:sz w:val="15"/>
        </w:rPr>
        <w:t>Panel A: Court ruling and composite conservatism rank</w:t>
      </w:r>
    </w:p>
    <w:p>
      <w:pPr>
        <w:pStyle w:val="ListParagraph"/>
        <w:numPr>
          <w:ilvl w:val="2"/>
          <w:numId w:val="3"/>
        </w:numPr>
        <w:tabs>
          <w:tab w:pos="4329" w:val="left" w:leader="none"/>
          <w:tab w:pos="4330" w:val="left" w:leader="none"/>
          <w:tab w:pos="5836" w:val="left" w:leader="none"/>
        </w:tabs>
        <w:spacing w:line="240" w:lineRule="auto" w:before="19" w:after="0"/>
        <w:ind w:left="4329" w:right="0" w:hanging="1507"/>
        <w:jc w:val="left"/>
        <w:rPr>
          <w:sz w:val="15"/>
        </w:rPr>
      </w:pPr>
      <w:r>
        <w:rPr/>
        <w:pict>
          <v:shape style="position:absolute;margin-left:69.624153pt;margin-top:11.123465pt;width:325.3pt;height:63.25pt;mso-position-horizontal-relative:page;mso-position-vertical-relative:paragraph;z-index:35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951"/>
                    <w:gridCol w:w="774"/>
                    <w:gridCol w:w="525"/>
                    <w:gridCol w:w="233"/>
                    <w:gridCol w:w="1298"/>
                    <w:gridCol w:w="233"/>
                    <w:gridCol w:w="1298"/>
                  </w:tblGrid>
                  <w:tr>
                    <w:trPr>
                      <w:trHeight w:val="527" w:hRule="atLeast"/>
                    </w:trPr>
                    <w:tc>
                      <w:tcPr>
                        <w:tcW w:w="2153" w:type="dxa"/>
                        <w:gridSpan w:val="2"/>
                        <w:tcBorders>
                          <w:bottom w:val="single" w:sz="6" w:space="0" w:color="000000"/>
                        </w:tcBorders>
                      </w:tcPr>
                      <w:p>
                        <w:pPr>
                          <w:pStyle w:val="TableParagraph"/>
                          <w:spacing w:before="25"/>
                          <w:ind w:left="50"/>
                          <w:rPr>
                            <w:i/>
                            <w:sz w:val="15"/>
                          </w:rPr>
                        </w:pPr>
                        <w:r>
                          <w:rPr>
                            <w:color w:val="231F20"/>
                            <w:w w:val="107"/>
                            <w:sz w:val="15"/>
                            <w:u w:val="single" w:color="000000"/>
                          </w:rPr>
                          <w:t> </w:t>
                        </w:r>
                        <w:r>
                          <w:rPr>
                            <w:color w:val="231F20"/>
                            <w:sz w:val="15"/>
                            <w:u w:val="single" w:color="000000"/>
                          </w:rPr>
                          <w:t>  Dep. Var. </w:t>
                        </w:r>
                        <w:r>
                          <w:rPr>
                            <w:rFonts w:ascii="Lucida Sans Unicode"/>
                            <w:color w:val="231F20"/>
                            <w:sz w:val="15"/>
                            <w:u w:val="single" w:color="000000"/>
                          </w:rPr>
                          <w:t>= </w:t>
                        </w:r>
                        <w:r>
                          <w:rPr>
                            <w:i/>
                            <w:color w:val="231F20"/>
                            <w:sz w:val="15"/>
                            <w:u w:val="single" w:color="000000"/>
                          </w:rPr>
                          <w:t>CRANK ALL </w:t>
                        </w:r>
                      </w:p>
                      <w:p>
                        <w:pPr>
                          <w:pStyle w:val="TableParagraph"/>
                          <w:spacing w:before="47"/>
                          <w:ind w:left="50"/>
                          <w:rPr>
                            <w:sz w:val="15"/>
                          </w:rPr>
                        </w:pPr>
                        <w:r>
                          <w:rPr>
                            <w:color w:val="231F20"/>
                            <w:w w:val="105"/>
                            <w:sz w:val="15"/>
                          </w:rPr>
                          <w:t>Independent Var.</w:t>
                        </w:r>
                      </w:p>
                    </w:tc>
                    <w:tc>
                      <w:tcPr>
                        <w:tcW w:w="1299" w:type="dxa"/>
                        <w:gridSpan w:val="2"/>
                        <w:tcBorders>
                          <w:top w:val="single" w:sz="6" w:space="0" w:color="000000"/>
                          <w:bottom w:val="single" w:sz="6" w:space="0" w:color="000000"/>
                        </w:tcBorders>
                      </w:tcPr>
                      <w:p>
                        <w:pPr>
                          <w:pStyle w:val="TableParagraph"/>
                          <w:tabs>
                            <w:tab w:pos="364" w:val="left" w:leader="none"/>
                            <w:tab w:pos="1295" w:val="left" w:leader="none"/>
                          </w:tabs>
                          <w:spacing w:before="25"/>
                          <w:ind w:left="-2" w:right="1"/>
                          <w:jc w:val="center"/>
                          <w:rPr>
                            <w:sz w:val="15"/>
                          </w:rPr>
                        </w:pPr>
                        <w:r>
                          <w:rPr>
                            <w:i/>
                            <w:color w:val="231F20"/>
                            <w:w w:val="107"/>
                            <w:sz w:val="15"/>
                            <w:u w:val="single" w:color="000000"/>
                          </w:rPr>
                          <w:t> </w:t>
                        </w:r>
                        <w:r>
                          <w:rPr>
                            <w:i/>
                            <w:color w:val="231F20"/>
                            <w:sz w:val="15"/>
                            <w:u w:val="single" w:color="000000"/>
                          </w:rPr>
                          <w:tab/>
                          <w:t>DEL </w:t>
                        </w:r>
                        <w:r>
                          <w:rPr>
                            <w:rFonts w:ascii="Lucida Sans Unicode"/>
                            <w:color w:val="231F20"/>
                            <w:sz w:val="15"/>
                            <w:u w:val="single" w:color="000000"/>
                          </w:rPr>
                          <w:t>=</w:t>
                        </w:r>
                        <w:r>
                          <w:rPr>
                            <w:rFonts w:ascii="Lucida Sans Unicode"/>
                            <w:color w:val="231F20"/>
                            <w:spacing w:val="-8"/>
                            <w:sz w:val="15"/>
                            <w:u w:val="single" w:color="000000"/>
                          </w:rPr>
                          <w:t> </w:t>
                        </w:r>
                        <w:r>
                          <w:rPr>
                            <w:color w:val="231F20"/>
                            <w:sz w:val="15"/>
                            <w:u w:val="single" w:color="000000"/>
                          </w:rPr>
                          <w:t>1</w:t>
                          <w:tab/>
                        </w:r>
                      </w:p>
                      <w:p>
                        <w:pPr>
                          <w:pStyle w:val="TableParagraph"/>
                          <w:tabs>
                            <w:tab w:pos="889" w:val="left" w:leader="none"/>
                          </w:tabs>
                          <w:spacing w:before="47"/>
                          <w:ind w:left="100"/>
                          <w:jc w:val="center"/>
                          <w:rPr>
                            <w:sz w:val="15"/>
                          </w:rPr>
                        </w:pPr>
                        <w:r>
                          <w:rPr>
                            <w:color w:val="231F20"/>
                            <w:sz w:val="15"/>
                          </w:rPr>
                          <w:t>Coef.</w:t>
                          <w:tab/>
                        </w:r>
                        <w:r>
                          <w:rPr>
                            <w:i/>
                            <w:color w:val="231F20"/>
                            <w:sz w:val="15"/>
                          </w:rPr>
                          <w:t>t</w:t>
                        </w:r>
                        <w:r>
                          <w:rPr>
                            <w:color w:val="231F20"/>
                            <w:sz w:val="15"/>
                          </w:rPr>
                          <w:t>-stat</w:t>
                        </w:r>
                      </w:p>
                    </w:tc>
                    <w:tc>
                      <w:tcPr>
                        <w:tcW w:w="233" w:type="dxa"/>
                        <w:tcBorders>
                          <w:bottom w:val="single" w:sz="6" w:space="0" w:color="000000"/>
                        </w:tcBorders>
                      </w:tcPr>
                      <w:p>
                        <w:pPr>
                          <w:pStyle w:val="TableParagraph"/>
                          <w:rPr>
                            <w:rFonts w:ascii="Times New Roman"/>
                            <w:sz w:val="14"/>
                          </w:rPr>
                        </w:pPr>
                      </w:p>
                    </w:tc>
                    <w:tc>
                      <w:tcPr>
                        <w:tcW w:w="1298" w:type="dxa"/>
                        <w:tcBorders>
                          <w:top w:val="single" w:sz="6" w:space="0" w:color="000000"/>
                          <w:bottom w:val="single" w:sz="6" w:space="0" w:color="000000"/>
                        </w:tcBorders>
                      </w:tcPr>
                      <w:p>
                        <w:pPr>
                          <w:pStyle w:val="TableParagraph"/>
                          <w:tabs>
                            <w:tab w:pos="1292" w:val="left" w:leader="none"/>
                          </w:tabs>
                          <w:spacing w:before="25"/>
                          <w:ind w:left="-5" w:right="3"/>
                          <w:jc w:val="center"/>
                          <w:rPr>
                            <w:sz w:val="15"/>
                          </w:rPr>
                        </w:pPr>
                        <w:r>
                          <w:rPr>
                            <w:i/>
                            <w:color w:val="231F20"/>
                            <w:w w:val="107"/>
                            <w:sz w:val="15"/>
                            <w:u w:val="single" w:color="000000"/>
                          </w:rPr>
                          <w:t> </w:t>
                        </w:r>
                        <w:r>
                          <w:rPr>
                            <w:i/>
                            <w:color w:val="231F20"/>
                            <w:sz w:val="15"/>
                            <w:u w:val="single" w:color="000000"/>
                          </w:rPr>
                          <w:t>    </w:t>
                        </w:r>
                        <w:r>
                          <w:rPr>
                            <w:i/>
                            <w:color w:val="231F20"/>
                            <w:spacing w:val="5"/>
                            <w:sz w:val="15"/>
                            <w:u w:val="single" w:color="000000"/>
                          </w:rPr>
                          <w:t> </w:t>
                        </w:r>
                        <w:r>
                          <w:rPr>
                            <w:i/>
                            <w:color w:val="231F20"/>
                            <w:sz w:val="15"/>
                            <w:u w:val="single" w:color="000000"/>
                          </w:rPr>
                          <w:t>HEDF93 </w:t>
                        </w:r>
                        <w:r>
                          <w:rPr>
                            <w:rFonts w:ascii="Lucida Sans Unicode"/>
                            <w:color w:val="231F20"/>
                            <w:sz w:val="15"/>
                            <w:u w:val="single" w:color="000000"/>
                          </w:rPr>
                          <w:t>=</w:t>
                        </w:r>
                        <w:r>
                          <w:rPr>
                            <w:rFonts w:ascii="Lucida Sans Unicode"/>
                            <w:color w:val="231F20"/>
                            <w:spacing w:val="-10"/>
                            <w:sz w:val="15"/>
                            <w:u w:val="single" w:color="000000"/>
                          </w:rPr>
                          <w:t> </w:t>
                        </w:r>
                        <w:r>
                          <w:rPr>
                            <w:color w:val="231F20"/>
                            <w:sz w:val="15"/>
                            <w:u w:val="single" w:color="000000"/>
                          </w:rPr>
                          <w:t>1</w:t>
                          <w:tab/>
                        </w:r>
                      </w:p>
                      <w:p>
                        <w:pPr>
                          <w:pStyle w:val="TableParagraph"/>
                          <w:tabs>
                            <w:tab w:pos="884" w:val="left" w:leader="none"/>
                          </w:tabs>
                          <w:spacing w:before="47"/>
                          <w:ind w:left="95"/>
                          <w:jc w:val="center"/>
                          <w:rPr>
                            <w:sz w:val="15"/>
                          </w:rPr>
                        </w:pPr>
                        <w:r>
                          <w:rPr>
                            <w:color w:val="231F20"/>
                            <w:sz w:val="15"/>
                          </w:rPr>
                          <w:t>Coef.</w:t>
                          <w:tab/>
                        </w:r>
                        <w:r>
                          <w:rPr>
                            <w:i/>
                            <w:color w:val="231F20"/>
                            <w:sz w:val="15"/>
                          </w:rPr>
                          <w:t>t</w:t>
                        </w:r>
                        <w:r>
                          <w:rPr>
                            <w:color w:val="231F20"/>
                            <w:sz w:val="15"/>
                          </w:rPr>
                          <w:t>-stat</w:t>
                        </w:r>
                      </w:p>
                    </w:tc>
                    <w:tc>
                      <w:tcPr>
                        <w:tcW w:w="233" w:type="dxa"/>
                        <w:tcBorders>
                          <w:bottom w:val="single" w:sz="6" w:space="0" w:color="000000"/>
                        </w:tcBorders>
                      </w:tcPr>
                      <w:p>
                        <w:pPr>
                          <w:pStyle w:val="TableParagraph"/>
                          <w:rPr>
                            <w:rFonts w:ascii="Times New Roman"/>
                            <w:sz w:val="14"/>
                          </w:rPr>
                        </w:pPr>
                      </w:p>
                    </w:tc>
                    <w:tc>
                      <w:tcPr>
                        <w:tcW w:w="1298" w:type="dxa"/>
                        <w:tcBorders>
                          <w:top w:val="single" w:sz="6" w:space="0" w:color="000000"/>
                          <w:bottom w:val="single" w:sz="6" w:space="0" w:color="000000"/>
                        </w:tcBorders>
                      </w:tcPr>
                      <w:p>
                        <w:pPr>
                          <w:pStyle w:val="TableParagraph"/>
                          <w:tabs>
                            <w:tab w:pos="252" w:val="left" w:leader="none"/>
                            <w:tab w:pos="1289" w:val="left" w:leader="none"/>
                          </w:tabs>
                          <w:spacing w:before="46"/>
                          <w:ind w:left="-7" w:right="6"/>
                          <w:jc w:val="center"/>
                          <w:rPr>
                            <w:sz w:val="15"/>
                          </w:rPr>
                        </w:pPr>
                        <w:r>
                          <w:rPr>
                            <w:color w:val="231F20"/>
                            <w:w w:val="107"/>
                            <w:sz w:val="15"/>
                            <w:u w:val="single" w:color="000000"/>
                          </w:rPr>
                          <w:t> </w:t>
                        </w:r>
                        <w:r>
                          <w:rPr>
                            <w:color w:val="231F20"/>
                            <w:sz w:val="15"/>
                            <w:u w:val="single" w:color="000000"/>
                          </w:rPr>
                          <w:tab/>
                          <w:t>Full</w:t>
                        </w:r>
                        <w:r>
                          <w:rPr>
                            <w:color w:val="231F20"/>
                            <w:spacing w:val="-1"/>
                            <w:sz w:val="15"/>
                            <w:u w:val="single" w:color="000000"/>
                          </w:rPr>
                          <w:t> </w:t>
                        </w:r>
                        <w:r>
                          <w:rPr>
                            <w:color w:val="231F20"/>
                            <w:sz w:val="15"/>
                            <w:u w:val="single" w:color="000000"/>
                          </w:rPr>
                          <w:t>sample</w:t>
                          <w:tab/>
                        </w:r>
                      </w:p>
                      <w:p>
                        <w:pPr>
                          <w:pStyle w:val="TableParagraph"/>
                          <w:tabs>
                            <w:tab w:pos="879" w:val="left" w:leader="none"/>
                          </w:tabs>
                          <w:spacing w:before="70"/>
                          <w:ind w:left="90"/>
                          <w:jc w:val="center"/>
                          <w:rPr>
                            <w:sz w:val="15"/>
                          </w:rPr>
                        </w:pPr>
                        <w:r>
                          <w:rPr>
                            <w:color w:val="231F20"/>
                            <w:sz w:val="15"/>
                          </w:rPr>
                          <w:t>Coef.</w:t>
                          <w:tab/>
                        </w:r>
                        <w:r>
                          <w:rPr>
                            <w:i/>
                            <w:color w:val="231F20"/>
                            <w:sz w:val="15"/>
                          </w:rPr>
                          <w:t>t</w:t>
                        </w:r>
                        <w:r>
                          <w:rPr>
                            <w:color w:val="231F20"/>
                            <w:sz w:val="15"/>
                          </w:rPr>
                          <w:t>-stat</w:t>
                        </w:r>
                      </w:p>
                    </w:tc>
                  </w:tr>
                  <w:tr>
                    <w:trPr>
                      <w:trHeight w:val="714" w:hRule="atLeast"/>
                    </w:trPr>
                    <w:tc>
                      <w:tcPr>
                        <w:tcW w:w="1202" w:type="dxa"/>
                      </w:tcPr>
                      <w:p>
                        <w:pPr>
                          <w:pStyle w:val="TableParagraph"/>
                          <w:spacing w:line="259" w:lineRule="auto" w:before="26"/>
                          <w:ind w:left="50" w:right="321"/>
                          <w:rPr>
                            <w:i/>
                            <w:sz w:val="15"/>
                          </w:rPr>
                        </w:pPr>
                        <w:r>
                          <w:rPr>
                            <w:color w:val="231F20"/>
                            <w:sz w:val="15"/>
                          </w:rPr>
                          <w:t>Intercept </w:t>
                        </w:r>
                        <w:r>
                          <w:rPr>
                            <w:i/>
                            <w:color w:val="231F20"/>
                            <w:sz w:val="15"/>
                          </w:rPr>
                          <w:t>DEL </w:t>
                        </w:r>
                        <w:r>
                          <w:rPr>
                            <w:i/>
                            <w:color w:val="231F20"/>
                            <w:sz w:val="15"/>
                          </w:rPr>
                          <w:t>HEDF93</w:t>
                        </w:r>
                      </w:p>
                    </w:tc>
                    <w:tc>
                      <w:tcPr>
                        <w:tcW w:w="951" w:type="dxa"/>
                      </w:tcPr>
                      <w:p>
                        <w:pPr>
                          <w:pStyle w:val="TableParagraph"/>
                          <w:spacing w:line="259" w:lineRule="auto" w:before="31"/>
                          <w:ind w:left="523" w:right="297"/>
                          <w:jc w:val="both"/>
                          <w:rPr>
                            <w:i/>
                            <w:sz w:val="15"/>
                          </w:rPr>
                        </w:pPr>
                        <w:r>
                          <w:rPr>
                            <w:i/>
                            <w:color w:val="231F20"/>
                            <w:sz w:val="15"/>
                          </w:rPr>
                          <w:t>ß</w:t>
                        </w:r>
                        <w:r>
                          <w:rPr>
                            <w:i/>
                            <w:color w:val="231F20"/>
                            <w:sz w:val="15"/>
                            <w:vertAlign w:val="subscript"/>
                          </w:rPr>
                          <w:t>0</w:t>
                        </w:r>
                        <w:r>
                          <w:rPr>
                            <w:i/>
                            <w:color w:val="231F20"/>
                            <w:sz w:val="15"/>
                            <w:vertAlign w:val="baseline"/>
                          </w:rPr>
                          <w:t> </w:t>
                        </w:r>
                        <w:r>
                          <w:rPr>
                            <w:i/>
                            <w:color w:val="231F20"/>
                            <w:sz w:val="15"/>
                            <w:vertAlign w:val="baseline"/>
                          </w:rPr>
                          <w:t>ß</w:t>
                        </w:r>
                        <w:r>
                          <w:rPr>
                            <w:i/>
                            <w:color w:val="231F20"/>
                            <w:sz w:val="15"/>
                            <w:vertAlign w:val="subscript"/>
                          </w:rPr>
                          <w:t>1</w:t>
                        </w:r>
                        <w:r>
                          <w:rPr>
                            <w:i/>
                            <w:color w:val="231F20"/>
                            <w:sz w:val="15"/>
                            <w:vertAlign w:val="baseline"/>
                          </w:rPr>
                          <w:t> ß</w:t>
                        </w:r>
                        <w:r>
                          <w:rPr>
                            <w:i/>
                            <w:color w:val="231F20"/>
                            <w:sz w:val="15"/>
                            <w:vertAlign w:val="subscript"/>
                          </w:rPr>
                          <w:t>2</w:t>
                        </w:r>
                      </w:p>
                    </w:tc>
                    <w:tc>
                      <w:tcPr>
                        <w:tcW w:w="774" w:type="dxa"/>
                      </w:tcPr>
                      <w:p>
                        <w:pPr>
                          <w:pStyle w:val="TableParagraph"/>
                          <w:spacing w:line="213" w:lineRule="exact"/>
                          <w:ind w:left="66" w:right="68"/>
                          <w:jc w:val="center"/>
                          <w:rPr>
                            <w:rFonts w:ascii="Lucida Sans Unicode" w:hAnsi="Lucida Sans Unicode"/>
                            <w:sz w:val="11"/>
                          </w:rPr>
                        </w:pPr>
                        <w:r>
                          <w:rPr>
                            <w:color w:val="231F20"/>
                            <w:sz w:val="15"/>
                          </w:rPr>
                          <w:t>4.625</w:t>
                        </w:r>
                        <w:r>
                          <w:rPr>
                            <w:rFonts w:ascii="Lucida Sans Unicode" w:hAnsi="Lucida Sans Unicode"/>
                            <w:color w:val="231F20"/>
                            <w:position w:val="6"/>
                            <w:sz w:val="11"/>
                          </w:rPr>
                          <w:t>∗∗∗</w:t>
                        </w:r>
                      </w:p>
                      <w:p>
                        <w:pPr>
                          <w:pStyle w:val="TableParagraph"/>
                          <w:spacing w:before="6"/>
                          <w:rPr>
                            <w:sz w:val="13"/>
                          </w:rPr>
                        </w:pPr>
                      </w:p>
                      <w:p>
                        <w:pPr>
                          <w:pStyle w:val="TableParagraph"/>
                          <w:ind w:left="-4" w:right="177"/>
                          <w:jc w:val="center"/>
                          <w:rPr>
                            <w:rFonts w:ascii="Lucida Sans Unicode" w:hAnsi="Lucida Sans Unicode"/>
                            <w:sz w:val="11"/>
                          </w:rPr>
                        </w:pPr>
                        <w:r>
                          <w:rPr>
                            <w:rFonts w:ascii="Lucida Sans Unicode" w:hAnsi="Lucida Sans Unicode"/>
                            <w:color w:val="231F20"/>
                            <w:spacing w:val="-2"/>
                            <w:w w:val="95"/>
                            <w:sz w:val="15"/>
                          </w:rPr>
                          <w:t>−</w:t>
                        </w:r>
                        <w:r>
                          <w:rPr>
                            <w:color w:val="231F20"/>
                            <w:spacing w:val="-2"/>
                            <w:w w:val="95"/>
                            <w:sz w:val="15"/>
                          </w:rPr>
                          <w:t>0.135</w:t>
                        </w:r>
                        <w:r>
                          <w:rPr>
                            <w:rFonts w:ascii="Lucida Sans Unicode" w:hAnsi="Lucida Sans Unicode"/>
                            <w:color w:val="231F20"/>
                            <w:spacing w:val="-2"/>
                            <w:w w:val="95"/>
                            <w:position w:val="6"/>
                            <w:sz w:val="11"/>
                          </w:rPr>
                          <w:t>∗∗</w:t>
                        </w:r>
                      </w:p>
                    </w:tc>
                    <w:tc>
                      <w:tcPr>
                        <w:tcW w:w="3587" w:type="dxa"/>
                        <w:gridSpan w:val="5"/>
                      </w:tcPr>
                      <w:p>
                        <w:pPr>
                          <w:pStyle w:val="TableParagraph"/>
                          <w:tabs>
                            <w:tab w:pos="872" w:val="left" w:leader="none"/>
                            <w:tab w:pos="2401" w:val="left" w:leader="none"/>
                          </w:tabs>
                          <w:spacing w:line="199" w:lineRule="exact"/>
                          <w:ind w:left="157"/>
                          <w:rPr>
                            <w:sz w:val="15"/>
                          </w:rPr>
                        </w:pPr>
                        <w:r>
                          <w:rPr>
                            <w:color w:val="231F20"/>
                            <w:sz w:val="15"/>
                          </w:rPr>
                          <w:t>33.10</w:t>
                          <w:tab/>
                          <w:t>5.295</w:t>
                        </w:r>
                        <w:r>
                          <w:rPr>
                            <w:rFonts w:ascii="Lucida Sans Unicode" w:hAnsi="Lucida Sans Unicode"/>
                            <w:color w:val="231F20"/>
                            <w:position w:val="6"/>
                            <w:sz w:val="11"/>
                          </w:rPr>
                          <w:t>∗∗∗   </w:t>
                        </w:r>
                        <w:r>
                          <w:rPr>
                            <w:rFonts w:ascii="Lucida Sans Unicode" w:hAnsi="Lucida Sans Unicode"/>
                            <w:color w:val="231F20"/>
                            <w:spacing w:val="25"/>
                            <w:position w:val="6"/>
                            <w:sz w:val="11"/>
                          </w:rPr>
                          <w:t> </w:t>
                        </w:r>
                        <w:r>
                          <w:rPr>
                            <w:color w:val="231F20"/>
                            <w:sz w:val="15"/>
                          </w:rPr>
                          <w:t>23.16</w:t>
                          <w:tab/>
                          <w:t>4.637</w:t>
                        </w:r>
                        <w:r>
                          <w:rPr>
                            <w:rFonts w:ascii="Lucida Sans Unicode" w:hAnsi="Lucida Sans Unicode"/>
                            <w:color w:val="231F20"/>
                            <w:position w:val="6"/>
                            <w:sz w:val="11"/>
                          </w:rPr>
                          <w:t>∗∗∗</w:t>
                        </w:r>
                        <w:r>
                          <w:rPr>
                            <w:rFonts w:ascii="Lucida Sans Unicode" w:hAnsi="Lucida Sans Unicode"/>
                            <w:color w:val="231F20"/>
                            <w:spacing w:val="22"/>
                            <w:position w:val="6"/>
                            <w:sz w:val="11"/>
                          </w:rPr>
                          <w:t> </w:t>
                        </w:r>
                        <w:r>
                          <w:rPr>
                            <w:color w:val="231F20"/>
                            <w:sz w:val="15"/>
                          </w:rPr>
                          <w:t>42.25</w:t>
                        </w:r>
                      </w:p>
                      <w:p>
                        <w:pPr>
                          <w:pStyle w:val="TableParagraph"/>
                          <w:tabs>
                            <w:tab w:pos="2279" w:val="left" w:leader="none"/>
                            <w:tab w:pos="3174" w:val="left" w:leader="none"/>
                          </w:tabs>
                          <w:spacing w:line="207" w:lineRule="exact"/>
                          <w:ind w:left="751"/>
                          <w:rPr>
                            <w:sz w:val="15"/>
                          </w:rPr>
                        </w:pPr>
                        <w:r>
                          <w:rPr>
                            <w:rFonts w:ascii="Lucida Sans Unicode" w:hAnsi="Lucida Sans Unicode"/>
                            <w:color w:val="231F20"/>
                            <w:w w:val="105"/>
                            <w:sz w:val="15"/>
                          </w:rPr>
                          <w:t>−</w:t>
                        </w:r>
                        <w:r>
                          <w:rPr>
                            <w:color w:val="231F20"/>
                            <w:w w:val="105"/>
                            <w:sz w:val="15"/>
                          </w:rPr>
                          <w:t>0.368</w:t>
                        </w:r>
                        <w:r>
                          <w:rPr>
                            <w:rFonts w:ascii="Lucida Sans Unicode" w:hAnsi="Lucida Sans Unicode"/>
                            <w:color w:val="231F20"/>
                            <w:w w:val="105"/>
                            <w:position w:val="6"/>
                            <w:sz w:val="11"/>
                          </w:rPr>
                          <w:t>∗∗∗ </w:t>
                        </w:r>
                        <w:r>
                          <w:rPr>
                            <w:rFonts w:ascii="Lucida Sans Unicode" w:hAnsi="Lucida Sans Unicode"/>
                            <w:color w:val="231F20"/>
                            <w:spacing w:val="32"/>
                            <w:w w:val="105"/>
                            <w:position w:val="6"/>
                            <w:sz w:val="11"/>
                          </w:rPr>
                          <w:t> </w:t>
                        </w:r>
                        <w:r>
                          <w:rPr>
                            <w:rFonts w:ascii="Lucida Sans Unicode" w:hAnsi="Lucida Sans Unicode"/>
                            <w:color w:val="231F20"/>
                            <w:w w:val="105"/>
                            <w:sz w:val="15"/>
                          </w:rPr>
                          <w:t>−</w:t>
                        </w:r>
                        <w:r>
                          <w:rPr>
                            <w:color w:val="231F20"/>
                            <w:w w:val="105"/>
                            <w:sz w:val="15"/>
                          </w:rPr>
                          <w:t>4.33</w:t>
                          <w:tab/>
                        </w:r>
                        <w:r>
                          <w:rPr>
                            <w:rFonts w:ascii="Lucida Sans Unicode" w:hAnsi="Lucida Sans Unicode"/>
                            <w:color w:val="231F20"/>
                            <w:w w:val="105"/>
                            <w:sz w:val="15"/>
                          </w:rPr>
                          <w:t>−</w:t>
                        </w:r>
                        <w:r>
                          <w:rPr>
                            <w:color w:val="231F20"/>
                            <w:w w:val="105"/>
                            <w:sz w:val="15"/>
                          </w:rPr>
                          <w:t>0.021</w:t>
                          <w:tab/>
                        </w:r>
                        <w:r>
                          <w:rPr>
                            <w:rFonts w:ascii="Lucida Sans Unicode" w:hAnsi="Lucida Sans Unicode"/>
                            <w:color w:val="231F20"/>
                            <w:w w:val="105"/>
                            <w:sz w:val="15"/>
                          </w:rPr>
                          <w:t>−</w:t>
                        </w:r>
                        <w:r>
                          <w:rPr>
                            <w:color w:val="231F20"/>
                            <w:w w:val="105"/>
                            <w:sz w:val="15"/>
                          </w:rPr>
                          <w:t>0.58</w:t>
                        </w:r>
                      </w:p>
                      <w:p>
                        <w:pPr>
                          <w:pStyle w:val="TableParagraph"/>
                          <w:tabs>
                            <w:tab w:pos="2401" w:val="left" w:leader="none"/>
                            <w:tab w:pos="3295" w:val="left" w:leader="none"/>
                          </w:tabs>
                          <w:spacing w:line="221" w:lineRule="exact"/>
                          <w:ind w:left="117"/>
                          <w:rPr>
                            <w:sz w:val="15"/>
                          </w:rPr>
                        </w:pPr>
                        <w:r>
                          <w:rPr>
                            <w:rFonts w:ascii="Lucida Sans Unicode" w:hAnsi="Lucida Sans Unicode"/>
                            <w:color w:val="231F20"/>
                            <w:sz w:val="15"/>
                          </w:rPr>
                          <w:t>−</w:t>
                        </w:r>
                        <w:r>
                          <w:rPr>
                            <w:color w:val="231F20"/>
                            <w:sz w:val="15"/>
                          </w:rPr>
                          <w:t>2.07</w:t>
                          <w:tab/>
                          <w:t>0.207</w:t>
                        </w:r>
                        <w:r>
                          <w:rPr>
                            <w:rFonts w:ascii="Lucida Sans Unicode" w:hAnsi="Lucida Sans Unicode"/>
                            <w:color w:val="231F20"/>
                            <w:position w:val="6"/>
                            <w:sz w:val="11"/>
                          </w:rPr>
                          <w:t>∗∗∗</w:t>
                          <w:tab/>
                        </w:r>
                        <w:r>
                          <w:rPr>
                            <w:color w:val="231F20"/>
                            <w:sz w:val="15"/>
                          </w:rPr>
                          <w:t>3.05</w:t>
                        </w:r>
                      </w:p>
                    </w:tc>
                  </w:tr>
                </w:tbl>
                <w:p>
                  <w:pPr>
                    <w:pStyle w:val="BodyText"/>
                  </w:pPr>
                </w:p>
              </w:txbxContent>
            </v:textbox>
            <w10:wrap type="none"/>
          </v:shape>
        </w:pict>
      </w:r>
      <w:r>
        <w:rPr>
          <w:color w:val="231F20"/>
          <w:w w:val="115"/>
          <w:sz w:val="15"/>
        </w:rPr>
        <w:t>(ii)</w:t>
        <w:tab/>
        <w:t>(iii)</w:t>
      </w:r>
    </w:p>
    <w:p>
      <w:pPr>
        <w:pStyle w:val="BodyText"/>
        <w:spacing w:before="5"/>
        <w:rPr>
          <w:sz w:val="13"/>
        </w:rPr>
      </w:pPr>
      <w:r>
        <w:rPr/>
        <w:pict>
          <v:line style="position:absolute;mso-position-horizontal-relative:page;mso-position-vertical-relative:paragraph;z-index:3352;mso-wrap-distance-left:0;mso-wrap-distance-right:0" from="143.973007pt,10.550664pt" to="146.313007pt,10.550664pt" stroked="true" strokeweight=".405pt" strokecolor="#000000">
            <v:stroke dashstyle="solid"/>
            <w10:wrap type="topAndBottom"/>
          </v:line>
        </w:pict>
      </w:r>
    </w:p>
    <w:p>
      <w:pPr>
        <w:pStyle w:val="BodyText"/>
        <w:rPr>
          <w:sz w:val="18"/>
        </w:rPr>
      </w:pPr>
    </w:p>
    <w:p>
      <w:pPr>
        <w:pStyle w:val="BodyText"/>
        <w:rPr>
          <w:sz w:val="18"/>
        </w:rPr>
      </w:pPr>
    </w:p>
    <w:p>
      <w:pPr>
        <w:pStyle w:val="BodyText"/>
        <w:rPr>
          <w:sz w:val="18"/>
        </w:rPr>
      </w:pPr>
    </w:p>
    <w:p>
      <w:pPr>
        <w:pStyle w:val="BodyText"/>
        <w:spacing w:before="8"/>
        <w:rPr>
          <w:sz w:val="18"/>
        </w:rPr>
      </w:pPr>
    </w:p>
    <w:p>
      <w:pPr>
        <w:tabs>
          <w:tab w:pos="1837" w:val="left" w:leader="none"/>
          <w:tab w:pos="5319" w:val="left" w:leader="none"/>
        </w:tabs>
        <w:spacing w:line="221" w:lineRule="exact" w:before="0"/>
        <w:ind w:left="162" w:right="0" w:firstLine="0"/>
        <w:jc w:val="left"/>
        <w:rPr>
          <w:sz w:val="15"/>
        </w:rPr>
      </w:pP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3</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0.320</w:t>
      </w:r>
      <w:r>
        <w:rPr>
          <w:rFonts w:ascii="Lucida Sans Unicode" w:hAnsi="Lucida Sans Unicode"/>
          <w:color w:val="231F20"/>
          <w:position w:val="6"/>
          <w:sz w:val="11"/>
          <w:vertAlign w:val="baseline"/>
        </w:rPr>
        <w:t>∗∗∗</w:t>
      </w:r>
      <w:r>
        <w:rPr>
          <w:rFonts w:ascii="Lucida Sans Unicode" w:hAnsi="Lucida Sans Unicode"/>
          <w:color w:val="231F20"/>
          <w:spacing w:val="15"/>
          <w:position w:val="6"/>
          <w:sz w:val="11"/>
          <w:vertAlign w:val="baseline"/>
        </w:rPr>
        <w:t> </w:t>
      </w:r>
      <w:r>
        <w:rPr>
          <w:rFonts w:ascii="Lucida Sans Unicode" w:hAnsi="Lucida Sans Unicode"/>
          <w:color w:val="231F20"/>
          <w:sz w:val="15"/>
          <w:vertAlign w:val="baseline"/>
        </w:rPr>
        <w:t>−</w:t>
      </w:r>
      <w:r>
        <w:rPr>
          <w:color w:val="231F20"/>
          <w:sz w:val="15"/>
          <w:vertAlign w:val="baseline"/>
        </w:rPr>
        <w:t>3.53</w:t>
      </w:r>
    </w:p>
    <w:p>
      <w:pPr>
        <w:tabs>
          <w:tab w:pos="1837" w:val="left" w:leader="none"/>
          <w:tab w:pos="2262" w:val="left" w:leader="none"/>
          <w:tab w:pos="3156" w:val="left" w:leader="none"/>
          <w:tab w:pos="3790" w:val="left" w:leader="none"/>
          <w:tab w:pos="5319" w:val="left" w:leader="none"/>
          <w:tab w:pos="6214" w:val="left" w:leader="none"/>
        </w:tabs>
        <w:spacing w:line="195" w:lineRule="exact" w:before="0"/>
        <w:ind w:left="162" w:right="0" w:firstLine="0"/>
        <w:jc w:val="left"/>
        <w:rPr>
          <w:sz w:val="15"/>
        </w:rPr>
      </w:pPr>
      <w:r>
        <w:rPr>
          <w:i/>
          <w:color w:val="231F20"/>
          <w:sz w:val="15"/>
        </w:rPr>
        <w:t>POST</w:t>
        <w:tab/>
        <w:t>ß</w:t>
      </w:r>
      <w:r>
        <w:rPr>
          <w:i/>
          <w:color w:val="231F20"/>
          <w:sz w:val="15"/>
          <w:vertAlign w:val="subscript"/>
        </w:rPr>
        <w:t>4</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0.005</w:t>
        <w:tab/>
      </w:r>
      <w:r>
        <w:rPr>
          <w:rFonts w:ascii="Lucida Sans Unicode" w:hAnsi="Lucida Sans Unicode"/>
          <w:color w:val="231F20"/>
          <w:sz w:val="15"/>
          <w:vertAlign w:val="baseline"/>
        </w:rPr>
        <w:t>−</w:t>
      </w:r>
      <w:r>
        <w:rPr>
          <w:color w:val="231F20"/>
          <w:sz w:val="15"/>
          <w:vertAlign w:val="baseline"/>
        </w:rPr>
        <w:t>0.07</w:t>
        <w:tab/>
      </w:r>
      <w:r>
        <w:rPr>
          <w:rFonts w:ascii="Lucida Sans Unicode" w:hAnsi="Lucida Sans Unicode"/>
          <w:color w:val="231F20"/>
          <w:sz w:val="15"/>
          <w:vertAlign w:val="baseline"/>
        </w:rPr>
        <w:t>−</w:t>
      </w:r>
      <w:r>
        <w:rPr>
          <w:color w:val="231F20"/>
          <w:sz w:val="15"/>
          <w:vertAlign w:val="baseline"/>
        </w:rPr>
        <w:t>0.382</w:t>
      </w:r>
      <w:r>
        <w:rPr>
          <w:rFonts w:ascii="Lucida Sans Unicode" w:hAnsi="Lucida Sans Unicode"/>
          <w:color w:val="231F20"/>
          <w:position w:val="6"/>
          <w:sz w:val="11"/>
          <w:vertAlign w:val="baseline"/>
        </w:rPr>
        <w:t>∗∗∗  </w:t>
      </w:r>
      <w:r>
        <w:rPr>
          <w:rFonts w:ascii="Lucida Sans Unicode" w:hAnsi="Lucida Sans Unicode"/>
          <w:color w:val="231F20"/>
          <w:spacing w:val="32"/>
          <w:position w:val="6"/>
          <w:sz w:val="11"/>
          <w:vertAlign w:val="baseline"/>
        </w:rPr>
        <w:t> </w:t>
      </w:r>
      <w:r>
        <w:rPr>
          <w:rFonts w:ascii="Lucida Sans Unicode" w:hAnsi="Lucida Sans Unicode"/>
          <w:color w:val="231F20"/>
          <w:sz w:val="15"/>
          <w:vertAlign w:val="baseline"/>
        </w:rPr>
        <w:t>−</w:t>
      </w:r>
      <w:r>
        <w:rPr>
          <w:color w:val="231F20"/>
          <w:sz w:val="15"/>
          <w:vertAlign w:val="baseline"/>
        </w:rPr>
        <w:t>2.89</w:t>
        <w:tab/>
      </w:r>
      <w:r>
        <w:rPr>
          <w:rFonts w:ascii="Lucida Sans Unicode" w:hAnsi="Lucida Sans Unicode"/>
          <w:color w:val="231F20"/>
          <w:sz w:val="15"/>
          <w:vertAlign w:val="baseline"/>
        </w:rPr>
        <w:t>−</w:t>
      </w:r>
      <w:r>
        <w:rPr>
          <w:color w:val="231F20"/>
          <w:sz w:val="15"/>
          <w:vertAlign w:val="baseline"/>
        </w:rPr>
        <w:t>0.045</w:t>
        <w:tab/>
      </w:r>
      <w:r>
        <w:rPr>
          <w:rFonts w:ascii="Lucida Sans Unicode" w:hAnsi="Lucida Sans Unicode"/>
          <w:color w:val="231F20"/>
          <w:sz w:val="15"/>
          <w:vertAlign w:val="baseline"/>
        </w:rPr>
        <w:t>−</w:t>
      </w:r>
      <w:r>
        <w:rPr>
          <w:color w:val="231F20"/>
          <w:sz w:val="15"/>
          <w:vertAlign w:val="baseline"/>
        </w:rPr>
        <w:t>0.84</w:t>
      </w:r>
    </w:p>
    <w:p>
      <w:pPr>
        <w:tabs>
          <w:tab w:pos="1837" w:val="left" w:leader="none"/>
          <w:tab w:pos="3912" w:val="left" w:leader="none"/>
          <w:tab w:pos="4806" w:val="left" w:leader="none"/>
          <w:tab w:pos="5440" w:val="left" w:leader="none"/>
          <w:tab w:pos="6618" w:val="righ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tab/>
        <w:t>ß</w:t>
      </w:r>
      <w:r>
        <w:rPr>
          <w:i/>
          <w:color w:val="231F20"/>
          <w:sz w:val="15"/>
          <w:vertAlign w:val="subscript"/>
        </w:rPr>
        <w:t>5</w:t>
      </w:r>
      <w:r>
        <w:rPr>
          <w:i/>
          <w:color w:val="231F20"/>
          <w:sz w:val="15"/>
          <w:vertAlign w:val="baseline"/>
        </w:rPr>
        <w:tab/>
      </w:r>
      <w:r>
        <w:rPr>
          <w:color w:val="231F20"/>
          <w:sz w:val="15"/>
          <w:vertAlign w:val="baseline"/>
        </w:rPr>
        <w:t>0.497</w:t>
      </w:r>
      <w:r>
        <w:rPr>
          <w:rFonts w:ascii="Lucida Sans Unicode" w:hAnsi="Lucida Sans Unicode"/>
          <w:color w:val="231F20"/>
          <w:position w:val="6"/>
          <w:sz w:val="11"/>
          <w:vertAlign w:val="baseline"/>
        </w:rPr>
        <w:t>∗∗∗</w:t>
        <w:tab/>
      </w:r>
      <w:r>
        <w:rPr>
          <w:color w:val="231F20"/>
          <w:sz w:val="15"/>
          <w:vertAlign w:val="baseline"/>
        </w:rPr>
        <w:t>4.26</w:t>
        <w:tab/>
        <w:t>0.027</w:t>
        <w:tab/>
        <w:t>0.54</w:t>
      </w:r>
    </w:p>
    <w:p>
      <w:pPr>
        <w:tabs>
          <w:tab w:pos="1837" w:val="left" w:leader="none"/>
          <w:tab w:pos="2383" w:val="left" w:leader="none"/>
          <w:tab w:pos="3278" w:val="left" w:leader="none"/>
          <w:tab w:pos="5319" w:val="left" w:leader="none"/>
          <w:tab w:pos="6214" w:val="lef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HEDF93</w:t>
        <w:tab/>
        <w:t>ß</w:t>
      </w:r>
      <w:r>
        <w:rPr>
          <w:i/>
          <w:color w:val="231F20"/>
          <w:sz w:val="15"/>
          <w:vertAlign w:val="subscript"/>
        </w:rPr>
        <w:t>6</w:t>
      </w:r>
      <w:r>
        <w:rPr>
          <w:i/>
          <w:color w:val="231F20"/>
          <w:sz w:val="15"/>
          <w:vertAlign w:val="baseline"/>
        </w:rPr>
        <w:tab/>
      </w:r>
      <w:r>
        <w:rPr>
          <w:color w:val="231F20"/>
          <w:sz w:val="15"/>
          <w:vertAlign w:val="baseline"/>
        </w:rPr>
        <w:t>0.393</w:t>
      </w:r>
      <w:r>
        <w:rPr>
          <w:rFonts w:ascii="Lucida Sans Unicode" w:hAnsi="Lucida Sans Unicode"/>
          <w:color w:val="231F20"/>
          <w:position w:val="6"/>
          <w:sz w:val="11"/>
          <w:vertAlign w:val="baseline"/>
        </w:rPr>
        <w:t>∗∗∗</w:t>
        <w:tab/>
      </w:r>
      <w:r>
        <w:rPr>
          <w:color w:val="231F20"/>
          <w:sz w:val="15"/>
          <w:vertAlign w:val="baseline"/>
        </w:rPr>
        <w:t>4.48</w:t>
        <w:tab/>
      </w:r>
      <w:r>
        <w:rPr>
          <w:rFonts w:ascii="Lucida Sans Unicode" w:hAnsi="Lucida Sans Unicode"/>
          <w:color w:val="231F20"/>
          <w:sz w:val="15"/>
          <w:vertAlign w:val="baseline"/>
        </w:rPr>
        <w:t>−</w:t>
      </w:r>
      <w:r>
        <w:rPr>
          <w:color w:val="231F20"/>
          <w:sz w:val="15"/>
          <w:vertAlign w:val="baseline"/>
        </w:rPr>
        <w:t>0.084</w:t>
        <w:tab/>
      </w:r>
      <w:r>
        <w:rPr>
          <w:rFonts w:ascii="Lucida Sans Unicode" w:hAnsi="Lucida Sans Unicode"/>
          <w:color w:val="231F20"/>
          <w:sz w:val="15"/>
          <w:vertAlign w:val="baseline"/>
        </w:rPr>
        <w:t>−</w:t>
      </w:r>
      <w:r>
        <w:rPr>
          <w:color w:val="231F20"/>
          <w:sz w:val="15"/>
          <w:vertAlign w:val="baseline"/>
        </w:rPr>
        <w:t>0.89</w:t>
      </w:r>
    </w:p>
    <w:p>
      <w:pPr>
        <w:tabs>
          <w:tab w:pos="1837" w:val="left" w:leader="none"/>
          <w:tab w:pos="5440" w:val="left" w:leader="none"/>
          <w:tab w:pos="6618" w:val="right" w:leader="none"/>
        </w:tabs>
        <w:spacing w:line="195" w:lineRule="exact" w:before="0"/>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7</w:t>
      </w:r>
      <w:r>
        <w:rPr>
          <w:i/>
          <w:color w:val="231F20"/>
          <w:sz w:val="15"/>
          <w:vertAlign w:val="baseline"/>
        </w:rPr>
        <w:tab/>
      </w:r>
      <w:r>
        <w:rPr>
          <w:color w:val="231F20"/>
          <w:sz w:val="15"/>
          <w:vertAlign w:val="baseline"/>
        </w:rPr>
        <w:t>0.489</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3.82</w:t>
      </w:r>
    </w:p>
    <w:p>
      <w:pPr>
        <w:tabs>
          <w:tab w:pos="1837" w:val="left" w:leader="none"/>
          <w:tab w:pos="2262" w:val="left" w:leader="none"/>
          <w:tab w:pos="3912" w:val="left" w:leader="none"/>
          <w:tab w:pos="4806" w:val="left" w:leader="none"/>
          <w:tab w:pos="5319" w:val="left" w:leader="none"/>
        </w:tabs>
        <w:spacing w:line="195" w:lineRule="exact" w:before="0"/>
        <w:ind w:left="162" w:right="0" w:firstLine="0"/>
        <w:jc w:val="left"/>
        <w:rPr>
          <w:sz w:val="15"/>
        </w:rPr>
      </w:pPr>
      <w:r>
        <w:rPr>
          <w:i/>
          <w:color w:val="231F20"/>
          <w:sz w:val="15"/>
        </w:rPr>
        <w:t>LNMVE</w:t>
        <w:tab/>
        <w:t>ß</w:t>
      </w:r>
      <w:r>
        <w:rPr>
          <w:i/>
          <w:color w:val="231F20"/>
          <w:sz w:val="15"/>
          <w:vertAlign w:val="subscript"/>
        </w:rPr>
        <w:t>8</w:t>
      </w:r>
      <w:r>
        <w:rPr>
          <w:i/>
          <w:color w:val="231F20"/>
          <w:sz w:val="15"/>
          <w:vertAlign w:val="baseline"/>
        </w:rPr>
        <w:tab/>
      </w:r>
      <w:r>
        <w:rPr>
          <w:rFonts w:ascii="Lucida Sans Unicode" w:hAnsi="Lucida Sans Unicode"/>
          <w:color w:val="231F20"/>
          <w:sz w:val="15"/>
          <w:vertAlign w:val="baseline"/>
        </w:rPr>
        <w:t>−</w:t>
      </w:r>
      <w:r>
        <w:rPr>
          <w:color w:val="231F20"/>
          <w:sz w:val="15"/>
          <w:vertAlign w:val="baseline"/>
        </w:rPr>
        <w:t>0.051</w:t>
      </w:r>
      <w:r>
        <w:rPr>
          <w:rFonts w:ascii="Lucida Sans Unicode" w:hAnsi="Lucida Sans Unicode"/>
          <w:color w:val="231F20"/>
          <w:position w:val="6"/>
          <w:sz w:val="11"/>
          <w:vertAlign w:val="baseline"/>
        </w:rPr>
        <w:t>∗∗∗  </w:t>
      </w:r>
      <w:r>
        <w:rPr>
          <w:rFonts w:ascii="Lucida Sans Unicode" w:hAnsi="Lucida Sans Unicode"/>
          <w:color w:val="231F20"/>
          <w:spacing w:val="31"/>
          <w:position w:val="6"/>
          <w:sz w:val="11"/>
          <w:vertAlign w:val="baseline"/>
        </w:rPr>
        <w:t> </w:t>
      </w:r>
      <w:r>
        <w:rPr>
          <w:rFonts w:ascii="Lucida Sans Unicode" w:hAnsi="Lucida Sans Unicode"/>
          <w:color w:val="231F20"/>
          <w:sz w:val="15"/>
          <w:vertAlign w:val="baseline"/>
        </w:rPr>
        <w:t>−</w:t>
      </w:r>
      <w:r>
        <w:rPr>
          <w:color w:val="231F20"/>
          <w:sz w:val="15"/>
          <w:vertAlign w:val="baseline"/>
        </w:rPr>
        <w:t>3.92</w:t>
        <w:tab/>
        <w:t>0.032</w:t>
        <w:tab/>
        <w:t>1.04</w:t>
        <w:tab/>
      </w:r>
      <w:r>
        <w:rPr>
          <w:rFonts w:ascii="Lucida Sans Unicode" w:hAnsi="Lucida Sans Unicode"/>
          <w:color w:val="231F20"/>
          <w:sz w:val="15"/>
          <w:vertAlign w:val="baseline"/>
        </w:rPr>
        <w:t>−</w:t>
      </w:r>
      <w:r>
        <w:rPr>
          <w:color w:val="231F20"/>
          <w:sz w:val="15"/>
          <w:vertAlign w:val="baseline"/>
        </w:rPr>
        <w:t>0.030</w:t>
      </w:r>
      <w:r>
        <w:rPr>
          <w:rFonts w:ascii="Lucida Sans Unicode" w:hAnsi="Lucida Sans Unicode"/>
          <w:color w:val="231F20"/>
          <w:position w:val="6"/>
          <w:sz w:val="11"/>
          <w:vertAlign w:val="baseline"/>
        </w:rPr>
        <w:t>∗∗∗</w:t>
      </w:r>
      <w:r>
        <w:rPr>
          <w:rFonts w:ascii="Lucida Sans Unicode" w:hAnsi="Lucida Sans Unicode"/>
          <w:color w:val="231F20"/>
          <w:spacing w:val="15"/>
          <w:position w:val="6"/>
          <w:sz w:val="11"/>
          <w:vertAlign w:val="baseline"/>
        </w:rPr>
        <w:t> </w:t>
      </w:r>
      <w:r>
        <w:rPr>
          <w:rFonts w:ascii="Lucida Sans Unicode" w:hAnsi="Lucida Sans Unicode"/>
          <w:color w:val="231F20"/>
          <w:sz w:val="15"/>
          <w:vertAlign w:val="baseline"/>
        </w:rPr>
        <w:t>−</w:t>
      </w:r>
      <w:r>
        <w:rPr>
          <w:color w:val="231F20"/>
          <w:sz w:val="15"/>
          <w:vertAlign w:val="baseline"/>
        </w:rPr>
        <w:t>3.21</w:t>
      </w:r>
    </w:p>
    <w:p>
      <w:pPr>
        <w:tabs>
          <w:tab w:pos="1837" w:val="left" w:leader="none"/>
          <w:tab w:pos="2383" w:val="left" w:leader="none"/>
          <w:tab w:pos="3278" w:val="left" w:leader="none"/>
          <w:tab w:pos="3790" w:val="left" w:leader="none"/>
          <w:tab w:pos="4685" w:val="left" w:leader="none"/>
          <w:tab w:pos="5440" w:val="left" w:leader="none"/>
          <w:tab w:pos="6618" w:val="right" w:leader="none"/>
        </w:tabs>
        <w:spacing w:line="195" w:lineRule="exact" w:before="0"/>
        <w:ind w:left="162" w:right="0" w:firstLine="0"/>
        <w:jc w:val="left"/>
        <w:rPr>
          <w:sz w:val="15"/>
        </w:rPr>
      </w:pPr>
      <w:r>
        <w:rPr>
          <w:i/>
          <w:color w:val="231F20"/>
          <w:w w:val="105"/>
          <w:sz w:val="15"/>
        </w:rPr>
        <w:t>LEV</w:t>
        <w:tab/>
        <w:t>ß</w:t>
      </w:r>
      <w:r>
        <w:rPr>
          <w:i/>
          <w:color w:val="231F20"/>
          <w:w w:val="105"/>
          <w:sz w:val="15"/>
          <w:vertAlign w:val="subscript"/>
        </w:rPr>
        <w:t>9</w:t>
      </w:r>
      <w:r>
        <w:rPr>
          <w:i/>
          <w:color w:val="231F20"/>
          <w:w w:val="105"/>
          <w:sz w:val="15"/>
          <w:vertAlign w:val="baseline"/>
        </w:rPr>
        <w:tab/>
      </w:r>
      <w:r>
        <w:rPr>
          <w:color w:val="231F20"/>
          <w:w w:val="105"/>
          <w:sz w:val="15"/>
          <w:vertAlign w:val="baseline"/>
        </w:rPr>
        <w:t>0.144</w:t>
        <w:tab/>
        <w:t>1.52</w:t>
        <w:tab/>
      </w:r>
      <w:r>
        <w:rPr>
          <w:rFonts w:ascii="Lucida Sans Unicode" w:hAnsi="Lucida Sans Unicode"/>
          <w:color w:val="231F20"/>
          <w:w w:val="105"/>
          <w:sz w:val="15"/>
          <w:vertAlign w:val="baseline"/>
        </w:rPr>
        <w:t>−</w:t>
      </w:r>
      <w:r>
        <w:rPr>
          <w:color w:val="231F20"/>
          <w:w w:val="105"/>
          <w:sz w:val="15"/>
          <w:vertAlign w:val="baseline"/>
        </w:rPr>
        <w:t>0.342</w:t>
      </w:r>
      <w:r>
        <w:rPr>
          <w:rFonts w:ascii="Lucida Sans Unicode" w:hAnsi="Lucida Sans Unicode"/>
          <w:color w:val="231F20"/>
          <w:w w:val="105"/>
          <w:position w:val="6"/>
          <w:sz w:val="11"/>
          <w:vertAlign w:val="baseline"/>
        </w:rPr>
        <w:t>∗∗</w:t>
        <w:tab/>
      </w:r>
      <w:r>
        <w:rPr>
          <w:rFonts w:ascii="Lucida Sans Unicode" w:hAnsi="Lucida Sans Unicode"/>
          <w:color w:val="231F20"/>
          <w:w w:val="105"/>
          <w:sz w:val="15"/>
          <w:vertAlign w:val="baseline"/>
        </w:rPr>
        <w:t>−</w:t>
      </w:r>
      <w:r>
        <w:rPr>
          <w:color w:val="231F20"/>
          <w:w w:val="105"/>
          <w:sz w:val="15"/>
          <w:vertAlign w:val="baseline"/>
        </w:rPr>
        <w:t>2.13</w:t>
        <w:tab/>
        <w:t>0.095</w:t>
        <w:tab/>
        <w:t>1.37</w:t>
      </w:r>
    </w:p>
    <w:p>
      <w:pPr>
        <w:tabs>
          <w:tab w:pos="1837" w:val="left" w:leader="none"/>
          <w:tab w:pos="3790" w:val="left" w:leader="none"/>
          <w:tab w:pos="4685" w:val="left" w:leader="none"/>
          <w:tab w:pos="5319" w:val="left" w:leader="none"/>
        </w:tabs>
        <w:spacing w:line="195" w:lineRule="exact" w:before="0"/>
        <w:ind w:left="162" w:right="0" w:firstLine="0"/>
        <w:jc w:val="left"/>
        <w:rPr>
          <w:sz w:val="15"/>
        </w:rPr>
      </w:pPr>
      <w:r>
        <w:rPr>
          <w:i/>
          <w:color w:val="231F20"/>
          <w:sz w:val="15"/>
        </w:rPr>
        <w:t>BTM</w:t>
        <w:tab/>
        <w:t>ß</w:t>
      </w:r>
      <w:r>
        <w:rPr>
          <w:i/>
          <w:color w:val="231F20"/>
          <w:sz w:val="15"/>
          <w:vertAlign w:val="subscript"/>
        </w:rPr>
        <w:t>10</w:t>
      </w:r>
      <w:r>
        <w:rPr>
          <w:i/>
          <w:color w:val="231F20"/>
          <w:sz w:val="15"/>
          <w:vertAlign w:val="baseline"/>
        </w:rPr>
        <w:t>  </w:t>
      </w:r>
      <w:r>
        <w:rPr>
          <w:i/>
          <w:color w:val="231F20"/>
          <w:spacing w:val="30"/>
          <w:sz w:val="15"/>
          <w:vertAlign w:val="baseline"/>
        </w:rPr>
        <w:t> </w:t>
      </w:r>
      <w:r>
        <w:rPr>
          <w:rFonts w:ascii="Lucida Sans Unicode" w:hAnsi="Lucida Sans Unicode"/>
          <w:color w:val="231F20"/>
          <w:sz w:val="15"/>
          <w:vertAlign w:val="baseline"/>
        </w:rPr>
        <w:t>−</w:t>
      </w:r>
      <w:r>
        <w:rPr>
          <w:color w:val="231F20"/>
          <w:sz w:val="15"/>
          <w:vertAlign w:val="baseline"/>
        </w:rPr>
        <w:t>0.107</w:t>
      </w:r>
      <w:r>
        <w:rPr>
          <w:rFonts w:ascii="Lucida Sans Unicode" w:hAnsi="Lucida Sans Unicode"/>
          <w:color w:val="231F20"/>
          <w:position w:val="6"/>
          <w:sz w:val="11"/>
          <w:vertAlign w:val="baseline"/>
        </w:rPr>
        <w:t>∗∗∗   </w:t>
      </w:r>
      <w:r>
        <w:rPr>
          <w:rFonts w:ascii="Lucida Sans Unicode" w:hAnsi="Lucida Sans Unicode"/>
          <w:color w:val="231F20"/>
          <w:spacing w:val="2"/>
          <w:position w:val="6"/>
          <w:sz w:val="11"/>
          <w:vertAlign w:val="baseline"/>
        </w:rPr>
        <w:t> </w:t>
      </w:r>
      <w:r>
        <w:rPr>
          <w:rFonts w:ascii="Lucida Sans Unicode" w:hAnsi="Lucida Sans Unicode"/>
          <w:color w:val="231F20"/>
          <w:sz w:val="15"/>
          <w:vertAlign w:val="baseline"/>
        </w:rPr>
        <w:t>−</w:t>
      </w:r>
      <w:r>
        <w:rPr>
          <w:color w:val="231F20"/>
          <w:sz w:val="15"/>
          <w:vertAlign w:val="baseline"/>
        </w:rPr>
        <w:t>2.81</w:t>
        <w:tab/>
      </w:r>
      <w:r>
        <w:rPr>
          <w:rFonts w:ascii="Lucida Sans Unicode" w:hAnsi="Lucida Sans Unicode"/>
          <w:color w:val="231F20"/>
          <w:sz w:val="15"/>
          <w:vertAlign w:val="baseline"/>
        </w:rPr>
        <w:t>−</w:t>
      </w:r>
      <w:r>
        <w:rPr>
          <w:color w:val="231F20"/>
          <w:sz w:val="15"/>
          <w:vertAlign w:val="baseline"/>
        </w:rPr>
        <w:t>0.126</w:t>
      </w:r>
      <w:r>
        <w:rPr>
          <w:rFonts w:ascii="Lucida Sans Unicode" w:hAnsi="Lucida Sans Unicode"/>
          <w:color w:val="231F20"/>
          <w:position w:val="6"/>
          <w:sz w:val="11"/>
          <w:vertAlign w:val="baseline"/>
        </w:rPr>
        <w:t>∗∗</w:t>
        <w:tab/>
      </w:r>
      <w:r>
        <w:rPr>
          <w:rFonts w:ascii="Lucida Sans Unicode" w:hAnsi="Lucida Sans Unicode"/>
          <w:color w:val="231F20"/>
          <w:sz w:val="15"/>
          <w:vertAlign w:val="baseline"/>
        </w:rPr>
        <w:t>−</w:t>
      </w:r>
      <w:r>
        <w:rPr>
          <w:color w:val="231F20"/>
          <w:sz w:val="15"/>
          <w:vertAlign w:val="baseline"/>
        </w:rPr>
        <w:t>2.41</w:t>
        <w:tab/>
      </w:r>
      <w:r>
        <w:rPr>
          <w:rFonts w:ascii="Lucida Sans Unicode" w:hAnsi="Lucida Sans Unicode"/>
          <w:color w:val="231F20"/>
          <w:sz w:val="15"/>
          <w:vertAlign w:val="baseline"/>
        </w:rPr>
        <w:t>−</w:t>
      </w:r>
      <w:r>
        <w:rPr>
          <w:color w:val="231F20"/>
          <w:sz w:val="15"/>
          <w:vertAlign w:val="baseline"/>
        </w:rPr>
        <w:t>0.092</w:t>
      </w:r>
      <w:r>
        <w:rPr>
          <w:rFonts w:ascii="Lucida Sans Unicode" w:hAnsi="Lucida Sans Unicode"/>
          <w:color w:val="231F20"/>
          <w:position w:val="6"/>
          <w:sz w:val="11"/>
          <w:vertAlign w:val="baseline"/>
        </w:rPr>
        <w:t>∗∗∗  </w:t>
      </w:r>
      <w:r>
        <w:rPr>
          <w:rFonts w:ascii="Lucida Sans Unicode" w:hAnsi="Lucida Sans Unicode"/>
          <w:color w:val="231F20"/>
          <w:spacing w:val="10"/>
          <w:position w:val="6"/>
          <w:sz w:val="11"/>
          <w:vertAlign w:val="baseline"/>
        </w:rPr>
        <w:t> </w:t>
      </w:r>
      <w:r>
        <w:rPr>
          <w:rFonts w:ascii="Lucida Sans Unicode" w:hAnsi="Lucida Sans Unicode"/>
          <w:color w:val="231F20"/>
          <w:sz w:val="15"/>
          <w:vertAlign w:val="baseline"/>
        </w:rPr>
        <w:t>−</w:t>
      </w:r>
      <w:r>
        <w:rPr>
          <w:color w:val="231F20"/>
          <w:sz w:val="15"/>
          <w:vertAlign w:val="baseline"/>
        </w:rPr>
        <w:t>3.17</w:t>
      </w:r>
    </w:p>
    <w:p>
      <w:pPr>
        <w:tabs>
          <w:tab w:pos="1837" w:val="left" w:leader="none"/>
          <w:tab w:pos="3790" w:val="left" w:leader="none"/>
          <w:tab w:pos="5319" w:val="left" w:leader="none"/>
        </w:tabs>
        <w:spacing w:line="195" w:lineRule="exact" w:before="0"/>
        <w:ind w:left="162" w:right="0" w:firstLine="0"/>
        <w:jc w:val="left"/>
        <w:rPr>
          <w:sz w:val="15"/>
        </w:rPr>
      </w:pPr>
      <w:r>
        <w:rPr>
          <w:i/>
          <w:color w:val="231F20"/>
          <w:sz w:val="15"/>
        </w:rPr>
        <w:t>GROWTH</w:t>
        <w:tab/>
        <w:t>ß</w:t>
      </w:r>
      <w:r>
        <w:rPr>
          <w:i/>
          <w:color w:val="231F20"/>
          <w:sz w:val="15"/>
          <w:vertAlign w:val="subscript"/>
        </w:rPr>
        <w:t>11</w:t>
      </w:r>
      <w:r>
        <w:rPr>
          <w:i/>
          <w:color w:val="231F20"/>
          <w:sz w:val="15"/>
          <w:vertAlign w:val="baseline"/>
        </w:rPr>
        <w:t>  </w:t>
      </w:r>
      <w:r>
        <w:rPr>
          <w:i/>
          <w:color w:val="231F20"/>
          <w:spacing w:val="30"/>
          <w:sz w:val="15"/>
          <w:vertAlign w:val="baseline"/>
        </w:rPr>
        <w:t> </w:t>
      </w:r>
      <w:r>
        <w:rPr>
          <w:rFonts w:ascii="Lucida Sans Unicode" w:hAnsi="Lucida Sans Unicode"/>
          <w:color w:val="231F20"/>
          <w:sz w:val="15"/>
          <w:vertAlign w:val="baseline"/>
        </w:rPr>
        <w:t>−</w:t>
      </w:r>
      <w:r>
        <w:rPr>
          <w:color w:val="231F20"/>
          <w:sz w:val="15"/>
          <w:vertAlign w:val="baseline"/>
        </w:rPr>
        <w:t>0.203</w:t>
      </w:r>
      <w:r>
        <w:rPr>
          <w:rFonts w:ascii="Lucida Sans Unicode" w:hAnsi="Lucida Sans Unicode"/>
          <w:color w:val="231F20"/>
          <w:position w:val="6"/>
          <w:sz w:val="11"/>
          <w:vertAlign w:val="baseline"/>
        </w:rPr>
        <w:t>∗∗∗   </w:t>
      </w:r>
      <w:r>
        <w:rPr>
          <w:rFonts w:ascii="Lucida Sans Unicode" w:hAnsi="Lucida Sans Unicode"/>
          <w:color w:val="231F20"/>
          <w:spacing w:val="2"/>
          <w:position w:val="6"/>
          <w:sz w:val="11"/>
          <w:vertAlign w:val="baseline"/>
        </w:rPr>
        <w:t> </w:t>
      </w:r>
      <w:r>
        <w:rPr>
          <w:rFonts w:ascii="Lucida Sans Unicode" w:hAnsi="Lucida Sans Unicode"/>
          <w:color w:val="231F20"/>
          <w:sz w:val="15"/>
          <w:vertAlign w:val="baseline"/>
        </w:rPr>
        <w:t>−</w:t>
      </w:r>
      <w:r>
        <w:rPr>
          <w:color w:val="231F20"/>
          <w:sz w:val="15"/>
          <w:vertAlign w:val="baseline"/>
        </w:rPr>
        <w:t>4.49</w:t>
        <w:tab/>
      </w:r>
      <w:r>
        <w:rPr>
          <w:rFonts w:ascii="Lucida Sans Unicode" w:hAnsi="Lucida Sans Unicode"/>
          <w:color w:val="231F20"/>
          <w:sz w:val="15"/>
          <w:vertAlign w:val="baseline"/>
        </w:rPr>
        <w:t>−</w:t>
      </w:r>
      <w:r>
        <w:rPr>
          <w:color w:val="231F20"/>
          <w:sz w:val="15"/>
          <w:vertAlign w:val="baseline"/>
        </w:rPr>
        <w:t>0.217</w:t>
      </w:r>
      <w:r>
        <w:rPr>
          <w:rFonts w:ascii="Lucida Sans Unicode" w:hAnsi="Lucida Sans Unicode"/>
          <w:color w:val="231F20"/>
          <w:position w:val="6"/>
          <w:sz w:val="11"/>
          <w:vertAlign w:val="baseline"/>
        </w:rPr>
        <w:t>∗∗∗  </w:t>
      </w:r>
      <w:r>
        <w:rPr>
          <w:rFonts w:ascii="Lucida Sans Unicode" w:hAnsi="Lucida Sans Unicode"/>
          <w:color w:val="231F20"/>
          <w:spacing w:val="32"/>
          <w:position w:val="6"/>
          <w:sz w:val="11"/>
          <w:vertAlign w:val="baseline"/>
        </w:rPr>
        <w:t> </w:t>
      </w:r>
      <w:r>
        <w:rPr>
          <w:rFonts w:ascii="Lucida Sans Unicode" w:hAnsi="Lucida Sans Unicode"/>
          <w:color w:val="231F20"/>
          <w:sz w:val="15"/>
          <w:vertAlign w:val="baseline"/>
        </w:rPr>
        <w:t>−</w:t>
      </w:r>
      <w:r>
        <w:rPr>
          <w:color w:val="231F20"/>
          <w:sz w:val="15"/>
          <w:vertAlign w:val="baseline"/>
        </w:rPr>
        <w:t>3.18</w:t>
        <w:tab/>
      </w:r>
      <w:r>
        <w:rPr>
          <w:rFonts w:ascii="Lucida Sans Unicode" w:hAnsi="Lucida Sans Unicode"/>
          <w:color w:val="231F20"/>
          <w:sz w:val="15"/>
          <w:vertAlign w:val="baseline"/>
        </w:rPr>
        <w:t>−</w:t>
      </w:r>
      <w:r>
        <w:rPr>
          <w:color w:val="231F20"/>
          <w:sz w:val="15"/>
          <w:vertAlign w:val="baseline"/>
        </w:rPr>
        <w:t>0.203</w:t>
      </w:r>
      <w:r>
        <w:rPr>
          <w:rFonts w:ascii="Lucida Sans Unicode" w:hAnsi="Lucida Sans Unicode"/>
          <w:color w:val="231F20"/>
          <w:position w:val="6"/>
          <w:sz w:val="11"/>
          <w:vertAlign w:val="baseline"/>
        </w:rPr>
        <w:t>∗∗∗  </w:t>
      </w:r>
      <w:r>
        <w:rPr>
          <w:rFonts w:ascii="Lucida Sans Unicode" w:hAnsi="Lucida Sans Unicode"/>
          <w:color w:val="231F20"/>
          <w:spacing w:val="10"/>
          <w:position w:val="6"/>
          <w:sz w:val="11"/>
          <w:vertAlign w:val="baseline"/>
        </w:rPr>
        <w:t> </w:t>
      </w:r>
      <w:r>
        <w:rPr>
          <w:rFonts w:ascii="Lucida Sans Unicode" w:hAnsi="Lucida Sans Unicode"/>
          <w:color w:val="231F20"/>
          <w:sz w:val="15"/>
          <w:vertAlign w:val="baseline"/>
        </w:rPr>
        <w:t>−</w:t>
      </w:r>
      <w:r>
        <w:rPr>
          <w:color w:val="231F20"/>
          <w:sz w:val="15"/>
          <w:vertAlign w:val="baseline"/>
        </w:rPr>
        <w:t>5.78</w:t>
      </w:r>
    </w:p>
    <w:p>
      <w:pPr>
        <w:tabs>
          <w:tab w:pos="1837" w:val="left" w:leader="none"/>
          <w:tab w:pos="2383" w:val="left" w:leader="none"/>
          <w:tab w:pos="3912" w:val="left" w:leader="none"/>
          <w:tab w:pos="4806" w:val="left" w:leader="none"/>
          <w:tab w:pos="5440" w:val="left" w:leader="none"/>
          <w:tab w:pos="6618" w:val="right" w:leader="none"/>
        </w:tabs>
        <w:spacing w:line="183" w:lineRule="exact" w:before="0"/>
        <w:ind w:left="162" w:right="0" w:firstLine="0"/>
        <w:jc w:val="left"/>
        <w:rPr>
          <w:sz w:val="15"/>
        </w:rPr>
      </w:pPr>
      <w:r>
        <w:rPr>
          <w:i/>
          <w:color w:val="231F20"/>
          <w:sz w:val="15"/>
        </w:rPr>
        <w:t>LITIG</w:t>
        <w:tab/>
        <w:t>ß</w:t>
      </w:r>
      <w:r>
        <w:rPr>
          <w:i/>
          <w:color w:val="231F20"/>
          <w:sz w:val="15"/>
          <w:vertAlign w:val="subscript"/>
        </w:rPr>
        <w:t>12</w:t>
      </w:r>
      <w:r>
        <w:rPr>
          <w:i/>
          <w:color w:val="231F20"/>
          <w:sz w:val="15"/>
          <w:vertAlign w:val="baseline"/>
        </w:rPr>
        <w:tab/>
      </w:r>
      <w:r>
        <w:rPr>
          <w:color w:val="231F20"/>
          <w:sz w:val="15"/>
          <w:vertAlign w:val="baseline"/>
        </w:rPr>
        <w:t>0.871</w:t>
      </w:r>
      <w:r>
        <w:rPr>
          <w:rFonts w:ascii="Lucida Sans Unicode" w:hAnsi="Lucida Sans Unicode"/>
          <w:color w:val="231F20"/>
          <w:position w:val="6"/>
          <w:sz w:val="11"/>
          <w:vertAlign w:val="baseline"/>
        </w:rPr>
        <w:t>∗∗∗   </w:t>
      </w:r>
      <w:r>
        <w:rPr>
          <w:rFonts w:ascii="Lucida Sans Unicode" w:hAnsi="Lucida Sans Unicode"/>
          <w:color w:val="231F20"/>
          <w:spacing w:val="25"/>
          <w:position w:val="6"/>
          <w:sz w:val="11"/>
          <w:vertAlign w:val="baseline"/>
        </w:rPr>
        <w:t> </w:t>
      </w:r>
      <w:r>
        <w:rPr>
          <w:color w:val="231F20"/>
          <w:sz w:val="15"/>
          <w:vertAlign w:val="baseline"/>
        </w:rPr>
        <w:t>10.93</w:t>
        <w:tab/>
        <w:t>0.489</w:t>
      </w:r>
      <w:r>
        <w:rPr>
          <w:rFonts w:ascii="Lucida Sans Unicode" w:hAnsi="Lucida Sans Unicode"/>
          <w:color w:val="231F20"/>
          <w:position w:val="6"/>
          <w:sz w:val="11"/>
          <w:vertAlign w:val="baseline"/>
        </w:rPr>
        <w:t>∗∗∗</w:t>
        <w:tab/>
      </w:r>
      <w:r>
        <w:rPr>
          <w:color w:val="231F20"/>
          <w:sz w:val="15"/>
          <w:vertAlign w:val="baseline"/>
        </w:rPr>
        <w:t>3.29</w:t>
        <w:tab/>
        <w:t>0.686</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11.64</w:t>
      </w:r>
    </w:p>
    <w:p>
      <w:pPr>
        <w:tabs>
          <w:tab w:pos="1837" w:val="left" w:leader="none"/>
          <w:tab w:pos="2383" w:val="left" w:leader="none"/>
          <w:tab w:pos="3278" w:val="left" w:leader="none"/>
          <w:tab w:pos="3912" w:val="left" w:leader="none"/>
          <w:tab w:pos="4806" w:val="left" w:leader="none"/>
          <w:tab w:pos="5440" w:val="left" w:leader="none"/>
          <w:tab w:pos="6618" w:val="right" w:leader="none"/>
        </w:tabs>
        <w:spacing w:line="209" w:lineRule="exact" w:before="0"/>
        <w:ind w:left="162" w:right="0" w:firstLine="0"/>
        <w:jc w:val="left"/>
        <w:rPr>
          <w:sz w:val="15"/>
        </w:rPr>
      </w:pPr>
      <w:r>
        <w:rPr>
          <w:i/>
          <w:color w:val="231F20"/>
          <w:sz w:val="15"/>
        </w:rPr>
        <w:t>INSTOWN</w:t>
        <w:tab/>
        <w:t>ß</w:t>
      </w:r>
      <w:r>
        <w:rPr>
          <w:i/>
          <w:color w:val="231F20"/>
          <w:sz w:val="15"/>
          <w:vertAlign w:val="subscript"/>
        </w:rPr>
        <w:t>13</w:t>
      </w:r>
      <w:r>
        <w:rPr>
          <w:i/>
          <w:color w:val="231F20"/>
          <w:sz w:val="15"/>
          <w:vertAlign w:val="baseline"/>
        </w:rPr>
        <w:tab/>
      </w:r>
      <w:r>
        <w:rPr>
          <w:color w:val="231F20"/>
          <w:sz w:val="15"/>
          <w:vertAlign w:val="baseline"/>
        </w:rPr>
        <w:t>0.835</w:t>
      </w:r>
      <w:r>
        <w:rPr>
          <w:rFonts w:ascii="Lucida Sans Unicode" w:hAnsi="Lucida Sans Unicode"/>
          <w:color w:val="231F20"/>
          <w:position w:val="6"/>
          <w:sz w:val="11"/>
          <w:vertAlign w:val="baseline"/>
        </w:rPr>
        <w:t>∗∗∗</w:t>
        <w:tab/>
      </w:r>
      <w:r>
        <w:rPr>
          <w:color w:val="231F20"/>
          <w:sz w:val="15"/>
          <w:vertAlign w:val="baseline"/>
        </w:rPr>
        <w:t>7.54</w:t>
        <w:tab/>
        <w:t>0.634</w:t>
      </w:r>
      <w:r>
        <w:rPr>
          <w:rFonts w:ascii="Lucida Sans Unicode" w:hAnsi="Lucida Sans Unicode"/>
          <w:color w:val="231F20"/>
          <w:position w:val="6"/>
          <w:sz w:val="11"/>
          <w:vertAlign w:val="baseline"/>
        </w:rPr>
        <w:t>∗∗</w:t>
        <w:tab/>
      </w:r>
      <w:r>
        <w:rPr>
          <w:color w:val="231F20"/>
          <w:sz w:val="15"/>
          <w:vertAlign w:val="baseline"/>
        </w:rPr>
        <w:t>2.42</w:t>
        <w:tab/>
        <w:t>0.810</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9.77</w:t>
      </w:r>
    </w:p>
    <w:p>
      <w:pPr>
        <w:tabs>
          <w:tab w:pos="2606" w:val="left" w:leader="none"/>
          <w:tab w:pos="4134" w:val="left" w:leader="none"/>
          <w:tab w:pos="5663" w:val="left" w:leader="none"/>
        </w:tabs>
        <w:spacing w:line="252" w:lineRule="auto" w:before="9"/>
        <w:ind w:left="162" w:right="861" w:firstLine="0"/>
        <w:jc w:val="left"/>
        <w:rPr>
          <w:sz w:val="15"/>
        </w:rPr>
      </w:pPr>
      <w:r>
        <w:rPr>
          <w:color w:val="231F20"/>
          <w:sz w:val="15"/>
        </w:rPr>
        <w:t>Industries</w:t>
      </w:r>
      <w:r>
        <w:rPr>
          <w:color w:val="231F20"/>
          <w:spacing w:val="1"/>
          <w:sz w:val="15"/>
        </w:rPr>
        <w:t> </w:t>
      </w:r>
      <w:r>
        <w:rPr>
          <w:color w:val="231F20"/>
          <w:sz w:val="15"/>
        </w:rPr>
        <w:t>dummies</w:t>
        <w:tab/>
        <w:t>Included</w:t>
        <w:tab/>
        <w:t>Included</w:t>
        <w:tab/>
        <w:t>Included </w:t>
      </w:r>
      <w:r>
        <w:rPr>
          <w:color w:val="231F20"/>
          <w:spacing w:val="-3"/>
          <w:sz w:val="15"/>
        </w:rPr>
        <w:t>Year</w:t>
      </w:r>
      <w:r>
        <w:rPr>
          <w:color w:val="231F20"/>
          <w:spacing w:val="-2"/>
          <w:sz w:val="15"/>
        </w:rPr>
        <w:t> </w:t>
      </w:r>
      <w:r>
        <w:rPr>
          <w:color w:val="231F20"/>
          <w:sz w:val="15"/>
        </w:rPr>
        <w:t>dummies</w:t>
        <w:tab/>
        <w:t>Included</w:t>
        <w:tab/>
        <w:t>Included</w:t>
        <w:tab/>
        <w:t>Included</w:t>
      </w:r>
    </w:p>
    <w:p>
      <w:pPr>
        <w:tabs>
          <w:tab w:pos="2730" w:val="left" w:leader="none"/>
          <w:tab w:pos="4258" w:val="left" w:leader="none"/>
          <w:tab w:pos="5747" w:val="left" w:leader="none"/>
        </w:tabs>
        <w:spacing w:line="179" w:lineRule="exact" w:before="0"/>
        <w:ind w:left="162" w:right="0" w:firstLine="0"/>
        <w:jc w:val="left"/>
        <w:rPr>
          <w:sz w:val="15"/>
        </w:rPr>
      </w:pPr>
      <w:r>
        <w:rPr>
          <w:color w:val="231F20"/>
          <w:w w:val="105"/>
          <w:sz w:val="15"/>
        </w:rPr>
        <w:t>No.</w:t>
      </w:r>
      <w:r>
        <w:rPr>
          <w:color w:val="231F20"/>
          <w:spacing w:val="-17"/>
          <w:w w:val="105"/>
          <w:sz w:val="15"/>
        </w:rPr>
        <w:t> </w:t>
      </w:r>
      <w:r>
        <w:rPr>
          <w:color w:val="231F20"/>
          <w:w w:val="105"/>
          <w:sz w:val="15"/>
        </w:rPr>
        <w:t>observations</w:t>
        <w:tab/>
        <w:t>9,543</w:t>
        <w:tab/>
        <w:t>3,506</w:t>
        <w:tab/>
        <w:t>18,827</w:t>
      </w:r>
    </w:p>
    <w:p>
      <w:pPr>
        <w:tabs>
          <w:tab w:pos="2701" w:val="left" w:leader="none"/>
          <w:tab w:pos="4229" w:val="left" w:leader="none"/>
          <w:tab w:pos="5758" w:val="left" w:leader="none"/>
        </w:tabs>
        <w:spacing w:line="202" w:lineRule="exact" w:before="0"/>
        <w:ind w:left="162" w:right="0" w:firstLine="0"/>
        <w:jc w:val="left"/>
        <w:rPr>
          <w:sz w:val="15"/>
        </w:rPr>
      </w:pPr>
      <w:r>
        <w:rPr/>
        <w:pict>
          <v:group style="position:absolute;margin-left:72.125999pt;margin-top:12.11424pt;width:322.8pt;height:2.1pt;mso-position-horizontal-relative:page;mso-position-vertical-relative:paragraph;z-index:3376;mso-wrap-distance-left:0;mso-wrap-distance-right:0" coordorigin="1443,242" coordsize="6456,42">
            <v:line style="position:absolute" from="1443,247" to="7898,247" stroked="true" strokeweight=".504pt" strokecolor="#000000">
              <v:stroke dashstyle="solid"/>
            </v:line>
            <v:line style="position:absolute" from="1443,279" to="7898,279" stroked="true" strokeweight=".504pt" strokecolor="#000000">
              <v:stroke dashstyle="solid"/>
            </v:line>
            <w10:wrap type="topAndBottom"/>
          </v:group>
        </w:pict>
      </w:r>
      <w:r>
        <w:rPr>
          <w:color w:val="231F20"/>
          <w:w w:val="105"/>
          <w:sz w:val="15"/>
        </w:rPr>
        <w:t>Adj.</w:t>
      </w:r>
      <w:r>
        <w:rPr>
          <w:color w:val="231F20"/>
          <w:spacing w:val="-9"/>
          <w:w w:val="105"/>
          <w:sz w:val="15"/>
        </w:rPr>
        <w:t> </w:t>
      </w:r>
      <w:r>
        <w:rPr>
          <w:i/>
          <w:color w:val="231F20"/>
          <w:w w:val="105"/>
          <w:sz w:val="15"/>
        </w:rPr>
        <w:t>R</w:t>
      </w:r>
      <w:r>
        <w:rPr>
          <w:color w:val="231F20"/>
          <w:w w:val="105"/>
          <w:position w:val="6"/>
          <w:sz w:val="11"/>
        </w:rPr>
        <w:t>2</w:t>
        <w:tab/>
      </w:r>
      <w:r>
        <w:rPr>
          <w:color w:val="231F20"/>
          <w:w w:val="105"/>
          <w:sz w:val="15"/>
        </w:rPr>
        <w:t>15.4%</w:t>
        <w:tab/>
        <w:t>12.1%</w:t>
        <w:tab/>
        <w:t>17.2%</w:t>
      </w:r>
    </w:p>
    <w:p>
      <w:pPr>
        <w:spacing w:before="103"/>
        <w:ind w:left="162" w:right="0" w:firstLine="0"/>
        <w:jc w:val="left"/>
        <w:rPr>
          <w:rFonts w:ascii="Times New Roman"/>
          <w:b/>
          <w:sz w:val="15"/>
        </w:rPr>
      </w:pPr>
      <w:r>
        <w:rPr>
          <w:rFonts w:ascii="Times New Roman"/>
          <w:b/>
          <w:color w:val="231F20"/>
          <w:w w:val="105"/>
          <w:sz w:val="15"/>
        </w:rPr>
        <w:t>Panel B: Court ruling and dimensional conservatism rank</w:t>
      </w:r>
    </w:p>
    <w:p>
      <w:pPr>
        <w:tabs>
          <w:tab w:pos="4277" w:val="left" w:leader="none"/>
          <w:tab w:pos="5801" w:val="left" w:leader="none"/>
        </w:tabs>
        <w:spacing w:before="19" w:after="11"/>
        <w:ind w:left="2793" w:right="0" w:firstLine="0"/>
        <w:jc w:val="left"/>
        <w:rPr>
          <w:sz w:val="15"/>
        </w:rPr>
      </w:pPr>
      <w:r>
        <w:rPr>
          <w:color w:val="231F20"/>
          <w:w w:val="120"/>
          <w:sz w:val="15"/>
        </w:rPr>
        <w:t>(i)</w:t>
        <w:tab/>
        <w:t>(ii)</w:t>
        <w:tab/>
        <w:t>(iii)</w:t>
      </w:r>
    </w:p>
    <w:p>
      <w:pPr>
        <w:pStyle w:val="BodyText"/>
        <w:spacing w:line="20" w:lineRule="exact"/>
        <w:ind w:left="2235"/>
        <w:rPr>
          <w:sz w:val="2"/>
        </w:rPr>
      </w:pPr>
      <w:r>
        <w:rPr>
          <w:sz w:val="2"/>
        </w:rPr>
        <w:pict>
          <v:group style="width:64.3pt;height:.550pt;mso-position-horizontal-relative:char;mso-position-vertical-relative:line" coordorigin="0,0" coordsize="1286,11">
            <v:line style="position:absolute" from="0,5" to="1285,5" stroked="true" strokeweight=".504pt" strokecolor="#000000">
              <v:stroke dashstyle="solid"/>
            </v:line>
          </v:group>
        </w:pict>
      </w:r>
      <w:r>
        <w:rPr>
          <w:sz w:val="2"/>
        </w:rPr>
      </w:r>
      <w:r>
        <w:rPr>
          <w:rFonts w:ascii="Times New Roman"/>
          <w:spacing w:val="187"/>
          <w:sz w:val="2"/>
        </w:rPr>
        <w:t> </w:t>
      </w:r>
      <w:r>
        <w:rPr>
          <w:spacing w:val="187"/>
          <w:sz w:val="2"/>
        </w:rPr>
        <w:pict>
          <v:group style="width:64.3pt;height:.550pt;mso-position-horizontal-relative:char;mso-position-vertical-relative:line" coordorigin="0,0" coordsize="1286,11">
            <v:line style="position:absolute" from="0,5" to="1285,5" stroked="true" strokeweight=".504pt" strokecolor="#000000">
              <v:stroke dashstyle="solid"/>
            </v:line>
          </v:group>
        </w:pict>
      </w:r>
      <w:r>
        <w:rPr>
          <w:spacing w:val="187"/>
          <w:sz w:val="2"/>
        </w:rPr>
      </w:r>
      <w:r>
        <w:rPr>
          <w:rFonts w:ascii="Times New Roman"/>
          <w:spacing w:val="187"/>
          <w:sz w:val="2"/>
        </w:rPr>
        <w:t> </w:t>
      </w:r>
      <w:r>
        <w:rPr>
          <w:spacing w:val="187"/>
          <w:sz w:val="2"/>
        </w:rPr>
        <w:pict>
          <v:group style="width:68.350pt;height:.550pt;mso-position-horizontal-relative:char;mso-position-vertical-relative:line" coordorigin="0,0" coordsize="1367,11">
            <v:line style="position:absolute" from="0,5" to="1366,5" stroked="true" strokeweight=".504pt" strokecolor="#000000">
              <v:stroke dashstyle="solid"/>
            </v:line>
          </v:group>
        </w:pict>
      </w:r>
      <w:r>
        <w:rPr>
          <w:spacing w:val="187"/>
          <w:sz w:val="2"/>
        </w:rPr>
      </w:r>
    </w:p>
    <w:p>
      <w:pPr>
        <w:tabs>
          <w:tab w:pos="3184" w:val="left" w:leader="none"/>
          <w:tab w:pos="4730" w:val="left" w:leader="none"/>
        </w:tabs>
        <w:spacing w:line="181" w:lineRule="exact" w:before="39"/>
        <w:ind w:left="1679" w:right="0" w:firstLine="0"/>
        <w:jc w:val="center"/>
        <w:rPr>
          <w:sz w:val="15"/>
        </w:rPr>
      </w:pPr>
      <w:r>
        <w:rPr>
          <w:color w:val="231F20"/>
          <w:sz w:val="15"/>
        </w:rPr>
        <w:t>Dep.</w:t>
      </w:r>
      <w:r>
        <w:rPr>
          <w:color w:val="231F20"/>
          <w:spacing w:val="2"/>
          <w:sz w:val="15"/>
        </w:rPr>
        <w:t> </w:t>
      </w:r>
      <w:r>
        <w:rPr>
          <w:color w:val="231F20"/>
          <w:spacing w:val="-6"/>
          <w:sz w:val="15"/>
        </w:rPr>
        <w:t>Var.</w:t>
        <w:tab/>
      </w:r>
      <w:r>
        <w:rPr>
          <w:color w:val="231F20"/>
          <w:sz w:val="15"/>
        </w:rPr>
        <w:t>Dep.</w:t>
      </w:r>
      <w:r>
        <w:rPr>
          <w:color w:val="231F20"/>
          <w:spacing w:val="2"/>
          <w:sz w:val="15"/>
        </w:rPr>
        <w:t> </w:t>
      </w:r>
      <w:r>
        <w:rPr>
          <w:color w:val="231F20"/>
          <w:spacing w:val="-6"/>
          <w:sz w:val="15"/>
        </w:rPr>
        <w:t>Var.</w:t>
        <w:tab/>
      </w:r>
      <w:r>
        <w:rPr>
          <w:color w:val="231F20"/>
          <w:sz w:val="15"/>
        </w:rPr>
        <w:t>Dep.</w:t>
      </w:r>
      <w:r>
        <w:rPr>
          <w:color w:val="231F20"/>
          <w:spacing w:val="1"/>
          <w:sz w:val="15"/>
        </w:rPr>
        <w:t> </w:t>
      </w:r>
      <w:r>
        <w:rPr>
          <w:color w:val="231F20"/>
          <w:spacing w:val="-6"/>
          <w:sz w:val="15"/>
        </w:rPr>
        <w:t>Var.</w:t>
      </w:r>
    </w:p>
    <w:p>
      <w:pPr>
        <w:tabs>
          <w:tab w:pos="3224" w:val="left" w:leader="none"/>
          <w:tab w:pos="4730" w:val="left" w:leader="none"/>
          <w:tab w:pos="6096" w:val="left" w:leader="none"/>
        </w:tabs>
        <w:spacing w:line="225" w:lineRule="exact" w:before="0"/>
        <w:ind w:left="1719" w:right="0" w:firstLine="0"/>
        <w:jc w:val="center"/>
        <w:rPr>
          <w:i/>
          <w:sz w:val="15"/>
        </w:rPr>
      </w:pPr>
      <w:r>
        <w:rPr/>
        <w:pict>
          <v:line style="position:absolute;mso-position-horizontal-relative:page;mso-position-vertical-relative:paragraph;z-index:-68248" from="214.173004pt,7.729025pt" to="216.513004pt,7.729025pt" stroked="true" strokeweight=".405pt" strokecolor="#000000">
            <v:stroke dashstyle="solid"/>
            <w10:wrap type="none"/>
          </v:line>
        </w:pict>
      </w:r>
      <w:r>
        <w:rPr/>
        <w:pict>
          <v:line style="position:absolute;mso-position-horizontal-relative:page;mso-position-vertical-relative:paragraph;z-index:-68224" from="289.368011pt,7.729025pt" to="291.708011pt,7.729025pt" stroked="true" strokeweight=".405pt" strokecolor="#000000">
            <v:stroke dashstyle="solid"/>
            <w10:wrap type="none"/>
          </v:line>
        </w:pict>
      </w:r>
      <w:r>
        <w:rPr/>
        <w:pict>
          <v:line style="position:absolute;mso-position-horizontal-relative:page;mso-position-vertical-relative:paragraph;z-index:-68200" from="372.186005pt,7.729025pt" to="374.526005pt,7.729025pt" stroked="true" strokeweight=".405pt" strokecolor="#000000">
            <v:stroke dashstyle="solid"/>
            <w10:wrap type="none"/>
          </v:line>
        </w:pict>
      </w:r>
      <w:r>
        <w:rPr>
          <w:rFonts w:ascii="Times New Roman"/>
          <w:color w:val="231F20"/>
          <w:w w:val="103"/>
          <w:sz w:val="15"/>
          <w:u w:val="single" w:color="000000"/>
        </w:rPr>
        <w:t> </w:t>
      </w:r>
      <w:r>
        <w:rPr>
          <w:rFonts w:ascii="Times New Roman"/>
          <w:color w:val="231F20"/>
          <w:spacing w:val="7"/>
          <w:sz w:val="15"/>
          <w:u w:val="single" w:color="000000"/>
        </w:rPr>
        <w:t> </w:t>
      </w:r>
      <w:r>
        <w:rPr>
          <w:rFonts w:ascii="Lucida Sans Unicode"/>
          <w:color w:val="231F20"/>
          <w:sz w:val="15"/>
          <w:u w:val="single" w:color="000000"/>
        </w:rPr>
        <w:t>=</w:t>
      </w:r>
      <w:r>
        <w:rPr>
          <w:rFonts w:ascii="Lucida Sans Unicode"/>
          <w:color w:val="231F20"/>
          <w:spacing w:val="-12"/>
          <w:sz w:val="15"/>
          <w:u w:val="single" w:color="000000"/>
        </w:rPr>
        <w:t> </w:t>
      </w:r>
      <w:r>
        <w:rPr>
          <w:i/>
          <w:color w:val="231F20"/>
          <w:sz w:val="15"/>
          <w:u w:val="single" w:color="000000"/>
        </w:rPr>
        <w:t>CRANK</w:t>
      </w:r>
      <w:r>
        <w:rPr>
          <w:i/>
          <w:color w:val="231F20"/>
          <w:spacing w:val="12"/>
          <w:sz w:val="15"/>
          <w:u w:val="single" w:color="000000"/>
        </w:rPr>
        <w:t> </w:t>
      </w:r>
      <w:r>
        <w:rPr>
          <w:i/>
          <w:color w:val="231F20"/>
          <w:sz w:val="15"/>
          <w:u w:val="single" w:color="000000"/>
        </w:rPr>
        <w:t>ACCR</w:t>
      </w:r>
      <w:r>
        <w:rPr>
          <w:i/>
          <w:color w:val="231F20"/>
          <w:sz w:val="15"/>
        </w:rPr>
        <w:tab/>
      </w:r>
      <w:r>
        <w:rPr>
          <w:rFonts w:ascii="Lucida Sans Unicode"/>
          <w:color w:val="231F20"/>
          <w:sz w:val="15"/>
          <w:u w:val="single" w:color="000000"/>
        </w:rPr>
        <w:t>=</w:t>
      </w:r>
      <w:r>
        <w:rPr>
          <w:rFonts w:ascii="Lucida Sans Unicode"/>
          <w:color w:val="231F20"/>
          <w:spacing w:val="-12"/>
          <w:sz w:val="15"/>
          <w:u w:val="single" w:color="000000"/>
        </w:rPr>
        <w:t> </w:t>
      </w:r>
      <w:r>
        <w:rPr>
          <w:i/>
          <w:color w:val="231F20"/>
          <w:sz w:val="15"/>
          <w:u w:val="single" w:color="000000"/>
        </w:rPr>
        <w:t>CRANK</w:t>
      </w:r>
      <w:r>
        <w:rPr>
          <w:i/>
          <w:color w:val="231F20"/>
          <w:spacing w:val="12"/>
          <w:sz w:val="15"/>
          <w:u w:val="single" w:color="000000"/>
        </w:rPr>
        <w:t> </w:t>
      </w:r>
      <w:r>
        <w:rPr>
          <w:i/>
          <w:color w:val="231F20"/>
          <w:sz w:val="15"/>
          <w:u w:val="single" w:color="000000"/>
        </w:rPr>
        <w:t>SKEW</w:t>
      </w:r>
      <w:r>
        <w:rPr>
          <w:i/>
          <w:color w:val="231F20"/>
          <w:sz w:val="15"/>
        </w:rPr>
        <w:tab/>
      </w:r>
      <w:r>
        <w:rPr>
          <w:rFonts w:ascii="Lucida Sans Unicode"/>
          <w:color w:val="231F20"/>
          <w:sz w:val="15"/>
          <w:u w:val="single" w:color="000000"/>
        </w:rPr>
        <w:t>= </w:t>
      </w:r>
      <w:r>
        <w:rPr>
          <w:i/>
          <w:color w:val="231F20"/>
          <w:sz w:val="15"/>
          <w:u w:val="single" w:color="000000"/>
        </w:rPr>
        <w:t>CRANK</w:t>
      </w:r>
      <w:r>
        <w:rPr>
          <w:i/>
          <w:color w:val="231F20"/>
          <w:spacing w:val="0"/>
          <w:sz w:val="15"/>
          <w:u w:val="single" w:color="000000"/>
        </w:rPr>
        <w:t> </w:t>
      </w:r>
      <w:r>
        <w:rPr>
          <w:i/>
          <w:color w:val="231F20"/>
          <w:sz w:val="15"/>
          <w:u w:val="single" w:color="000000"/>
        </w:rPr>
        <w:t>PZ</w:t>
        <w:tab/>
      </w:r>
    </w:p>
    <w:p>
      <w:pPr>
        <w:tabs>
          <w:tab w:pos="2392" w:val="left" w:leader="none"/>
          <w:tab w:pos="3169" w:val="left" w:leader="none"/>
          <w:tab w:pos="3897" w:val="left" w:leader="none"/>
          <w:tab w:pos="4675" w:val="left" w:leader="none"/>
          <w:tab w:pos="5403" w:val="left" w:leader="none"/>
          <w:tab w:pos="6221" w:val="left" w:leader="none"/>
        </w:tabs>
        <w:spacing w:before="47"/>
        <w:ind w:left="162" w:right="0" w:firstLine="0"/>
        <w:jc w:val="left"/>
        <w:rPr>
          <w:sz w:val="15"/>
        </w:rPr>
      </w:pPr>
      <w:r>
        <w:rPr/>
        <w:pict>
          <v:shape style="position:absolute;margin-left:72.12429pt;margin-top:13.963383pt;width:325.3pt;height:179.15pt;mso-position-horizontal-relative:page;mso-position-vertical-relative:paragraph;z-index:35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1450"/>
                    <w:gridCol w:w="878"/>
                    <w:gridCol w:w="627"/>
                    <w:gridCol w:w="918"/>
                    <w:gridCol w:w="608"/>
                  </w:tblGrid>
                  <w:tr>
                    <w:trPr>
                      <w:trHeight w:val="321" w:hRule="atLeast"/>
                    </w:trPr>
                    <w:tc>
                      <w:tcPr>
                        <w:tcW w:w="4978" w:type="dxa"/>
                        <w:gridSpan w:val="4"/>
                        <w:tcBorders>
                          <w:top w:val="single" w:sz="6" w:space="0" w:color="000000"/>
                        </w:tcBorders>
                      </w:tcPr>
                      <w:p>
                        <w:pPr>
                          <w:pStyle w:val="TableParagraph"/>
                          <w:tabs>
                            <w:tab w:pos="1663" w:val="left" w:leader="none"/>
                            <w:tab w:pos="2197" w:val="left" w:leader="none"/>
                            <w:tab w:pos="3703" w:val="left" w:leader="none"/>
                            <w:tab w:pos="4869" w:val="right" w:leader="none"/>
                          </w:tabs>
                          <w:spacing w:line="218" w:lineRule="exact"/>
                          <w:rPr>
                            <w:sz w:val="15"/>
                          </w:rPr>
                        </w:pPr>
                        <w:r>
                          <w:rPr>
                            <w:color w:val="231F20"/>
                            <w:sz w:val="15"/>
                          </w:rPr>
                          <w:t>Intercept</w:t>
                          <w:tab/>
                        </w:r>
                        <w:r>
                          <w:rPr>
                            <w:i/>
                            <w:color w:val="231F20"/>
                            <w:sz w:val="15"/>
                          </w:rPr>
                          <w:t>ß</w:t>
                        </w:r>
                        <w:r>
                          <w:rPr>
                            <w:i/>
                            <w:color w:val="231F20"/>
                            <w:sz w:val="15"/>
                            <w:vertAlign w:val="subscript"/>
                          </w:rPr>
                          <w:t>0</w:t>
                        </w:r>
                        <w:r>
                          <w:rPr>
                            <w:i/>
                            <w:color w:val="231F20"/>
                            <w:sz w:val="15"/>
                            <w:vertAlign w:val="baseline"/>
                          </w:rPr>
                          <w:tab/>
                        </w:r>
                        <w:r>
                          <w:rPr>
                            <w:color w:val="231F20"/>
                            <w:sz w:val="15"/>
                            <w:vertAlign w:val="baseline"/>
                          </w:rPr>
                          <w:t>4.764</w:t>
                        </w:r>
                        <w:r>
                          <w:rPr>
                            <w:rFonts w:ascii="Lucida Sans Unicode" w:hAnsi="Lucida Sans Unicode"/>
                            <w:color w:val="231F20"/>
                            <w:position w:val="6"/>
                            <w:sz w:val="11"/>
                            <w:vertAlign w:val="baseline"/>
                          </w:rPr>
                          <w:t>∗∗∗   </w:t>
                        </w:r>
                        <w:r>
                          <w:rPr>
                            <w:rFonts w:ascii="Lucida Sans Unicode" w:hAnsi="Lucida Sans Unicode"/>
                            <w:color w:val="231F20"/>
                            <w:spacing w:val="17"/>
                            <w:position w:val="6"/>
                            <w:sz w:val="11"/>
                            <w:vertAlign w:val="baseline"/>
                          </w:rPr>
                          <w:t> </w:t>
                        </w:r>
                        <w:r>
                          <w:rPr>
                            <w:color w:val="231F20"/>
                            <w:sz w:val="15"/>
                            <w:vertAlign w:val="baseline"/>
                          </w:rPr>
                          <w:t>25.89</w:t>
                          <w:tab/>
                          <w:t>3.596</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19.56</w:t>
                        </w:r>
                      </w:p>
                    </w:tc>
                    <w:tc>
                      <w:tcPr>
                        <w:tcW w:w="918" w:type="dxa"/>
                        <w:tcBorders>
                          <w:top w:val="single" w:sz="6" w:space="0" w:color="000000"/>
                        </w:tcBorders>
                      </w:tcPr>
                      <w:p>
                        <w:pPr>
                          <w:pStyle w:val="TableParagraph"/>
                          <w:spacing w:line="218" w:lineRule="exact"/>
                          <w:ind w:right="151"/>
                          <w:jc w:val="right"/>
                          <w:rPr>
                            <w:rFonts w:ascii="Lucida Sans Unicode" w:hAnsi="Lucida Sans Unicode"/>
                            <w:sz w:val="11"/>
                          </w:rPr>
                        </w:pPr>
                        <w:r>
                          <w:rPr>
                            <w:color w:val="231F20"/>
                            <w:w w:val="90"/>
                            <w:sz w:val="15"/>
                          </w:rPr>
                          <w:t>5.551</w:t>
                        </w:r>
                        <w:r>
                          <w:rPr>
                            <w:rFonts w:ascii="Lucida Sans Unicode" w:hAnsi="Lucida Sans Unicode"/>
                            <w:color w:val="231F20"/>
                            <w:w w:val="90"/>
                            <w:position w:val="6"/>
                            <w:sz w:val="11"/>
                          </w:rPr>
                          <w:t>∗∗∗</w:t>
                        </w:r>
                      </w:p>
                    </w:tc>
                    <w:tc>
                      <w:tcPr>
                        <w:tcW w:w="608" w:type="dxa"/>
                        <w:tcBorders>
                          <w:top w:val="single" w:sz="6" w:space="0" w:color="000000"/>
                        </w:tcBorders>
                      </w:tcPr>
                      <w:p>
                        <w:pPr>
                          <w:pStyle w:val="TableParagraph"/>
                          <w:spacing w:before="31"/>
                          <w:ind w:right="46"/>
                          <w:jc w:val="right"/>
                          <w:rPr>
                            <w:sz w:val="15"/>
                          </w:rPr>
                        </w:pPr>
                        <w:r>
                          <w:rPr>
                            <w:color w:val="231F20"/>
                            <w:w w:val="105"/>
                            <w:sz w:val="15"/>
                          </w:rPr>
                          <w:t>32.00</w:t>
                        </w:r>
                      </w:p>
                    </w:tc>
                  </w:tr>
                  <w:tr>
                    <w:trPr>
                      <w:trHeight w:val="290" w:hRule="atLeast"/>
                    </w:trPr>
                    <w:tc>
                      <w:tcPr>
                        <w:tcW w:w="3473" w:type="dxa"/>
                        <w:gridSpan w:val="2"/>
                      </w:tcPr>
                      <w:p>
                        <w:pPr>
                          <w:pStyle w:val="TableParagraph"/>
                          <w:tabs>
                            <w:tab w:pos="1663" w:val="left" w:leader="none"/>
                            <w:tab w:pos="2959" w:val="left" w:leader="none"/>
                          </w:tabs>
                          <w:spacing w:line="115" w:lineRule="exact"/>
                          <w:ind w:left="-1"/>
                          <w:rPr>
                            <w:sz w:val="15"/>
                          </w:rPr>
                        </w:pPr>
                        <w:r>
                          <w:rPr>
                            <w:i/>
                            <w:color w:val="231F20"/>
                            <w:w w:val="105"/>
                            <w:sz w:val="15"/>
                          </w:rPr>
                          <w:t>DEL</w:t>
                          <w:tab/>
                          <w:t>ß</w:t>
                        </w:r>
                        <w:r>
                          <w:rPr>
                            <w:i/>
                            <w:color w:val="231F20"/>
                            <w:w w:val="105"/>
                            <w:sz w:val="15"/>
                            <w:vertAlign w:val="subscript"/>
                          </w:rPr>
                          <w:t>1</w:t>
                        </w:r>
                        <w:r>
                          <w:rPr>
                            <w:i/>
                            <w:color w:val="231F20"/>
                            <w:w w:val="105"/>
                            <w:sz w:val="15"/>
                            <w:vertAlign w:val="baseline"/>
                          </w:rPr>
                          <w:t>   </w:t>
                        </w:r>
                        <w:r>
                          <w:rPr>
                            <w:i/>
                            <w:color w:val="231F20"/>
                            <w:spacing w:val="30"/>
                            <w:w w:val="105"/>
                            <w:sz w:val="15"/>
                            <w:vertAlign w:val="baseline"/>
                          </w:rPr>
                          <w:t> </w:t>
                        </w:r>
                        <w:r>
                          <w:rPr>
                            <w:rFonts w:ascii="Lucida Sans Unicode" w:hAnsi="Lucida Sans Unicode"/>
                            <w:color w:val="231F20"/>
                            <w:w w:val="105"/>
                            <w:sz w:val="15"/>
                            <w:vertAlign w:val="baseline"/>
                          </w:rPr>
                          <w:t>−</w:t>
                        </w:r>
                        <w:r>
                          <w:rPr>
                            <w:color w:val="231F20"/>
                            <w:w w:val="105"/>
                            <w:sz w:val="15"/>
                            <w:vertAlign w:val="baseline"/>
                          </w:rPr>
                          <w:t>0.068</w:t>
                          <w:tab/>
                        </w:r>
                        <w:r>
                          <w:rPr>
                            <w:rFonts w:ascii="Lucida Sans Unicode" w:hAnsi="Lucida Sans Unicode"/>
                            <w:color w:val="231F20"/>
                            <w:w w:val="105"/>
                            <w:sz w:val="15"/>
                            <w:vertAlign w:val="baseline"/>
                          </w:rPr>
                          <w:t>−</w:t>
                        </w:r>
                        <w:r>
                          <w:rPr>
                            <w:color w:val="231F20"/>
                            <w:w w:val="105"/>
                            <w:sz w:val="15"/>
                            <w:vertAlign w:val="baseline"/>
                          </w:rPr>
                          <w:t>1.07</w:t>
                        </w:r>
                      </w:p>
                    </w:tc>
                    <w:tc>
                      <w:tcPr>
                        <w:tcW w:w="878" w:type="dxa"/>
                      </w:tcPr>
                      <w:p>
                        <w:pPr>
                          <w:pStyle w:val="TableParagraph"/>
                          <w:spacing w:line="115" w:lineRule="exact"/>
                          <w:ind w:left="109"/>
                          <w:rPr>
                            <w:sz w:val="15"/>
                          </w:rPr>
                        </w:pPr>
                        <w:r>
                          <w:rPr>
                            <w:rFonts w:ascii="Lucida Sans Unicode" w:hAnsi="Lucida Sans Unicode"/>
                            <w:color w:val="231F20"/>
                            <w:w w:val="105"/>
                            <w:sz w:val="15"/>
                          </w:rPr>
                          <w:t>−</w:t>
                        </w:r>
                        <w:r>
                          <w:rPr>
                            <w:color w:val="231F20"/>
                            <w:w w:val="105"/>
                            <w:sz w:val="15"/>
                          </w:rPr>
                          <w:t>0.046</w:t>
                        </w:r>
                      </w:p>
                    </w:tc>
                    <w:tc>
                      <w:tcPr>
                        <w:tcW w:w="627" w:type="dxa"/>
                      </w:tcPr>
                      <w:p>
                        <w:pPr>
                          <w:pStyle w:val="TableParagraph"/>
                          <w:spacing w:line="115" w:lineRule="exact"/>
                          <w:ind w:right="106"/>
                          <w:jc w:val="right"/>
                          <w:rPr>
                            <w:sz w:val="15"/>
                          </w:rPr>
                        </w:pPr>
                        <w:r>
                          <w:rPr>
                            <w:rFonts w:ascii="Lucida Sans Unicode" w:hAnsi="Lucida Sans Unicode"/>
                            <w:color w:val="231F20"/>
                            <w:w w:val="105"/>
                            <w:sz w:val="15"/>
                          </w:rPr>
                          <w:t>−</w:t>
                        </w:r>
                        <w:r>
                          <w:rPr>
                            <w:color w:val="231F20"/>
                            <w:w w:val="105"/>
                            <w:sz w:val="15"/>
                          </w:rPr>
                          <w:t>0.70</w:t>
                        </w:r>
                      </w:p>
                    </w:tc>
                    <w:tc>
                      <w:tcPr>
                        <w:tcW w:w="918" w:type="dxa"/>
                      </w:tcPr>
                      <w:p>
                        <w:pPr>
                          <w:pStyle w:val="TableParagraph"/>
                          <w:spacing w:line="91" w:lineRule="exact"/>
                          <w:ind w:left="230"/>
                          <w:rPr>
                            <w:sz w:val="15"/>
                          </w:rPr>
                        </w:pPr>
                        <w:r>
                          <w:rPr>
                            <w:color w:val="231F20"/>
                            <w:w w:val="110"/>
                            <w:sz w:val="15"/>
                          </w:rPr>
                          <w:t>0.051</w:t>
                        </w:r>
                      </w:p>
                      <w:p>
                        <w:pPr>
                          <w:pStyle w:val="TableParagraph"/>
                          <w:spacing w:line="170" w:lineRule="exact" w:before="9"/>
                          <w:ind w:left="230"/>
                          <w:rPr>
                            <w:sz w:val="15"/>
                          </w:rPr>
                        </w:pPr>
                        <w:r>
                          <w:rPr>
                            <w:color w:val="231F20"/>
                            <w:w w:val="110"/>
                            <w:sz w:val="15"/>
                          </w:rPr>
                          <w:t>0.105</w:t>
                        </w:r>
                      </w:p>
                    </w:tc>
                    <w:tc>
                      <w:tcPr>
                        <w:tcW w:w="608" w:type="dxa"/>
                      </w:tcPr>
                      <w:p>
                        <w:pPr>
                          <w:pStyle w:val="TableParagraph"/>
                          <w:spacing w:line="91" w:lineRule="exact"/>
                          <w:ind w:left="277"/>
                          <w:rPr>
                            <w:sz w:val="15"/>
                          </w:rPr>
                        </w:pPr>
                        <w:r>
                          <w:rPr>
                            <w:color w:val="231F20"/>
                            <w:w w:val="110"/>
                            <w:sz w:val="15"/>
                          </w:rPr>
                          <w:t>0.96</w:t>
                        </w:r>
                      </w:p>
                      <w:p>
                        <w:pPr>
                          <w:pStyle w:val="TableParagraph"/>
                          <w:spacing w:line="170" w:lineRule="exact" w:before="9"/>
                          <w:ind w:left="277"/>
                          <w:rPr>
                            <w:sz w:val="15"/>
                          </w:rPr>
                        </w:pPr>
                        <w:r>
                          <w:rPr>
                            <w:color w:val="231F20"/>
                            <w:w w:val="110"/>
                            <w:sz w:val="15"/>
                          </w:rPr>
                          <w:t>1.13</w:t>
                        </w:r>
                      </w:p>
                    </w:tc>
                  </w:tr>
                  <w:tr>
                    <w:trPr>
                      <w:trHeight w:val="297" w:hRule="atLeast"/>
                    </w:trPr>
                    <w:tc>
                      <w:tcPr>
                        <w:tcW w:w="3473" w:type="dxa"/>
                        <w:gridSpan w:val="2"/>
                      </w:tcPr>
                      <w:p>
                        <w:pPr>
                          <w:pStyle w:val="TableParagraph"/>
                          <w:tabs>
                            <w:tab w:pos="1663" w:val="left" w:leader="none"/>
                            <w:tab w:pos="2959" w:val="left" w:leader="none"/>
                          </w:tabs>
                          <w:spacing w:line="215" w:lineRule="exact"/>
                          <w:rPr>
                            <w:sz w:val="15"/>
                          </w:rPr>
                        </w:pP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3</w:t>
                        </w:r>
                        <w:r>
                          <w:rPr>
                            <w:i/>
                            <w:color w:val="231F20"/>
                            <w:sz w:val="15"/>
                            <w:vertAlign w:val="baseline"/>
                          </w:rPr>
                          <w:t>    </w:t>
                        </w:r>
                        <w:r>
                          <w:rPr>
                            <w:i/>
                            <w:color w:val="231F20"/>
                            <w:spacing w:val="18"/>
                            <w:sz w:val="15"/>
                            <w:vertAlign w:val="baseline"/>
                          </w:rPr>
                          <w:t> </w:t>
                        </w:r>
                        <w:r>
                          <w:rPr>
                            <w:rFonts w:ascii="Lucida Sans Unicode" w:hAnsi="Lucida Sans Unicode"/>
                            <w:color w:val="231F20"/>
                            <w:sz w:val="15"/>
                            <w:vertAlign w:val="baseline"/>
                          </w:rPr>
                          <w:t>−</w:t>
                        </w:r>
                        <w:r>
                          <w:rPr>
                            <w:color w:val="231F20"/>
                            <w:sz w:val="15"/>
                            <w:vertAlign w:val="baseline"/>
                          </w:rPr>
                          <w:t>0.125</w:t>
                          <w:tab/>
                        </w:r>
                        <w:r>
                          <w:rPr>
                            <w:rFonts w:ascii="Lucida Sans Unicode" w:hAnsi="Lucida Sans Unicode"/>
                            <w:color w:val="231F20"/>
                            <w:sz w:val="15"/>
                            <w:vertAlign w:val="baseline"/>
                          </w:rPr>
                          <w:t>−</w:t>
                        </w:r>
                        <w:r>
                          <w:rPr>
                            <w:color w:val="231F20"/>
                            <w:sz w:val="15"/>
                            <w:vertAlign w:val="baseline"/>
                          </w:rPr>
                          <w:t>0.77</w:t>
                        </w:r>
                      </w:p>
                    </w:tc>
                    <w:tc>
                      <w:tcPr>
                        <w:tcW w:w="878" w:type="dxa"/>
                      </w:tcPr>
                      <w:p>
                        <w:pPr>
                          <w:pStyle w:val="TableParagraph"/>
                          <w:spacing w:line="215" w:lineRule="exact"/>
                          <w:ind w:left="109"/>
                          <w:rPr>
                            <w:sz w:val="15"/>
                          </w:rPr>
                        </w:pPr>
                        <w:r>
                          <w:rPr>
                            <w:rFonts w:ascii="Lucida Sans Unicode" w:hAnsi="Lucida Sans Unicode"/>
                            <w:color w:val="231F20"/>
                            <w:w w:val="105"/>
                            <w:sz w:val="15"/>
                          </w:rPr>
                          <w:t>−</w:t>
                        </w:r>
                        <w:r>
                          <w:rPr>
                            <w:color w:val="231F20"/>
                            <w:w w:val="105"/>
                            <w:sz w:val="15"/>
                          </w:rPr>
                          <w:t>0.057</w:t>
                        </w:r>
                      </w:p>
                    </w:tc>
                    <w:tc>
                      <w:tcPr>
                        <w:tcW w:w="627" w:type="dxa"/>
                      </w:tcPr>
                      <w:p>
                        <w:pPr>
                          <w:pStyle w:val="TableParagraph"/>
                          <w:spacing w:line="215" w:lineRule="exact"/>
                          <w:ind w:right="106"/>
                          <w:jc w:val="right"/>
                          <w:rPr>
                            <w:sz w:val="15"/>
                          </w:rPr>
                        </w:pPr>
                        <w:r>
                          <w:rPr>
                            <w:rFonts w:ascii="Lucida Sans Unicode" w:hAnsi="Lucida Sans Unicode"/>
                            <w:color w:val="231F20"/>
                            <w:w w:val="105"/>
                            <w:sz w:val="15"/>
                          </w:rPr>
                          <w:t>−</w:t>
                        </w:r>
                        <w:r>
                          <w:rPr>
                            <w:color w:val="231F20"/>
                            <w:w w:val="105"/>
                            <w:sz w:val="15"/>
                          </w:rPr>
                          <w:t>0.36</w:t>
                        </w:r>
                      </w:p>
                    </w:tc>
                    <w:tc>
                      <w:tcPr>
                        <w:tcW w:w="918" w:type="dxa"/>
                      </w:tcPr>
                      <w:p>
                        <w:pPr>
                          <w:pStyle w:val="TableParagraph"/>
                          <w:spacing w:line="215" w:lineRule="exact"/>
                          <w:ind w:right="151"/>
                          <w:jc w:val="right"/>
                          <w:rPr>
                            <w:rFonts w:ascii="Lucida Sans Unicode" w:hAnsi="Lucida Sans Unicode"/>
                            <w:sz w:val="11"/>
                          </w:rPr>
                        </w:pPr>
                        <w:r>
                          <w:rPr>
                            <w:rFonts w:ascii="Lucida Sans Unicode" w:hAnsi="Lucida Sans Unicode"/>
                            <w:color w:val="231F20"/>
                            <w:w w:val="90"/>
                            <w:sz w:val="15"/>
                          </w:rPr>
                          <w:t>−</w:t>
                        </w:r>
                        <w:r>
                          <w:rPr>
                            <w:color w:val="231F20"/>
                            <w:w w:val="90"/>
                            <w:sz w:val="15"/>
                          </w:rPr>
                          <w:t>0.777</w:t>
                        </w:r>
                        <w:r>
                          <w:rPr>
                            <w:rFonts w:ascii="Lucida Sans Unicode" w:hAnsi="Lucida Sans Unicode"/>
                            <w:color w:val="231F20"/>
                            <w:w w:val="90"/>
                            <w:position w:val="6"/>
                            <w:sz w:val="11"/>
                          </w:rPr>
                          <w:t>∗∗∗</w:t>
                        </w:r>
                      </w:p>
                    </w:tc>
                    <w:tc>
                      <w:tcPr>
                        <w:tcW w:w="608" w:type="dxa"/>
                      </w:tcPr>
                      <w:p>
                        <w:pPr>
                          <w:pStyle w:val="TableParagraph"/>
                          <w:spacing w:line="215" w:lineRule="exact"/>
                          <w:ind w:right="46"/>
                          <w:jc w:val="right"/>
                          <w:rPr>
                            <w:sz w:val="15"/>
                          </w:rPr>
                        </w:pPr>
                        <w:r>
                          <w:rPr>
                            <w:rFonts w:ascii="Lucida Sans Unicode" w:hAnsi="Lucida Sans Unicode"/>
                            <w:color w:val="231F20"/>
                            <w:w w:val="105"/>
                            <w:sz w:val="15"/>
                          </w:rPr>
                          <w:t>−</w:t>
                        </w:r>
                        <w:r>
                          <w:rPr>
                            <w:color w:val="231F20"/>
                            <w:w w:val="105"/>
                            <w:sz w:val="15"/>
                          </w:rPr>
                          <w:t>6.10</w:t>
                        </w:r>
                      </w:p>
                    </w:tc>
                  </w:tr>
                  <w:tr>
                    <w:trPr>
                      <w:trHeight w:val="536" w:hRule="atLeast"/>
                    </w:trPr>
                    <w:tc>
                      <w:tcPr>
                        <w:tcW w:w="3473" w:type="dxa"/>
                        <w:gridSpan w:val="2"/>
                      </w:tcPr>
                      <w:p>
                        <w:pPr>
                          <w:pStyle w:val="TableParagraph"/>
                          <w:tabs>
                            <w:tab w:pos="1663" w:val="left" w:leader="none"/>
                            <w:tab w:pos="2959" w:val="left" w:leader="none"/>
                          </w:tabs>
                          <w:spacing w:line="113" w:lineRule="exact"/>
                          <w:ind w:left="-1"/>
                          <w:rPr>
                            <w:sz w:val="15"/>
                          </w:rPr>
                        </w:pPr>
                        <w:r>
                          <w:rPr>
                            <w:i/>
                            <w:color w:val="231F20"/>
                            <w:w w:val="105"/>
                            <w:sz w:val="15"/>
                          </w:rPr>
                          <w:t>POST</w:t>
                          <w:tab/>
                          <w:t>ß</w:t>
                        </w:r>
                        <w:r>
                          <w:rPr>
                            <w:i/>
                            <w:color w:val="231F20"/>
                            <w:w w:val="105"/>
                            <w:sz w:val="15"/>
                            <w:vertAlign w:val="subscript"/>
                          </w:rPr>
                          <w:t>4</w:t>
                        </w:r>
                        <w:r>
                          <w:rPr>
                            <w:i/>
                            <w:color w:val="231F20"/>
                            <w:w w:val="105"/>
                            <w:sz w:val="15"/>
                            <w:vertAlign w:val="baseline"/>
                          </w:rPr>
                          <w:t>   </w:t>
                        </w:r>
                        <w:r>
                          <w:rPr>
                            <w:i/>
                            <w:color w:val="231F20"/>
                            <w:spacing w:val="31"/>
                            <w:w w:val="105"/>
                            <w:sz w:val="15"/>
                            <w:vertAlign w:val="baseline"/>
                          </w:rPr>
                          <w:t> </w:t>
                        </w:r>
                        <w:r>
                          <w:rPr>
                            <w:rFonts w:ascii="Lucida Sans Unicode" w:hAnsi="Lucida Sans Unicode"/>
                            <w:color w:val="231F20"/>
                            <w:w w:val="105"/>
                            <w:sz w:val="15"/>
                            <w:vertAlign w:val="baseline"/>
                          </w:rPr>
                          <w:t>−</w:t>
                        </w:r>
                        <w:r>
                          <w:rPr>
                            <w:color w:val="231F20"/>
                            <w:w w:val="105"/>
                            <w:sz w:val="15"/>
                            <w:vertAlign w:val="baseline"/>
                          </w:rPr>
                          <w:t>0.029</w:t>
                          <w:tab/>
                        </w:r>
                        <w:r>
                          <w:rPr>
                            <w:rFonts w:ascii="Lucida Sans Unicode" w:hAnsi="Lucida Sans Unicode"/>
                            <w:color w:val="231F20"/>
                            <w:w w:val="105"/>
                            <w:sz w:val="15"/>
                            <w:vertAlign w:val="baseline"/>
                          </w:rPr>
                          <w:t>−</w:t>
                        </w:r>
                        <w:r>
                          <w:rPr>
                            <w:color w:val="231F20"/>
                            <w:w w:val="105"/>
                            <w:sz w:val="15"/>
                            <w:vertAlign w:val="baseline"/>
                          </w:rPr>
                          <w:t>0.31</w:t>
                        </w:r>
                      </w:p>
                      <w:p>
                        <w:pPr>
                          <w:pStyle w:val="TableParagraph"/>
                          <w:tabs>
                            <w:tab w:pos="1663" w:val="left" w:leader="none"/>
                            <w:tab w:pos="2959" w:val="left" w:leader="none"/>
                          </w:tabs>
                          <w:spacing w:before="160"/>
                          <w:rPr>
                            <w:sz w:val="15"/>
                          </w:rPr>
                        </w:pPr>
                        <w:r>
                          <w:rPr>
                            <w:i/>
                            <w:color w:val="231F20"/>
                            <w:sz w:val="15"/>
                          </w:rPr>
                          <w:t>POST</w:t>
                        </w:r>
                        <w:r>
                          <w:rPr>
                            <w:rFonts w:ascii="Lucida Sans Unicode" w:hAnsi="Lucida Sans Unicode"/>
                            <w:color w:val="231F20"/>
                            <w:sz w:val="15"/>
                          </w:rPr>
                          <w:t>×</w:t>
                        </w:r>
                        <w:r>
                          <w:rPr>
                            <w:i/>
                            <w:color w:val="231F20"/>
                            <w:sz w:val="15"/>
                          </w:rPr>
                          <w:t>HEDF93</w:t>
                          <w:tab/>
                          <w:t>ß</w:t>
                        </w:r>
                        <w:r>
                          <w:rPr>
                            <w:i/>
                            <w:color w:val="231F20"/>
                            <w:sz w:val="15"/>
                            <w:vertAlign w:val="subscript"/>
                          </w:rPr>
                          <w:t>6</w:t>
                        </w:r>
                        <w:r>
                          <w:rPr>
                            <w:i/>
                            <w:color w:val="231F20"/>
                            <w:sz w:val="15"/>
                            <w:vertAlign w:val="baseline"/>
                          </w:rPr>
                          <w:t>    </w:t>
                        </w:r>
                        <w:r>
                          <w:rPr>
                            <w:i/>
                            <w:color w:val="231F20"/>
                            <w:spacing w:val="18"/>
                            <w:sz w:val="15"/>
                            <w:vertAlign w:val="baseline"/>
                          </w:rPr>
                          <w:t> </w:t>
                        </w:r>
                        <w:r>
                          <w:rPr>
                            <w:rFonts w:ascii="Lucida Sans Unicode" w:hAnsi="Lucida Sans Unicode"/>
                            <w:color w:val="231F20"/>
                            <w:sz w:val="15"/>
                            <w:vertAlign w:val="baseline"/>
                          </w:rPr>
                          <w:t>−</w:t>
                        </w:r>
                        <w:r>
                          <w:rPr>
                            <w:color w:val="231F20"/>
                            <w:sz w:val="15"/>
                            <w:vertAlign w:val="baseline"/>
                          </w:rPr>
                          <w:t>0.260</w:t>
                          <w:tab/>
                        </w:r>
                        <w:r>
                          <w:rPr>
                            <w:rFonts w:ascii="Lucida Sans Unicode" w:hAnsi="Lucida Sans Unicode"/>
                            <w:color w:val="231F20"/>
                            <w:sz w:val="15"/>
                            <w:vertAlign w:val="baseline"/>
                          </w:rPr>
                          <w:t>−</w:t>
                        </w:r>
                        <w:r>
                          <w:rPr>
                            <w:color w:val="231F20"/>
                            <w:sz w:val="15"/>
                            <w:vertAlign w:val="baseline"/>
                          </w:rPr>
                          <w:t>1.56</w:t>
                        </w:r>
                      </w:p>
                    </w:tc>
                    <w:tc>
                      <w:tcPr>
                        <w:tcW w:w="878" w:type="dxa"/>
                      </w:tcPr>
                      <w:p>
                        <w:pPr>
                          <w:pStyle w:val="TableParagraph"/>
                          <w:spacing w:line="95" w:lineRule="exact"/>
                          <w:ind w:left="109"/>
                          <w:rPr>
                            <w:sz w:val="15"/>
                          </w:rPr>
                        </w:pPr>
                        <w:r>
                          <w:rPr>
                            <w:rFonts w:ascii="Lucida Sans Unicode" w:hAnsi="Lucida Sans Unicode"/>
                            <w:color w:val="231F20"/>
                            <w:w w:val="105"/>
                            <w:sz w:val="15"/>
                          </w:rPr>
                          <w:t>−</w:t>
                        </w:r>
                        <w:r>
                          <w:rPr>
                            <w:color w:val="231F20"/>
                            <w:w w:val="105"/>
                            <w:sz w:val="15"/>
                          </w:rPr>
                          <w:t>0.037</w:t>
                        </w:r>
                      </w:p>
                      <w:p>
                        <w:pPr>
                          <w:pStyle w:val="TableParagraph"/>
                          <w:spacing w:line="195" w:lineRule="exact"/>
                          <w:ind w:left="109"/>
                          <w:rPr>
                            <w:sz w:val="15"/>
                          </w:rPr>
                        </w:pPr>
                        <w:r>
                          <w:rPr>
                            <w:rFonts w:ascii="Lucida Sans Unicode" w:hAnsi="Lucida Sans Unicode"/>
                            <w:color w:val="231F20"/>
                            <w:w w:val="105"/>
                            <w:sz w:val="15"/>
                          </w:rPr>
                          <w:t>−</w:t>
                        </w:r>
                        <w:r>
                          <w:rPr>
                            <w:color w:val="231F20"/>
                            <w:w w:val="105"/>
                            <w:sz w:val="15"/>
                          </w:rPr>
                          <w:t>0.094</w:t>
                        </w:r>
                      </w:p>
                      <w:p>
                        <w:pPr>
                          <w:pStyle w:val="TableParagraph"/>
                          <w:spacing w:line="213" w:lineRule="exact"/>
                          <w:ind w:left="109"/>
                          <w:rPr>
                            <w:sz w:val="15"/>
                          </w:rPr>
                        </w:pPr>
                        <w:r>
                          <w:rPr>
                            <w:rFonts w:ascii="Lucida Sans Unicode" w:hAnsi="Lucida Sans Unicode"/>
                            <w:color w:val="231F20"/>
                            <w:w w:val="105"/>
                            <w:sz w:val="15"/>
                          </w:rPr>
                          <w:t>−</w:t>
                        </w:r>
                        <w:r>
                          <w:rPr>
                            <w:color w:val="231F20"/>
                            <w:w w:val="105"/>
                            <w:sz w:val="15"/>
                          </w:rPr>
                          <w:t>0.145</w:t>
                        </w:r>
                      </w:p>
                    </w:tc>
                    <w:tc>
                      <w:tcPr>
                        <w:tcW w:w="627" w:type="dxa"/>
                      </w:tcPr>
                      <w:p>
                        <w:pPr>
                          <w:pStyle w:val="TableParagraph"/>
                          <w:spacing w:line="95" w:lineRule="exact"/>
                          <w:ind w:left="114"/>
                          <w:rPr>
                            <w:sz w:val="15"/>
                          </w:rPr>
                        </w:pPr>
                        <w:r>
                          <w:rPr>
                            <w:rFonts w:ascii="Lucida Sans Unicode" w:hAnsi="Lucida Sans Unicode"/>
                            <w:color w:val="231F20"/>
                            <w:w w:val="105"/>
                            <w:sz w:val="15"/>
                          </w:rPr>
                          <w:t>−</w:t>
                        </w:r>
                        <w:r>
                          <w:rPr>
                            <w:color w:val="231F20"/>
                            <w:w w:val="105"/>
                            <w:sz w:val="15"/>
                          </w:rPr>
                          <w:t>0.38</w:t>
                        </w:r>
                      </w:p>
                      <w:p>
                        <w:pPr>
                          <w:pStyle w:val="TableParagraph"/>
                          <w:spacing w:line="195" w:lineRule="exact"/>
                          <w:ind w:left="114"/>
                          <w:rPr>
                            <w:sz w:val="15"/>
                          </w:rPr>
                        </w:pPr>
                        <w:r>
                          <w:rPr>
                            <w:rFonts w:ascii="Lucida Sans Unicode" w:hAnsi="Lucida Sans Unicode"/>
                            <w:color w:val="231F20"/>
                            <w:w w:val="105"/>
                            <w:sz w:val="15"/>
                          </w:rPr>
                          <w:t>−</w:t>
                        </w:r>
                        <w:r>
                          <w:rPr>
                            <w:color w:val="231F20"/>
                            <w:w w:val="105"/>
                            <w:sz w:val="15"/>
                          </w:rPr>
                          <w:t>1.04</w:t>
                        </w:r>
                      </w:p>
                      <w:p>
                        <w:pPr>
                          <w:pStyle w:val="TableParagraph"/>
                          <w:spacing w:line="213" w:lineRule="exact"/>
                          <w:ind w:left="114"/>
                          <w:rPr>
                            <w:sz w:val="15"/>
                          </w:rPr>
                        </w:pPr>
                        <w:r>
                          <w:rPr>
                            <w:rFonts w:ascii="Lucida Sans Unicode" w:hAnsi="Lucida Sans Unicode"/>
                            <w:color w:val="231F20"/>
                            <w:w w:val="105"/>
                            <w:sz w:val="15"/>
                          </w:rPr>
                          <w:t>−</w:t>
                        </w:r>
                        <w:r>
                          <w:rPr>
                            <w:color w:val="231F20"/>
                            <w:w w:val="105"/>
                            <w:sz w:val="15"/>
                          </w:rPr>
                          <w:t>0.91</w:t>
                        </w:r>
                      </w:p>
                    </w:tc>
                    <w:tc>
                      <w:tcPr>
                        <w:tcW w:w="918" w:type="dxa"/>
                      </w:tcPr>
                      <w:p>
                        <w:pPr>
                          <w:pStyle w:val="TableParagraph"/>
                          <w:spacing w:line="95" w:lineRule="exact"/>
                          <w:ind w:left="109"/>
                          <w:rPr>
                            <w:sz w:val="15"/>
                          </w:rPr>
                        </w:pPr>
                        <w:r>
                          <w:rPr>
                            <w:rFonts w:ascii="Lucida Sans Unicode" w:hAnsi="Lucida Sans Unicode"/>
                            <w:color w:val="231F20"/>
                            <w:w w:val="105"/>
                            <w:sz w:val="15"/>
                          </w:rPr>
                          <w:t>−</w:t>
                        </w:r>
                        <w:r>
                          <w:rPr>
                            <w:color w:val="231F20"/>
                            <w:w w:val="105"/>
                            <w:sz w:val="15"/>
                          </w:rPr>
                          <w:t>0.070</w:t>
                        </w:r>
                      </w:p>
                      <w:p>
                        <w:pPr>
                          <w:pStyle w:val="TableParagraph"/>
                          <w:spacing w:line="213" w:lineRule="exact"/>
                          <w:ind w:left="109"/>
                          <w:rPr>
                            <w:sz w:val="15"/>
                          </w:rPr>
                        </w:pPr>
                        <w:r>
                          <w:rPr>
                            <w:rFonts w:ascii="Lucida Sans Unicode" w:hAnsi="Lucida Sans Unicode"/>
                            <w:color w:val="231F20"/>
                            <w:w w:val="105"/>
                            <w:sz w:val="15"/>
                          </w:rPr>
                          <w:t>−</w:t>
                        </w:r>
                        <w:r>
                          <w:rPr>
                            <w:color w:val="231F20"/>
                            <w:w w:val="105"/>
                            <w:sz w:val="15"/>
                          </w:rPr>
                          <w:t>0.027</w:t>
                        </w:r>
                      </w:p>
                    </w:tc>
                    <w:tc>
                      <w:tcPr>
                        <w:tcW w:w="608" w:type="dxa"/>
                      </w:tcPr>
                      <w:p>
                        <w:pPr>
                          <w:pStyle w:val="TableParagraph"/>
                          <w:spacing w:line="95" w:lineRule="exact"/>
                          <w:ind w:left="155"/>
                          <w:rPr>
                            <w:sz w:val="15"/>
                          </w:rPr>
                        </w:pPr>
                        <w:r>
                          <w:rPr>
                            <w:rFonts w:ascii="Lucida Sans Unicode" w:hAnsi="Lucida Sans Unicode"/>
                            <w:color w:val="231F20"/>
                            <w:w w:val="105"/>
                            <w:sz w:val="15"/>
                          </w:rPr>
                          <w:t>−</w:t>
                        </w:r>
                        <w:r>
                          <w:rPr>
                            <w:color w:val="231F20"/>
                            <w:w w:val="105"/>
                            <w:sz w:val="15"/>
                          </w:rPr>
                          <w:t>0.92</w:t>
                        </w:r>
                      </w:p>
                      <w:p>
                        <w:pPr>
                          <w:pStyle w:val="TableParagraph"/>
                          <w:spacing w:line="213" w:lineRule="exact"/>
                          <w:ind w:left="155"/>
                          <w:rPr>
                            <w:sz w:val="15"/>
                          </w:rPr>
                        </w:pPr>
                        <w:r>
                          <w:rPr>
                            <w:rFonts w:ascii="Lucida Sans Unicode" w:hAnsi="Lucida Sans Unicode"/>
                            <w:color w:val="231F20"/>
                            <w:w w:val="105"/>
                            <w:sz w:val="15"/>
                          </w:rPr>
                          <w:t>−</w:t>
                        </w:r>
                        <w:r>
                          <w:rPr>
                            <w:color w:val="231F20"/>
                            <w:w w:val="105"/>
                            <w:sz w:val="15"/>
                          </w:rPr>
                          <w:t>0.37</w:t>
                        </w:r>
                      </w:p>
                    </w:tc>
                  </w:tr>
                  <w:tr>
                    <w:trPr>
                      <w:trHeight w:val="147" w:hRule="atLeast"/>
                    </w:trPr>
                    <w:tc>
                      <w:tcPr>
                        <w:tcW w:w="2023" w:type="dxa"/>
                      </w:tcPr>
                      <w:p>
                        <w:pPr>
                          <w:pStyle w:val="TableParagraph"/>
                          <w:rPr>
                            <w:rFonts w:ascii="Times New Roman"/>
                            <w:sz w:val="8"/>
                          </w:rPr>
                        </w:pPr>
                      </w:p>
                    </w:tc>
                    <w:tc>
                      <w:tcPr>
                        <w:tcW w:w="1450" w:type="dxa"/>
                      </w:tcPr>
                      <w:p>
                        <w:pPr>
                          <w:pStyle w:val="TableParagraph"/>
                          <w:tabs>
                            <w:tab w:pos="948" w:val="left" w:leader="none"/>
                          </w:tabs>
                          <w:spacing w:line="158" w:lineRule="auto"/>
                          <w:ind w:left="65"/>
                          <w:jc w:val="center"/>
                          <w:rPr>
                            <w:sz w:val="15"/>
                          </w:rPr>
                        </w:pPr>
                        <w:r>
                          <w:rPr>
                            <w:color w:val="231F20"/>
                            <w:sz w:val="15"/>
                          </w:rPr>
                          <w:t>0.587</w:t>
                        </w:r>
                        <w:r>
                          <w:rPr>
                            <w:rFonts w:ascii="Lucida Sans Unicode" w:hAnsi="Lucida Sans Unicode"/>
                            <w:color w:val="231F20"/>
                            <w:position w:val="6"/>
                            <w:sz w:val="11"/>
                          </w:rPr>
                          <w:t>∗∗</w:t>
                          <w:tab/>
                        </w:r>
                        <w:r>
                          <w:rPr>
                            <w:color w:val="231F20"/>
                            <w:sz w:val="15"/>
                          </w:rPr>
                          <w:t>2.54</w:t>
                        </w:r>
                      </w:p>
                    </w:tc>
                    <w:tc>
                      <w:tcPr>
                        <w:tcW w:w="878" w:type="dxa"/>
                      </w:tcPr>
                      <w:p>
                        <w:pPr>
                          <w:pStyle w:val="TableParagraph"/>
                          <w:spacing w:line="158" w:lineRule="auto"/>
                          <w:ind w:left="230"/>
                          <w:rPr>
                            <w:rFonts w:ascii="Lucida Sans Unicode" w:hAnsi="Lucida Sans Unicode"/>
                            <w:sz w:val="11"/>
                          </w:rPr>
                        </w:pPr>
                        <w:r>
                          <w:rPr>
                            <w:color w:val="231F20"/>
                            <w:sz w:val="15"/>
                          </w:rPr>
                          <w:t>0.424</w:t>
                        </w:r>
                        <w:r>
                          <w:rPr>
                            <w:rFonts w:ascii="Lucida Sans Unicode" w:hAnsi="Lucida Sans Unicode"/>
                            <w:color w:val="231F20"/>
                            <w:position w:val="6"/>
                            <w:sz w:val="11"/>
                          </w:rPr>
                          <w:t>∗</w:t>
                        </w:r>
                      </w:p>
                    </w:tc>
                    <w:tc>
                      <w:tcPr>
                        <w:tcW w:w="627" w:type="dxa"/>
                      </w:tcPr>
                      <w:p>
                        <w:pPr>
                          <w:pStyle w:val="TableParagraph"/>
                          <w:spacing w:line="128" w:lineRule="exact"/>
                          <w:ind w:right="106"/>
                          <w:jc w:val="right"/>
                          <w:rPr>
                            <w:sz w:val="15"/>
                          </w:rPr>
                        </w:pPr>
                        <w:r>
                          <w:rPr>
                            <w:color w:val="231F20"/>
                            <w:w w:val="105"/>
                            <w:sz w:val="15"/>
                          </w:rPr>
                          <w:t>1.91</w:t>
                        </w:r>
                      </w:p>
                    </w:tc>
                    <w:tc>
                      <w:tcPr>
                        <w:tcW w:w="918" w:type="dxa"/>
                      </w:tcPr>
                      <w:p>
                        <w:pPr>
                          <w:pStyle w:val="TableParagraph"/>
                          <w:spacing w:line="158" w:lineRule="auto"/>
                          <w:ind w:right="208"/>
                          <w:jc w:val="right"/>
                          <w:rPr>
                            <w:rFonts w:ascii="Lucida Sans Unicode" w:hAnsi="Lucida Sans Unicode"/>
                            <w:sz w:val="11"/>
                          </w:rPr>
                        </w:pPr>
                        <w:r>
                          <w:rPr>
                            <w:color w:val="231F20"/>
                            <w:w w:val="95"/>
                            <w:sz w:val="15"/>
                          </w:rPr>
                          <w:t>0.456</w:t>
                        </w:r>
                        <w:r>
                          <w:rPr>
                            <w:rFonts w:ascii="Lucida Sans Unicode" w:hAnsi="Lucida Sans Unicode"/>
                            <w:color w:val="231F20"/>
                            <w:w w:val="95"/>
                            <w:position w:val="6"/>
                            <w:sz w:val="11"/>
                          </w:rPr>
                          <w:t>∗∗</w:t>
                        </w:r>
                      </w:p>
                    </w:tc>
                    <w:tc>
                      <w:tcPr>
                        <w:tcW w:w="608" w:type="dxa"/>
                      </w:tcPr>
                      <w:p>
                        <w:pPr>
                          <w:pStyle w:val="TableParagraph"/>
                          <w:spacing w:line="128" w:lineRule="exact"/>
                          <w:ind w:right="46"/>
                          <w:jc w:val="right"/>
                          <w:rPr>
                            <w:sz w:val="15"/>
                          </w:rPr>
                        </w:pPr>
                        <w:r>
                          <w:rPr>
                            <w:color w:val="231F20"/>
                            <w:w w:val="105"/>
                            <w:sz w:val="15"/>
                          </w:rPr>
                          <w:t>2.50</w:t>
                        </w:r>
                      </w:p>
                    </w:tc>
                  </w:tr>
                  <w:tr>
                    <w:trPr>
                      <w:trHeight w:val="181" w:hRule="atLeast"/>
                    </w:trPr>
                    <w:tc>
                      <w:tcPr>
                        <w:tcW w:w="2023" w:type="dxa"/>
                      </w:tcPr>
                      <w:p>
                        <w:pPr>
                          <w:pStyle w:val="TableParagraph"/>
                          <w:tabs>
                            <w:tab w:pos="1663" w:val="left" w:leader="none"/>
                          </w:tabs>
                          <w:spacing w:line="161" w:lineRule="exact"/>
                          <w:rPr>
                            <w:i/>
                            <w:sz w:val="15"/>
                          </w:rPr>
                        </w:pPr>
                        <w:r>
                          <w:rPr>
                            <w:i/>
                            <w:color w:val="231F20"/>
                            <w:sz w:val="15"/>
                          </w:rPr>
                          <w:t>LNMVE</w:t>
                          <w:tab/>
                          <w:t>ß</w:t>
                        </w:r>
                        <w:r>
                          <w:rPr>
                            <w:i/>
                            <w:color w:val="231F20"/>
                            <w:sz w:val="15"/>
                            <w:vertAlign w:val="subscript"/>
                          </w:rPr>
                          <w:t>8</w:t>
                        </w:r>
                      </w:p>
                    </w:tc>
                    <w:tc>
                      <w:tcPr>
                        <w:tcW w:w="1450" w:type="dxa"/>
                      </w:tcPr>
                      <w:p>
                        <w:pPr>
                          <w:pStyle w:val="TableParagraph"/>
                          <w:tabs>
                            <w:tab w:pos="948" w:val="left" w:leader="none"/>
                          </w:tabs>
                          <w:spacing w:line="161" w:lineRule="exact"/>
                          <w:ind w:left="65"/>
                          <w:jc w:val="center"/>
                          <w:rPr>
                            <w:sz w:val="15"/>
                          </w:rPr>
                        </w:pPr>
                        <w:r>
                          <w:rPr>
                            <w:color w:val="231F20"/>
                            <w:w w:val="110"/>
                            <w:sz w:val="15"/>
                          </w:rPr>
                          <w:t>0.005</w:t>
                          <w:tab/>
                          <w:t>0.28</w:t>
                        </w:r>
                      </w:p>
                    </w:tc>
                    <w:tc>
                      <w:tcPr>
                        <w:tcW w:w="878" w:type="dxa"/>
                      </w:tcPr>
                      <w:p>
                        <w:pPr>
                          <w:pStyle w:val="TableParagraph"/>
                          <w:spacing w:line="161" w:lineRule="exact"/>
                          <w:ind w:right="111"/>
                          <w:jc w:val="right"/>
                          <w:rPr>
                            <w:rFonts w:ascii="Lucida Sans Unicode" w:hAnsi="Lucida Sans Unicode"/>
                            <w:sz w:val="11"/>
                          </w:rPr>
                        </w:pPr>
                        <w:r>
                          <w:rPr>
                            <w:color w:val="231F20"/>
                            <w:w w:val="90"/>
                            <w:sz w:val="15"/>
                          </w:rPr>
                          <w:t>0.113</w:t>
                        </w:r>
                        <w:r>
                          <w:rPr>
                            <w:rFonts w:ascii="Lucida Sans Unicode" w:hAnsi="Lucida Sans Unicode"/>
                            <w:color w:val="231F20"/>
                            <w:w w:val="90"/>
                            <w:position w:val="6"/>
                            <w:sz w:val="11"/>
                          </w:rPr>
                          <w:t>∗∗∗</w:t>
                        </w:r>
                      </w:p>
                    </w:tc>
                    <w:tc>
                      <w:tcPr>
                        <w:tcW w:w="627" w:type="dxa"/>
                      </w:tcPr>
                      <w:p>
                        <w:pPr>
                          <w:pStyle w:val="TableParagraph"/>
                          <w:spacing w:line="161" w:lineRule="exact"/>
                          <w:ind w:right="106"/>
                          <w:jc w:val="right"/>
                          <w:rPr>
                            <w:sz w:val="15"/>
                          </w:rPr>
                        </w:pPr>
                        <w:r>
                          <w:rPr>
                            <w:color w:val="231F20"/>
                            <w:w w:val="105"/>
                            <w:sz w:val="15"/>
                          </w:rPr>
                          <w:t>6.76</w:t>
                        </w:r>
                      </w:p>
                    </w:tc>
                    <w:tc>
                      <w:tcPr>
                        <w:tcW w:w="918" w:type="dxa"/>
                      </w:tcPr>
                      <w:p>
                        <w:pPr>
                          <w:pStyle w:val="TableParagraph"/>
                          <w:spacing w:line="161" w:lineRule="exact"/>
                          <w:ind w:right="151"/>
                          <w:jc w:val="right"/>
                          <w:rPr>
                            <w:rFonts w:ascii="Lucida Sans Unicode" w:hAnsi="Lucida Sans Unicode"/>
                            <w:sz w:val="11"/>
                          </w:rPr>
                        </w:pPr>
                        <w:r>
                          <w:rPr>
                            <w:rFonts w:ascii="Lucida Sans Unicode" w:hAnsi="Lucida Sans Unicode"/>
                            <w:color w:val="231F20"/>
                            <w:w w:val="90"/>
                            <w:sz w:val="15"/>
                          </w:rPr>
                          <w:t>−</w:t>
                        </w:r>
                        <w:r>
                          <w:rPr>
                            <w:color w:val="231F20"/>
                            <w:w w:val="90"/>
                            <w:sz w:val="15"/>
                          </w:rPr>
                          <w:t>0.208</w:t>
                        </w:r>
                        <w:r>
                          <w:rPr>
                            <w:rFonts w:ascii="Lucida Sans Unicode" w:hAnsi="Lucida Sans Unicode"/>
                            <w:color w:val="231F20"/>
                            <w:w w:val="90"/>
                            <w:position w:val="6"/>
                            <w:sz w:val="11"/>
                          </w:rPr>
                          <w:t>∗∗∗</w:t>
                        </w:r>
                      </w:p>
                    </w:tc>
                    <w:tc>
                      <w:tcPr>
                        <w:tcW w:w="608" w:type="dxa"/>
                      </w:tcPr>
                      <w:p>
                        <w:pPr>
                          <w:pStyle w:val="TableParagraph"/>
                          <w:spacing w:line="161" w:lineRule="exact"/>
                          <w:ind w:right="46"/>
                          <w:jc w:val="right"/>
                          <w:rPr>
                            <w:sz w:val="15"/>
                          </w:rPr>
                        </w:pPr>
                        <w:r>
                          <w:rPr>
                            <w:rFonts w:ascii="Lucida Sans Unicode" w:hAnsi="Lucida Sans Unicode"/>
                            <w:color w:val="231F20"/>
                            <w:w w:val="105"/>
                            <w:sz w:val="15"/>
                          </w:rPr>
                          <w:t>−</w:t>
                        </w:r>
                        <w:r>
                          <w:rPr>
                            <w:color w:val="231F20"/>
                            <w:w w:val="105"/>
                            <w:sz w:val="15"/>
                          </w:rPr>
                          <w:t>15.71</w:t>
                        </w:r>
                      </w:p>
                    </w:tc>
                  </w:tr>
                  <w:tr>
                    <w:trPr>
                      <w:trHeight w:val="633" w:hRule="atLeast"/>
                    </w:trPr>
                    <w:tc>
                      <w:tcPr>
                        <w:tcW w:w="2023" w:type="dxa"/>
                      </w:tcPr>
                      <w:p>
                        <w:pPr>
                          <w:pStyle w:val="TableParagraph"/>
                          <w:tabs>
                            <w:tab w:pos="1663" w:val="left" w:leader="none"/>
                          </w:tabs>
                          <w:spacing w:before="5"/>
                          <w:ind w:left="-1"/>
                          <w:rPr>
                            <w:i/>
                            <w:sz w:val="15"/>
                          </w:rPr>
                        </w:pPr>
                        <w:r>
                          <w:rPr>
                            <w:i/>
                            <w:color w:val="231F20"/>
                            <w:sz w:val="15"/>
                          </w:rPr>
                          <w:t>LEV</w:t>
                          <w:tab/>
                          <w:t>ß</w:t>
                        </w:r>
                        <w:r>
                          <w:rPr>
                            <w:i/>
                            <w:color w:val="231F20"/>
                            <w:sz w:val="15"/>
                            <w:vertAlign w:val="subscript"/>
                          </w:rPr>
                          <w:t>9</w:t>
                        </w:r>
                      </w:p>
                      <w:p>
                        <w:pPr>
                          <w:pStyle w:val="TableParagraph"/>
                          <w:tabs>
                            <w:tab w:pos="1663" w:val="left" w:leader="none"/>
                          </w:tabs>
                          <w:spacing w:before="14"/>
                          <w:ind w:left="-1"/>
                          <w:rPr>
                            <w:i/>
                            <w:sz w:val="15"/>
                          </w:rPr>
                        </w:pPr>
                        <w:r>
                          <w:rPr>
                            <w:i/>
                            <w:color w:val="231F20"/>
                            <w:sz w:val="15"/>
                          </w:rPr>
                          <w:t>BTM</w:t>
                          <w:tab/>
                          <w:t>ß</w:t>
                        </w:r>
                        <w:r>
                          <w:rPr>
                            <w:i/>
                            <w:color w:val="231F20"/>
                            <w:sz w:val="15"/>
                            <w:vertAlign w:val="subscript"/>
                          </w:rPr>
                          <w:t>10</w:t>
                        </w:r>
                      </w:p>
                      <w:p>
                        <w:pPr>
                          <w:pStyle w:val="TableParagraph"/>
                          <w:tabs>
                            <w:tab w:pos="1663" w:val="left" w:leader="none"/>
                          </w:tabs>
                          <w:spacing w:before="14"/>
                          <w:ind w:left="-1"/>
                          <w:rPr>
                            <w:i/>
                            <w:sz w:val="15"/>
                          </w:rPr>
                        </w:pPr>
                        <w:r>
                          <w:rPr>
                            <w:i/>
                            <w:color w:val="231F20"/>
                            <w:sz w:val="15"/>
                          </w:rPr>
                          <w:t>GROWTH</w:t>
                          <w:tab/>
                          <w:t>ß</w:t>
                        </w:r>
                        <w:r>
                          <w:rPr>
                            <w:i/>
                            <w:color w:val="231F20"/>
                            <w:sz w:val="15"/>
                            <w:vertAlign w:val="subscript"/>
                          </w:rPr>
                          <w:t>11</w:t>
                        </w:r>
                      </w:p>
                    </w:tc>
                    <w:tc>
                      <w:tcPr>
                        <w:tcW w:w="1450" w:type="dxa"/>
                      </w:tcPr>
                      <w:p>
                        <w:pPr>
                          <w:pStyle w:val="TableParagraph"/>
                          <w:tabs>
                            <w:tab w:pos="948" w:val="left" w:leader="none"/>
                          </w:tabs>
                          <w:spacing w:line="172" w:lineRule="exact"/>
                          <w:ind w:left="65"/>
                          <w:jc w:val="center"/>
                          <w:rPr>
                            <w:sz w:val="15"/>
                          </w:rPr>
                        </w:pPr>
                        <w:r>
                          <w:rPr>
                            <w:color w:val="231F20"/>
                            <w:sz w:val="15"/>
                          </w:rPr>
                          <w:t>0.404</w:t>
                        </w:r>
                        <w:r>
                          <w:rPr>
                            <w:rFonts w:ascii="Lucida Sans Unicode" w:hAnsi="Lucida Sans Unicode"/>
                            <w:color w:val="231F20"/>
                            <w:position w:val="6"/>
                            <w:sz w:val="11"/>
                          </w:rPr>
                          <w:t>∗∗∗</w:t>
                          <w:tab/>
                        </w:r>
                        <w:r>
                          <w:rPr>
                            <w:color w:val="231F20"/>
                            <w:sz w:val="15"/>
                          </w:rPr>
                          <w:t>3.29</w:t>
                        </w:r>
                      </w:p>
                      <w:p>
                        <w:pPr>
                          <w:pStyle w:val="TableParagraph"/>
                          <w:tabs>
                            <w:tab w:pos="882" w:val="left" w:leader="none"/>
                          </w:tabs>
                          <w:spacing w:line="215" w:lineRule="exact"/>
                          <w:ind w:right="53"/>
                          <w:jc w:val="center"/>
                          <w:rPr>
                            <w:sz w:val="15"/>
                          </w:rPr>
                        </w:pPr>
                        <w:r>
                          <w:rPr>
                            <w:rFonts w:ascii="Lucida Sans Unicode" w:hAnsi="Lucida Sans Unicode"/>
                            <w:color w:val="231F20"/>
                            <w:w w:val="105"/>
                            <w:sz w:val="15"/>
                          </w:rPr>
                          <w:t>−</w:t>
                        </w:r>
                        <w:r>
                          <w:rPr>
                            <w:color w:val="231F20"/>
                            <w:w w:val="105"/>
                            <w:sz w:val="15"/>
                          </w:rPr>
                          <w:t>0.093</w:t>
                        </w:r>
                        <w:r>
                          <w:rPr>
                            <w:rFonts w:ascii="Lucida Sans Unicode" w:hAnsi="Lucida Sans Unicode"/>
                            <w:color w:val="231F20"/>
                            <w:w w:val="105"/>
                            <w:position w:val="6"/>
                            <w:sz w:val="11"/>
                          </w:rPr>
                          <w:t>∗</w:t>
                          <w:tab/>
                        </w:r>
                        <w:r>
                          <w:rPr>
                            <w:rFonts w:ascii="Lucida Sans Unicode" w:hAnsi="Lucida Sans Unicode"/>
                            <w:color w:val="231F20"/>
                            <w:w w:val="105"/>
                            <w:sz w:val="15"/>
                          </w:rPr>
                          <w:t>−</w:t>
                        </w:r>
                        <w:r>
                          <w:rPr>
                            <w:color w:val="231F20"/>
                            <w:w w:val="105"/>
                            <w:sz w:val="15"/>
                          </w:rPr>
                          <w:t>1.85</w:t>
                        </w:r>
                      </w:p>
                      <w:p>
                        <w:pPr>
                          <w:pStyle w:val="TableParagraph"/>
                          <w:tabs>
                            <w:tab w:pos="883" w:val="left" w:leader="none"/>
                          </w:tabs>
                          <w:spacing w:line="213" w:lineRule="exact"/>
                          <w:ind w:right="53"/>
                          <w:jc w:val="center"/>
                          <w:rPr>
                            <w:sz w:val="15"/>
                          </w:rPr>
                        </w:pPr>
                        <w:r>
                          <w:rPr>
                            <w:rFonts w:ascii="Lucida Sans Unicode" w:hAnsi="Lucida Sans Unicode"/>
                            <w:color w:val="231F20"/>
                            <w:w w:val="105"/>
                            <w:sz w:val="15"/>
                          </w:rPr>
                          <w:t>−</w:t>
                        </w:r>
                        <w:r>
                          <w:rPr>
                            <w:color w:val="231F20"/>
                            <w:w w:val="105"/>
                            <w:sz w:val="15"/>
                          </w:rPr>
                          <w:t>0.055</w:t>
                          <w:tab/>
                        </w:r>
                        <w:r>
                          <w:rPr>
                            <w:rFonts w:ascii="Lucida Sans Unicode" w:hAnsi="Lucida Sans Unicode"/>
                            <w:color w:val="231F20"/>
                            <w:w w:val="105"/>
                            <w:sz w:val="15"/>
                          </w:rPr>
                          <w:t>−</w:t>
                        </w:r>
                        <w:r>
                          <w:rPr>
                            <w:color w:val="231F20"/>
                            <w:w w:val="105"/>
                            <w:sz w:val="15"/>
                          </w:rPr>
                          <w:t>0.99</w:t>
                        </w:r>
                      </w:p>
                    </w:tc>
                    <w:tc>
                      <w:tcPr>
                        <w:tcW w:w="878" w:type="dxa"/>
                      </w:tcPr>
                      <w:p>
                        <w:pPr>
                          <w:pStyle w:val="TableParagraph"/>
                          <w:spacing w:line="172" w:lineRule="exact"/>
                          <w:ind w:left="176" w:right="60"/>
                          <w:jc w:val="center"/>
                          <w:rPr>
                            <w:rFonts w:ascii="Lucida Sans Unicode" w:hAnsi="Lucida Sans Unicode"/>
                            <w:sz w:val="11"/>
                          </w:rPr>
                        </w:pPr>
                        <w:r>
                          <w:rPr>
                            <w:color w:val="231F20"/>
                            <w:sz w:val="15"/>
                          </w:rPr>
                          <w:t>0.590</w:t>
                        </w:r>
                        <w:r>
                          <w:rPr>
                            <w:rFonts w:ascii="Lucida Sans Unicode" w:hAnsi="Lucida Sans Unicode"/>
                            <w:color w:val="231F20"/>
                            <w:position w:val="6"/>
                            <w:sz w:val="11"/>
                          </w:rPr>
                          <w:t>∗∗∗</w:t>
                        </w:r>
                      </w:p>
                      <w:p>
                        <w:pPr>
                          <w:pStyle w:val="TableParagraph"/>
                          <w:spacing w:line="195" w:lineRule="exact"/>
                          <w:ind w:left="176" w:right="60"/>
                          <w:jc w:val="center"/>
                          <w:rPr>
                            <w:rFonts w:ascii="Lucida Sans Unicode" w:hAnsi="Lucida Sans Unicode"/>
                            <w:sz w:val="11"/>
                          </w:rPr>
                        </w:pPr>
                        <w:r>
                          <w:rPr>
                            <w:color w:val="231F20"/>
                            <w:sz w:val="15"/>
                          </w:rPr>
                          <w:t>0.334</w:t>
                        </w:r>
                        <w:r>
                          <w:rPr>
                            <w:rFonts w:ascii="Lucida Sans Unicode" w:hAnsi="Lucida Sans Unicode"/>
                            <w:color w:val="231F20"/>
                            <w:position w:val="6"/>
                            <w:sz w:val="11"/>
                          </w:rPr>
                          <w:t>∗∗∗</w:t>
                        </w:r>
                      </w:p>
                      <w:p>
                        <w:pPr>
                          <w:pStyle w:val="TableParagraph"/>
                          <w:spacing w:line="233" w:lineRule="exact"/>
                          <w:ind w:left="58" w:right="60"/>
                          <w:jc w:val="center"/>
                          <w:rPr>
                            <w:rFonts w:ascii="Lucida Sans Unicode" w:hAnsi="Lucida Sans Unicode"/>
                            <w:sz w:val="11"/>
                          </w:rPr>
                        </w:pPr>
                        <w:r>
                          <w:rPr>
                            <w:rFonts w:ascii="Lucida Sans Unicode" w:hAnsi="Lucida Sans Unicode"/>
                            <w:color w:val="231F20"/>
                            <w:sz w:val="15"/>
                          </w:rPr>
                          <w:t>−</w:t>
                        </w:r>
                        <w:r>
                          <w:rPr>
                            <w:color w:val="231F20"/>
                            <w:sz w:val="15"/>
                          </w:rPr>
                          <w:t>0.213</w:t>
                        </w:r>
                        <w:r>
                          <w:rPr>
                            <w:rFonts w:ascii="Lucida Sans Unicode" w:hAnsi="Lucida Sans Unicode"/>
                            <w:color w:val="231F20"/>
                            <w:position w:val="6"/>
                            <w:sz w:val="11"/>
                          </w:rPr>
                          <w:t>∗∗∗</w:t>
                        </w:r>
                      </w:p>
                    </w:tc>
                    <w:tc>
                      <w:tcPr>
                        <w:tcW w:w="627" w:type="dxa"/>
                      </w:tcPr>
                      <w:p>
                        <w:pPr>
                          <w:pStyle w:val="TableParagraph"/>
                          <w:spacing w:line="186" w:lineRule="exact"/>
                          <w:ind w:left="212" w:right="86"/>
                          <w:jc w:val="center"/>
                          <w:rPr>
                            <w:sz w:val="15"/>
                          </w:rPr>
                        </w:pPr>
                        <w:r>
                          <w:rPr>
                            <w:color w:val="231F20"/>
                            <w:w w:val="110"/>
                            <w:sz w:val="15"/>
                          </w:rPr>
                          <w:t>4.99</w:t>
                        </w:r>
                      </w:p>
                      <w:p>
                        <w:pPr>
                          <w:pStyle w:val="TableParagraph"/>
                          <w:spacing w:line="181" w:lineRule="exact" w:before="9"/>
                          <w:ind w:left="212" w:right="86"/>
                          <w:jc w:val="center"/>
                          <w:rPr>
                            <w:sz w:val="15"/>
                          </w:rPr>
                        </w:pPr>
                        <w:r>
                          <w:rPr>
                            <w:color w:val="231F20"/>
                            <w:w w:val="110"/>
                            <w:sz w:val="15"/>
                          </w:rPr>
                          <w:t>6.98</w:t>
                        </w:r>
                      </w:p>
                      <w:p>
                        <w:pPr>
                          <w:pStyle w:val="TableParagraph"/>
                          <w:spacing w:line="225" w:lineRule="exact"/>
                          <w:ind w:left="91" w:right="86"/>
                          <w:jc w:val="center"/>
                          <w:rPr>
                            <w:sz w:val="15"/>
                          </w:rPr>
                        </w:pPr>
                        <w:r>
                          <w:rPr>
                            <w:rFonts w:ascii="Lucida Sans Unicode" w:hAnsi="Lucida Sans Unicode"/>
                            <w:color w:val="231F20"/>
                            <w:w w:val="105"/>
                            <w:sz w:val="15"/>
                          </w:rPr>
                          <w:t>−</w:t>
                        </w:r>
                        <w:r>
                          <w:rPr>
                            <w:color w:val="231F20"/>
                            <w:w w:val="105"/>
                            <w:sz w:val="15"/>
                          </w:rPr>
                          <w:t>4.71</w:t>
                        </w:r>
                      </w:p>
                    </w:tc>
                    <w:tc>
                      <w:tcPr>
                        <w:tcW w:w="918" w:type="dxa"/>
                      </w:tcPr>
                      <w:p>
                        <w:pPr>
                          <w:pStyle w:val="TableParagraph"/>
                          <w:spacing w:line="184" w:lineRule="exact"/>
                          <w:ind w:left="109"/>
                          <w:rPr>
                            <w:rFonts w:ascii="Lucida Sans Unicode" w:hAnsi="Lucida Sans Unicode"/>
                            <w:sz w:val="11"/>
                          </w:rPr>
                        </w:pPr>
                        <w:r>
                          <w:rPr>
                            <w:rFonts w:ascii="Lucida Sans Unicode" w:hAnsi="Lucida Sans Unicode"/>
                            <w:color w:val="231F20"/>
                            <w:sz w:val="15"/>
                          </w:rPr>
                          <w:t>−</w:t>
                        </w:r>
                        <w:r>
                          <w:rPr>
                            <w:color w:val="231F20"/>
                            <w:sz w:val="15"/>
                          </w:rPr>
                          <w:t>0.709</w:t>
                        </w:r>
                        <w:r>
                          <w:rPr>
                            <w:rFonts w:ascii="Lucida Sans Unicode" w:hAnsi="Lucida Sans Unicode"/>
                            <w:color w:val="231F20"/>
                            <w:position w:val="6"/>
                            <w:sz w:val="11"/>
                          </w:rPr>
                          <w:t>∗∗∗</w:t>
                        </w:r>
                      </w:p>
                      <w:p>
                        <w:pPr>
                          <w:pStyle w:val="TableParagraph"/>
                          <w:spacing w:line="195" w:lineRule="exact"/>
                          <w:ind w:left="109"/>
                          <w:rPr>
                            <w:rFonts w:ascii="Lucida Sans Unicode" w:hAnsi="Lucida Sans Unicode"/>
                            <w:sz w:val="11"/>
                          </w:rPr>
                        </w:pPr>
                        <w:r>
                          <w:rPr>
                            <w:rFonts w:ascii="Lucida Sans Unicode" w:hAnsi="Lucida Sans Unicode"/>
                            <w:color w:val="231F20"/>
                            <w:sz w:val="15"/>
                          </w:rPr>
                          <w:t>−</w:t>
                        </w:r>
                        <w:r>
                          <w:rPr>
                            <w:color w:val="231F20"/>
                            <w:sz w:val="15"/>
                          </w:rPr>
                          <w:t>0.515</w:t>
                        </w:r>
                        <w:r>
                          <w:rPr>
                            <w:rFonts w:ascii="Lucida Sans Unicode" w:hAnsi="Lucida Sans Unicode"/>
                            <w:color w:val="231F20"/>
                            <w:position w:val="6"/>
                            <w:sz w:val="11"/>
                          </w:rPr>
                          <w:t>∗∗∗</w:t>
                        </w:r>
                      </w:p>
                      <w:p>
                        <w:pPr>
                          <w:pStyle w:val="TableParagraph"/>
                          <w:spacing w:line="221" w:lineRule="exact"/>
                          <w:ind w:left="109"/>
                          <w:rPr>
                            <w:rFonts w:ascii="Lucida Sans Unicode" w:hAnsi="Lucida Sans Unicode"/>
                            <w:sz w:val="11"/>
                          </w:rPr>
                        </w:pPr>
                        <w:r>
                          <w:rPr>
                            <w:rFonts w:ascii="Lucida Sans Unicode" w:hAnsi="Lucida Sans Unicode"/>
                            <w:color w:val="231F20"/>
                            <w:sz w:val="15"/>
                          </w:rPr>
                          <w:t>−</w:t>
                        </w:r>
                        <w:r>
                          <w:rPr>
                            <w:color w:val="231F20"/>
                            <w:sz w:val="15"/>
                          </w:rPr>
                          <w:t>0.340</w:t>
                        </w:r>
                        <w:r>
                          <w:rPr>
                            <w:rFonts w:ascii="Lucida Sans Unicode" w:hAnsi="Lucida Sans Unicode"/>
                            <w:color w:val="231F20"/>
                            <w:position w:val="6"/>
                            <w:sz w:val="11"/>
                          </w:rPr>
                          <w:t>∗∗∗</w:t>
                        </w:r>
                      </w:p>
                    </w:tc>
                    <w:tc>
                      <w:tcPr>
                        <w:tcW w:w="608" w:type="dxa"/>
                      </w:tcPr>
                      <w:p>
                        <w:pPr>
                          <w:pStyle w:val="TableParagraph"/>
                          <w:spacing w:line="210" w:lineRule="exact"/>
                          <w:ind w:left="155"/>
                          <w:rPr>
                            <w:sz w:val="15"/>
                          </w:rPr>
                        </w:pPr>
                        <w:r>
                          <w:rPr>
                            <w:rFonts w:ascii="Lucida Sans Unicode" w:hAnsi="Lucida Sans Unicode"/>
                            <w:color w:val="231F20"/>
                            <w:w w:val="105"/>
                            <w:sz w:val="15"/>
                          </w:rPr>
                          <w:t>−</w:t>
                        </w:r>
                        <w:r>
                          <w:rPr>
                            <w:color w:val="231F20"/>
                            <w:w w:val="105"/>
                            <w:sz w:val="15"/>
                          </w:rPr>
                          <w:t>6.81</w:t>
                        </w:r>
                      </w:p>
                      <w:p>
                        <w:pPr>
                          <w:pStyle w:val="TableParagraph"/>
                          <w:spacing w:before="160"/>
                          <w:ind w:left="155"/>
                          <w:rPr>
                            <w:sz w:val="15"/>
                          </w:rPr>
                        </w:pPr>
                        <w:r>
                          <w:rPr>
                            <w:rFonts w:ascii="Lucida Sans Unicode" w:hAnsi="Lucida Sans Unicode"/>
                            <w:color w:val="231F20"/>
                            <w:w w:val="105"/>
                            <w:sz w:val="15"/>
                          </w:rPr>
                          <w:t>−</w:t>
                        </w:r>
                        <w:r>
                          <w:rPr>
                            <w:color w:val="231F20"/>
                            <w:w w:val="105"/>
                            <w:sz w:val="15"/>
                          </w:rPr>
                          <w:t>6.04</w:t>
                        </w:r>
                      </w:p>
                    </w:tc>
                  </w:tr>
                  <w:tr>
                    <w:trPr>
                      <w:trHeight w:val="147" w:hRule="atLeast"/>
                    </w:trPr>
                    <w:tc>
                      <w:tcPr>
                        <w:tcW w:w="2023" w:type="dxa"/>
                      </w:tcPr>
                      <w:p>
                        <w:pPr>
                          <w:pStyle w:val="TableParagraph"/>
                          <w:tabs>
                            <w:tab w:pos="1663" w:val="left" w:leader="none"/>
                          </w:tabs>
                          <w:spacing w:line="128" w:lineRule="exact"/>
                          <w:ind w:left="-1"/>
                          <w:rPr>
                            <w:i/>
                            <w:sz w:val="15"/>
                          </w:rPr>
                        </w:pPr>
                        <w:r>
                          <w:rPr>
                            <w:i/>
                            <w:color w:val="231F20"/>
                            <w:sz w:val="15"/>
                          </w:rPr>
                          <w:t>LITIG</w:t>
                          <w:tab/>
                          <w:t>ß</w:t>
                        </w:r>
                        <w:r>
                          <w:rPr>
                            <w:i/>
                            <w:color w:val="231F20"/>
                            <w:sz w:val="15"/>
                            <w:vertAlign w:val="subscript"/>
                          </w:rPr>
                          <w:t>12</w:t>
                        </w:r>
                      </w:p>
                    </w:tc>
                    <w:tc>
                      <w:tcPr>
                        <w:tcW w:w="1450" w:type="dxa"/>
                      </w:tcPr>
                      <w:p>
                        <w:pPr>
                          <w:pStyle w:val="TableParagraph"/>
                          <w:spacing w:line="158" w:lineRule="auto"/>
                          <w:ind w:left="65"/>
                          <w:jc w:val="center"/>
                          <w:rPr>
                            <w:sz w:val="15"/>
                          </w:rPr>
                        </w:pPr>
                        <w:r>
                          <w:rPr>
                            <w:color w:val="231F20"/>
                            <w:sz w:val="15"/>
                          </w:rPr>
                          <w:t>1.224</w:t>
                        </w:r>
                        <w:r>
                          <w:rPr>
                            <w:rFonts w:ascii="Lucida Sans Unicode" w:hAnsi="Lucida Sans Unicode"/>
                            <w:color w:val="231F20"/>
                            <w:position w:val="6"/>
                            <w:sz w:val="11"/>
                          </w:rPr>
                          <w:t>∗∗∗ </w:t>
                        </w:r>
                        <w:r>
                          <w:rPr>
                            <w:color w:val="231F20"/>
                            <w:sz w:val="15"/>
                          </w:rPr>
                          <w:t>12.16</w:t>
                        </w:r>
                      </w:p>
                    </w:tc>
                    <w:tc>
                      <w:tcPr>
                        <w:tcW w:w="878" w:type="dxa"/>
                      </w:tcPr>
                      <w:p>
                        <w:pPr>
                          <w:pStyle w:val="TableParagraph"/>
                          <w:spacing w:line="128" w:lineRule="exact"/>
                          <w:ind w:left="230"/>
                          <w:rPr>
                            <w:sz w:val="15"/>
                          </w:rPr>
                        </w:pPr>
                        <w:r>
                          <w:rPr>
                            <w:color w:val="231F20"/>
                            <w:w w:val="110"/>
                            <w:sz w:val="15"/>
                          </w:rPr>
                          <w:t>0.153</w:t>
                        </w:r>
                      </w:p>
                    </w:tc>
                    <w:tc>
                      <w:tcPr>
                        <w:tcW w:w="1545" w:type="dxa"/>
                        <w:gridSpan w:val="2"/>
                      </w:tcPr>
                      <w:p>
                        <w:pPr>
                          <w:pStyle w:val="TableParagraph"/>
                          <w:tabs>
                            <w:tab w:pos="857" w:val="left" w:leader="none"/>
                          </w:tabs>
                          <w:spacing w:line="158" w:lineRule="auto"/>
                          <w:ind w:left="235"/>
                          <w:rPr>
                            <w:rFonts w:ascii="Lucida Sans Unicode" w:hAnsi="Lucida Sans Unicode"/>
                            <w:sz w:val="11"/>
                          </w:rPr>
                        </w:pPr>
                        <w:r>
                          <w:rPr>
                            <w:color w:val="231F20"/>
                            <w:sz w:val="15"/>
                          </w:rPr>
                          <w:t>1.58</w:t>
                          <w:tab/>
                          <w:t>0.681</w:t>
                        </w:r>
                        <w:r>
                          <w:rPr>
                            <w:rFonts w:ascii="Lucida Sans Unicode" w:hAnsi="Lucida Sans Unicode"/>
                            <w:color w:val="231F20"/>
                            <w:position w:val="6"/>
                            <w:sz w:val="11"/>
                          </w:rPr>
                          <w:t>∗∗∗</w:t>
                        </w:r>
                      </w:p>
                    </w:tc>
                    <w:tc>
                      <w:tcPr>
                        <w:tcW w:w="608" w:type="dxa"/>
                      </w:tcPr>
                      <w:p>
                        <w:pPr>
                          <w:pStyle w:val="TableParagraph"/>
                          <w:spacing w:line="128" w:lineRule="exact"/>
                          <w:ind w:right="46"/>
                          <w:jc w:val="right"/>
                          <w:rPr>
                            <w:sz w:val="15"/>
                          </w:rPr>
                        </w:pPr>
                        <w:r>
                          <w:rPr>
                            <w:color w:val="231F20"/>
                            <w:w w:val="105"/>
                            <w:sz w:val="15"/>
                          </w:rPr>
                          <w:t>8.35</w:t>
                        </w:r>
                      </w:p>
                    </w:tc>
                  </w:tr>
                  <w:tr>
                    <w:trPr>
                      <w:trHeight w:val="182" w:hRule="atLeast"/>
                    </w:trPr>
                    <w:tc>
                      <w:tcPr>
                        <w:tcW w:w="2023" w:type="dxa"/>
                      </w:tcPr>
                      <w:p>
                        <w:pPr>
                          <w:pStyle w:val="TableParagraph"/>
                          <w:tabs>
                            <w:tab w:pos="1663" w:val="left" w:leader="none"/>
                          </w:tabs>
                          <w:spacing w:line="163" w:lineRule="exact"/>
                          <w:rPr>
                            <w:i/>
                            <w:sz w:val="15"/>
                          </w:rPr>
                        </w:pPr>
                        <w:r>
                          <w:rPr>
                            <w:i/>
                            <w:color w:val="231F20"/>
                            <w:sz w:val="15"/>
                          </w:rPr>
                          <w:t>INSTOWN</w:t>
                          <w:tab/>
                          <w:t>ß</w:t>
                        </w:r>
                        <w:r>
                          <w:rPr>
                            <w:i/>
                            <w:color w:val="231F20"/>
                            <w:sz w:val="15"/>
                            <w:vertAlign w:val="subscript"/>
                          </w:rPr>
                          <w:t>13</w:t>
                        </w:r>
                      </w:p>
                    </w:tc>
                    <w:tc>
                      <w:tcPr>
                        <w:tcW w:w="1450" w:type="dxa"/>
                      </w:tcPr>
                      <w:p>
                        <w:pPr>
                          <w:pStyle w:val="TableParagraph"/>
                          <w:tabs>
                            <w:tab w:pos="948" w:val="left" w:leader="none"/>
                          </w:tabs>
                          <w:spacing w:line="163" w:lineRule="exact"/>
                          <w:ind w:left="65"/>
                          <w:jc w:val="center"/>
                          <w:rPr>
                            <w:sz w:val="15"/>
                          </w:rPr>
                        </w:pPr>
                        <w:r>
                          <w:rPr>
                            <w:color w:val="231F20"/>
                            <w:sz w:val="15"/>
                          </w:rPr>
                          <w:t>0.553</w:t>
                        </w:r>
                        <w:r>
                          <w:rPr>
                            <w:rFonts w:ascii="Lucida Sans Unicode" w:hAnsi="Lucida Sans Unicode"/>
                            <w:color w:val="231F20"/>
                            <w:position w:val="6"/>
                            <w:sz w:val="11"/>
                          </w:rPr>
                          <w:t>∗∗∗</w:t>
                          <w:tab/>
                        </w:r>
                        <w:r>
                          <w:rPr>
                            <w:color w:val="231F20"/>
                            <w:sz w:val="15"/>
                          </w:rPr>
                          <w:t>3.94</w:t>
                        </w:r>
                      </w:p>
                    </w:tc>
                    <w:tc>
                      <w:tcPr>
                        <w:tcW w:w="878" w:type="dxa"/>
                      </w:tcPr>
                      <w:p>
                        <w:pPr>
                          <w:pStyle w:val="TableParagraph"/>
                          <w:spacing w:line="163" w:lineRule="exact"/>
                          <w:ind w:right="111"/>
                          <w:jc w:val="right"/>
                          <w:rPr>
                            <w:rFonts w:ascii="Lucida Sans Unicode" w:hAnsi="Lucida Sans Unicode"/>
                            <w:sz w:val="11"/>
                          </w:rPr>
                        </w:pPr>
                        <w:r>
                          <w:rPr>
                            <w:color w:val="231F20"/>
                            <w:w w:val="90"/>
                            <w:sz w:val="15"/>
                          </w:rPr>
                          <w:t>0.888</w:t>
                        </w:r>
                        <w:r>
                          <w:rPr>
                            <w:rFonts w:ascii="Lucida Sans Unicode" w:hAnsi="Lucida Sans Unicode"/>
                            <w:color w:val="231F20"/>
                            <w:w w:val="90"/>
                            <w:position w:val="6"/>
                            <w:sz w:val="11"/>
                          </w:rPr>
                          <w:t>∗∗∗</w:t>
                        </w:r>
                      </w:p>
                    </w:tc>
                    <w:tc>
                      <w:tcPr>
                        <w:tcW w:w="1545" w:type="dxa"/>
                        <w:gridSpan w:val="2"/>
                      </w:tcPr>
                      <w:p>
                        <w:pPr>
                          <w:pStyle w:val="TableParagraph"/>
                          <w:tabs>
                            <w:tab w:pos="857" w:val="left" w:leader="none"/>
                          </w:tabs>
                          <w:spacing w:line="163" w:lineRule="exact"/>
                          <w:ind w:left="235"/>
                          <w:rPr>
                            <w:rFonts w:ascii="Lucida Sans Unicode" w:hAnsi="Lucida Sans Unicode"/>
                            <w:sz w:val="11"/>
                          </w:rPr>
                        </w:pPr>
                        <w:r>
                          <w:rPr>
                            <w:color w:val="231F20"/>
                            <w:sz w:val="15"/>
                          </w:rPr>
                          <w:t>6.12</w:t>
                          <w:tab/>
                          <w:t>0.990</w:t>
                        </w:r>
                        <w:r>
                          <w:rPr>
                            <w:rFonts w:ascii="Lucida Sans Unicode" w:hAnsi="Lucida Sans Unicode"/>
                            <w:color w:val="231F20"/>
                            <w:position w:val="6"/>
                            <w:sz w:val="11"/>
                          </w:rPr>
                          <w:t>∗∗∗</w:t>
                        </w:r>
                      </w:p>
                    </w:tc>
                    <w:tc>
                      <w:tcPr>
                        <w:tcW w:w="608" w:type="dxa"/>
                      </w:tcPr>
                      <w:p>
                        <w:pPr>
                          <w:pStyle w:val="TableParagraph"/>
                          <w:spacing w:line="163" w:lineRule="exact"/>
                          <w:ind w:right="46"/>
                          <w:jc w:val="right"/>
                          <w:rPr>
                            <w:sz w:val="15"/>
                          </w:rPr>
                        </w:pPr>
                        <w:r>
                          <w:rPr>
                            <w:color w:val="231F20"/>
                            <w:w w:val="105"/>
                            <w:sz w:val="15"/>
                          </w:rPr>
                          <w:t>8.38</w:t>
                        </w:r>
                      </w:p>
                    </w:tc>
                  </w:tr>
                  <w:tr>
                    <w:trPr>
                      <w:trHeight w:val="188" w:hRule="atLeast"/>
                    </w:trPr>
                    <w:tc>
                      <w:tcPr>
                        <w:tcW w:w="2023" w:type="dxa"/>
                      </w:tcPr>
                      <w:p>
                        <w:pPr>
                          <w:pStyle w:val="TableParagraph"/>
                          <w:spacing w:line="170" w:lineRule="exact" w:before="1"/>
                          <w:rPr>
                            <w:sz w:val="15"/>
                          </w:rPr>
                        </w:pPr>
                        <w:r>
                          <w:rPr>
                            <w:color w:val="231F20"/>
                            <w:sz w:val="15"/>
                          </w:rPr>
                          <w:t>Industries dummies</w:t>
                        </w:r>
                      </w:p>
                    </w:tc>
                    <w:tc>
                      <w:tcPr>
                        <w:tcW w:w="1450" w:type="dxa"/>
                      </w:tcPr>
                      <w:p>
                        <w:pPr>
                          <w:pStyle w:val="TableParagraph"/>
                          <w:spacing w:line="170" w:lineRule="exact" w:before="1"/>
                          <w:ind w:left="2" w:right="53"/>
                          <w:jc w:val="center"/>
                          <w:rPr>
                            <w:sz w:val="15"/>
                          </w:rPr>
                        </w:pPr>
                        <w:r>
                          <w:rPr>
                            <w:color w:val="231F20"/>
                            <w:w w:val="105"/>
                            <w:sz w:val="15"/>
                          </w:rPr>
                          <w:t>Included</w:t>
                        </w:r>
                      </w:p>
                    </w:tc>
                    <w:tc>
                      <w:tcPr>
                        <w:tcW w:w="1505" w:type="dxa"/>
                        <w:gridSpan w:val="2"/>
                      </w:tcPr>
                      <w:p>
                        <w:pPr>
                          <w:pStyle w:val="TableParagraph"/>
                          <w:spacing w:line="170" w:lineRule="exact" w:before="1"/>
                          <w:ind w:left="447"/>
                          <w:rPr>
                            <w:sz w:val="15"/>
                          </w:rPr>
                        </w:pPr>
                        <w:r>
                          <w:rPr>
                            <w:color w:val="231F20"/>
                            <w:w w:val="105"/>
                            <w:sz w:val="15"/>
                          </w:rPr>
                          <w:t>Included</w:t>
                        </w:r>
                      </w:p>
                    </w:tc>
                    <w:tc>
                      <w:tcPr>
                        <w:tcW w:w="1526" w:type="dxa"/>
                        <w:gridSpan w:val="2"/>
                      </w:tcPr>
                      <w:p>
                        <w:pPr>
                          <w:pStyle w:val="TableParagraph"/>
                          <w:spacing w:line="170" w:lineRule="exact" w:before="1"/>
                          <w:ind w:left="488"/>
                          <w:rPr>
                            <w:sz w:val="15"/>
                          </w:rPr>
                        </w:pPr>
                        <w:r>
                          <w:rPr>
                            <w:color w:val="231F20"/>
                            <w:w w:val="105"/>
                            <w:sz w:val="15"/>
                          </w:rPr>
                          <w:t>Included</w:t>
                        </w:r>
                      </w:p>
                    </w:tc>
                  </w:tr>
                  <w:tr>
                    <w:trPr>
                      <w:trHeight w:val="195" w:hRule="atLeast"/>
                    </w:trPr>
                    <w:tc>
                      <w:tcPr>
                        <w:tcW w:w="2023" w:type="dxa"/>
                      </w:tcPr>
                      <w:p>
                        <w:pPr>
                          <w:pStyle w:val="TableParagraph"/>
                          <w:spacing w:line="170" w:lineRule="exact" w:before="5"/>
                          <w:rPr>
                            <w:sz w:val="15"/>
                          </w:rPr>
                        </w:pPr>
                        <w:r>
                          <w:rPr>
                            <w:color w:val="231F20"/>
                            <w:sz w:val="15"/>
                          </w:rPr>
                          <w:t>Year dummies</w:t>
                        </w:r>
                      </w:p>
                    </w:tc>
                    <w:tc>
                      <w:tcPr>
                        <w:tcW w:w="1450" w:type="dxa"/>
                      </w:tcPr>
                      <w:p>
                        <w:pPr>
                          <w:pStyle w:val="TableParagraph"/>
                          <w:spacing w:line="170" w:lineRule="exact" w:before="5"/>
                          <w:ind w:left="2" w:right="53"/>
                          <w:jc w:val="center"/>
                          <w:rPr>
                            <w:sz w:val="15"/>
                          </w:rPr>
                        </w:pPr>
                        <w:r>
                          <w:rPr>
                            <w:color w:val="231F20"/>
                            <w:w w:val="105"/>
                            <w:sz w:val="15"/>
                          </w:rPr>
                          <w:t>Included</w:t>
                        </w:r>
                      </w:p>
                    </w:tc>
                    <w:tc>
                      <w:tcPr>
                        <w:tcW w:w="1505" w:type="dxa"/>
                        <w:gridSpan w:val="2"/>
                      </w:tcPr>
                      <w:p>
                        <w:pPr>
                          <w:pStyle w:val="TableParagraph"/>
                          <w:spacing w:line="170" w:lineRule="exact" w:before="5"/>
                          <w:ind w:left="447"/>
                          <w:rPr>
                            <w:sz w:val="15"/>
                          </w:rPr>
                        </w:pPr>
                        <w:r>
                          <w:rPr>
                            <w:color w:val="231F20"/>
                            <w:w w:val="105"/>
                            <w:sz w:val="15"/>
                          </w:rPr>
                          <w:t>Included</w:t>
                        </w:r>
                      </w:p>
                    </w:tc>
                    <w:tc>
                      <w:tcPr>
                        <w:tcW w:w="1526" w:type="dxa"/>
                        <w:gridSpan w:val="2"/>
                      </w:tcPr>
                      <w:p>
                        <w:pPr>
                          <w:pStyle w:val="TableParagraph"/>
                          <w:spacing w:line="170" w:lineRule="exact" w:before="5"/>
                          <w:ind w:left="488"/>
                          <w:rPr>
                            <w:sz w:val="15"/>
                          </w:rPr>
                        </w:pPr>
                        <w:r>
                          <w:rPr>
                            <w:color w:val="231F20"/>
                            <w:w w:val="105"/>
                            <w:sz w:val="15"/>
                          </w:rPr>
                          <w:t>Included</w:t>
                        </w:r>
                      </w:p>
                    </w:tc>
                  </w:tr>
                  <w:tr>
                    <w:trPr>
                      <w:trHeight w:val="188" w:hRule="atLeast"/>
                    </w:trPr>
                    <w:tc>
                      <w:tcPr>
                        <w:tcW w:w="2023" w:type="dxa"/>
                      </w:tcPr>
                      <w:p>
                        <w:pPr>
                          <w:pStyle w:val="TableParagraph"/>
                          <w:spacing w:line="164" w:lineRule="exact" w:before="5"/>
                          <w:rPr>
                            <w:sz w:val="15"/>
                          </w:rPr>
                        </w:pPr>
                        <w:r>
                          <w:rPr>
                            <w:color w:val="231F20"/>
                            <w:sz w:val="15"/>
                          </w:rPr>
                          <w:t>No. observations</w:t>
                        </w:r>
                      </w:p>
                    </w:tc>
                    <w:tc>
                      <w:tcPr>
                        <w:tcW w:w="1450" w:type="dxa"/>
                      </w:tcPr>
                      <w:p>
                        <w:pPr>
                          <w:pStyle w:val="TableParagraph"/>
                          <w:spacing w:line="164" w:lineRule="exact" w:before="5"/>
                          <w:ind w:left="1" w:right="53"/>
                          <w:jc w:val="center"/>
                          <w:rPr>
                            <w:sz w:val="15"/>
                          </w:rPr>
                        </w:pPr>
                        <w:r>
                          <w:rPr>
                            <w:color w:val="231F20"/>
                            <w:w w:val="110"/>
                            <w:sz w:val="15"/>
                          </w:rPr>
                          <w:t>18,827</w:t>
                        </w:r>
                      </w:p>
                    </w:tc>
                    <w:tc>
                      <w:tcPr>
                        <w:tcW w:w="1505" w:type="dxa"/>
                        <w:gridSpan w:val="2"/>
                      </w:tcPr>
                      <w:p>
                        <w:pPr>
                          <w:pStyle w:val="TableParagraph"/>
                          <w:spacing w:line="164" w:lineRule="exact" w:before="5"/>
                          <w:ind w:left="506" w:right="505"/>
                          <w:jc w:val="center"/>
                          <w:rPr>
                            <w:sz w:val="15"/>
                          </w:rPr>
                        </w:pPr>
                        <w:r>
                          <w:rPr>
                            <w:color w:val="231F20"/>
                            <w:w w:val="110"/>
                            <w:sz w:val="15"/>
                          </w:rPr>
                          <w:t>18,827</w:t>
                        </w:r>
                      </w:p>
                    </w:tc>
                    <w:tc>
                      <w:tcPr>
                        <w:tcW w:w="1526" w:type="dxa"/>
                        <w:gridSpan w:val="2"/>
                      </w:tcPr>
                      <w:p>
                        <w:pPr>
                          <w:pStyle w:val="TableParagraph"/>
                          <w:spacing w:line="164" w:lineRule="exact" w:before="5"/>
                          <w:ind w:left="547" w:right="484"/>
                          <w:jc w:val="center"/>
                          <w:rPr>
                            <w:sz w:val="15"/>
                          </w:rPr>
                        </w:pPr>
                        <w:r>
                          <w:rPr>
                            <w:color w:val="231F20"/>
                            <w:w w:val="110"/>
                            <w:sz w:val="15"/>
                          </w:rPr>
                          <w:t>18,827</w:t>
                        </w:r>
                      </w:p>
                    </w:tc>
                  </w:tr>
                  <w:tr>
                    <w:trPr>
                      <w:trHeight w:val="218" w:hRule="atLeast"/>
                    </w:trPr>
                    <w:tc>
                      <w:tcPr>
                        <w:tcW w:w="2023" w:type="dxa"/>
                        <w:tcBorders>
                          <w:bottom w:val="single" w:sz="6" w:space="0" w:color="000000"/>
                        </w:tcBorders>
                      </w:tcPr>
                      <w:p>
                        <w:pPr>
                          <w:pStyle w:val="TableParagraph"/>
                          <w:spacing w:line="198" w:lineRule="exact"/>
                          <w:rPr>
                            <w:sz w:val="11"/>
                          </w:rPr>
                        </w:pPr>
                        <w:r>
                          <w:rPr>
                            <w:color w:val="231F20"/>
                            <w:sz w:val="15"/>
                          </w:rPr>
                          <w:t>Adj. </w:t>
                        </w:r>
                        <w:r>
                          <w:rPr>
                            <w:i/>
                            <w:color w:val="231F20"/>
                            <w:sz w:val="15"/>
                          </w:rPr>
                          <w:t>R</w:t>
                        </w:r>
                        <w:r>
                          <w:rPr>
                            <w:color w:val="231F20"/>
                            <w:position w:val="6"/>
                            <w:sz w:val="11"/>
                          </w:rPr>
                          <w:t>2</w:t>
                        </w:r>
                      </w:p>
                    </w:tc>
                    <w:tc>
                      <w:tcPr>
                        <w:tcW w:w="1450" w:type="dxa"/>
                        <w:tcBorders>
                          <w:bottom w:val="single" w:sz="6" w:space="0" w:color="000000"/>
                        </w:tcBorders>
                      </w:tcPr>
                      <w:p>
                        <w:pPr>
                          <w:pStyle w:val="TableParagraph"/>
                          <w:spacing w:before="11"/>
                          <w:ind w:left="2" w:right="53"/>
                          <w:jc w:val="center"/>
                          <w:rPr>
                            <w:sz w:val="15"/>
                          </w:rPr>
                        </w:pPr>
                        <w:r>
                          <w:rPr>
                            <w:color w:val="231F20"/>
                            <w:w w:val="110"/>
                            <w:sz w:val="15"/>
                          </w:rPr>
                          <w:t>5.4%</w:t>
                        </w:r>
                      </w:p>
                    </w:tc>
                    <w:tc>
                      <w:tcPr>
                        <w:tcW w:w="1505" w:type="dxa"/>
                        <w:gridSpan w:val="2"/>
                        <w:tcBorders>
                          <w:bottom w:val="single" w:sz="6" w:space="0" w:color="000000"/>
                        </w:tcBorders>
                      </w:tcPr>
                      <w:p>
                        <w:pPr>
                          <w:pStyle w:val="TableParagraph"/>
                          <w:spacing w:before="11"/>
                          <w:ind w:left="506" w:right="504"/>
                          <w:jc w:val="center"/>
                          <w:rPr>
                            <w:sz w:val="15"/>
                          </w:rPr>
                        </w:pPr>
                        <w:r>
                          <w:rPr>
                            <w:color w:val="231F20"/>
                            <w:w w:val="110"/>
                            <w:sz w:val="15"/>
                          </w:rPr>
                          <w:t>2.6%</w:t>
                        </w:r>
                      </w:p>
                    </w:tc>
                    <w:tc>
                      <w:tcPr>
                        <w:tcW w:w="1526" w:type="dxa"/>
                        <w:gridSpan w:val="2"/>
                        <w:tcBorders>
                          <w:bottom w:val="single" w:sz="6" w:space="0" w:color="000000"/>
                        </w:tcBorders>
                      </w:tcPr>
                      <w:p>
                        <w:pPr>
                          <w:pStyle w:val="TableParagraph"/>
                          <w:spacing w:before="11"/>
                          <w:ind w:left="547" w:right="484"/>
                          <w:jc w:val="center"/>
                          <w:rPr>
                            <w:sz w:val="15"/>
                          </w:rPr>
                        </w:pPr>
                        <w:r>
                          <w:rPr>
                            <w:color w:val="231F20"/>
                            <w:w w:val="110"/>
                            <w:sz w:val="15"/>
                          </w:rPr>
                          <w:t>37.7%</w:t>
                        </w:r>
                      </w:p>
                    </w:tc>
                  </w:tr>
                </w:tbl>
                <w:p>
                  <w:pPr>
                    <w:pStyle w:val="BodyText"/>
                  </w:pPr>
                </w:p>
              </w:txbxContent>
            </v:textbox>
            <w10:wrap type="none"/>
          </v:shape>
        </w:pict>
      </w:r>
      <w:r>
        <w:rPr>
          <w:color w:val="231F20"/>
          <w:sz w:val="15"/>
        </w:rPr>
        <w:t>Independent</w:t>
      </w:r>
      <w:r>
        <w:rPr>
          <w:color w:val="231F20"/>
          <w:spacing w:val="11"/>
          <w:sz w:val="15"/>
        </w:rPr>
        <w:t> </w:t>
      </w:r>
      <w:r>
        <w:rPr>
          <w:color w:val="231F20"/>
          <w:spacing w:val="-6"/>
          <w:sz w:val="15"/>
        </w:rPr>
        <w:t>Var.</w:t>
        <w:tab/>
      </w:r>
      <w:r>
        <w:rPr>
          <w:color w:val="231F20"/>
          <w:sz w:val="15"/>
        </w:rPr>
        <w:t>Coef.</w:t>
        <w:tab/>
      </w:r>
      <w:r>
        <w:rPr>
          <w:i/>
          <w:color w:val="231F20"/>
          <w:sz w:val="15"/>
        </w:rPr>
        <w:t>t</w:t>
      </w:r>
      <w:r>
        <w:rPr>
          <w:color w:val="231F20"/>
          <w:sz w:val="15"/>
        </w:rPr>
        <w:t>-stat</w:t>
        <w:tab/>
        <w:t>Coef.</w:t>
        <w:tab/>
      </w:r>
      <w:r>
        <w:rPr>
          <w:i/>
          <w:color w:val="231F20"/>
          <w:sz w:val="15"/>
        </w:rPr>
        <w:t>t</w:t>
      </w:r>
      <w:r>
        <w:rPr>
          <w:color w:val="231F20"/>
          <w:sz w:val="15"/>
        </w:rPr>
        <w:t>-stat</w:t>
        <w:tab/>
        <w:t>Coef.</w:t>
        <w:tab/>
      </w:r>
      <w:r>
        <w:rPr>
          <w:i/>
          <w:color w:val="231F20"/>
          <w:sz w:val="15"/>
        </w:rPr>
        <w:t>t</w:t>
      </w:r>
      <w:r>
        <w:rPr>
          <w:color w:val="231F20"/>
          <w:sz w:val="15"/>
        </w:rPr>
        <w:t>-stat</w:t>
      </w:r>
    </w:p>
    <w:p>
      <w:pPr>
        <w:tabs>
          <w:tab w:pos="1826" w:val="left" w:leader="none"/>
          <w:tab w:pos="2360" w:val="left" w:leader="none"/>
          <w:tab w:pos="3243" w:val="left" w:leader="none"/>
          <w:tab w:pos="3865" w:val="left" w:leader="none"/>
          <w:tab w:pos="5031" w:val="right" w:leader="none"/>
        </w:tabs>
        <w:spacing w:before="439"/>
        <w:ind w:left="162" w:right="0" w:firstLine="0"/>
        <w:jc w:val="left"/>
        <w:rPr>
          <w:sz w:val="15"/>
        </w:rPr>
      </w:pPr>
      <w:r>
        <w:rPr>
          <w:i/>
          <w:color w:val="231F20"/>
          <w:sz w:val="15"/>
        </w:rPr>
        <w:t>HEDF93</w:t>
        <w:tab/>
        <w:t>ß</w:t>
      </w:r>
      <w:r>
        <w:rPr>
          <w:i/>
          <w:color w:val="231F20"/>
          <w:sz w:val="15"/>
          <w:vertAlign w:val="subscript"/>
        </w:rPr>
        <w:t>2</w:t>
      </w:r>
      <w:r>
        <w:rPr>
          <w:i/>
          <w:color w:val="231F20"/>
          <w:sz w:val="15"/>
          <w:vertAlign w:val="baseline"/>
        </w:rPr>
        <w:tab/>
      </w:r>
      <w:r>
        <w:rPr>
          <w:color w:val="231F20"/>
          <w:sz w:val="15"/>
          <w:vertAlign w:val="baseline"/>
        </w:rPr>
        <w:t>0.364</w:t>
      </w:r>
      <w:r>
        <w:rPr>
          <w:rFonts w:ascii="Lucida Sans Unicode" w:hAnsi="Lucida Sans Unicode"/>
          <w:color w:val="231F20"/>
          <w:position w:val="6"/>
          <w:sz w:val="11"/>
          <w:vertAlign w:val="baseline"/>
        </w:rPr>
        <w:t>∗∗∗</w:t>
        <w:tab/>
      </w:r>
      <w:r>
        <w:rPr>
          <w:color w:val="231F20"/>
          <w:sz w:val="15"/>
          <w:vertAlign w:val="baseline"/>
        </w:rPr>
        <w:t>3.12</w:t>
        <w:tab/>
        <w:t>0.153</w:t>
        <w:tab/>
        <w:t>1.32</w:t>
      </w:r>
    </w:p>
    <w:p>
      <w:pPr>
        <w:spacing w:after="0"/>
        <w:jc w:val="left"/>
        <w:rPr>
          <w:sz w:val="15"/>
        </w:rPr>
        <w:sectPr>
          <w:headerReference w:type="even" r:id="rId16"/>
          <w:headerReference w:type="default" r:id="rId17"/>
          <w:pgSz w:w="9720" w:h="14400"/>
          <w:pgMar w:header="1055" w:footer="0" w:top="1300" w:bottom="280" w:left="1280" w:right="1300"/>
        </w:sectPr>
      </w:pPr>
    </w:p>
    <w:p>
      <w:pPr>
        <w:tabs>
          <w:tab w:pos="1826" w:val="left" w:leader="none"/>
          <w:tab w:pos="2360" w:val="left" w:leader="none"/>
          <w:tab w:pos="3526" w:val="right" w:leader="none"/>
        </w:tabs>
        <w:spacing w:before="363"/>
        <w:ind w:left="162" w:right="0" w:firstLine="0"/>
        <w:jc w:val="left"/>
        <w:rPr>
          <w:sz w:val="15"/>
        </w:rPr>
      </w:pPr>
      <w:r>
        <w:rPr>
          <w:i/>
          <w:color w:val="231F20"/>
          <w:sz w:val="15"/>
        </w:rPr>
        <w:t>POST</w:t>
      </w:r>
      <w:r>
        <w:rPr>
          <w:rFonts w:ascii="Lucida Sans Unicode" w:hAnsi="Lucida Sans Unicode"/>
          <w:color w:val="231F20"/>
          <w:sz w:val="15"/>
        </w:rPr>
        <w:t>×</w:t>
      </w:r>
      <w:r>
        <w:rPr>
          <w:i/>
          <w:color w:val="231F20"/>
          <w:sz w:val="15"/>
        </w:rPr>
        <w:t>DEL</w:t>
        <w:tab/>
        <w:t>ß</w:t>
      </w:r>
      <w:r>
        <w:rPr>
          <w:i/>
          <w:color w:val="231F20"/>
          <w:sz w:val="15"/>
          <w:vertAlign w:val="subscript"/>
        </w:rPr>
        <w:t>5</w:t>
      </w:r>
      <w:r>
        <w:rPr>
          <w:i/>
          <w:color w:val="231F20"/>
          <w:sz w:val="15"/>
          <w:vertAlign w:val="baseline"/>
        </w:rPr>
        <w:tab/>
      </w:r>
      <w:r>
        <w:rPr>
          <w:color w:val="231F20"/>
          <w:sz w:val="15"/>
          <w:vertAlign w:val="baseline"/>
        </w:rPr>
        <w:t>0.204</w:t>
      </w:r>
      <w:r>
        <w:rPr>
          <w:rFonts w:ascii="Lucida Sans Unicode" w:hAnsi="Lucida Sans Unicode"/>
          <w:color w:val="231F20"/>
          <w:position w:val="6"/>
          <w:sz w:val="11"/>
          <w:vertAlign w:val="baseline"/>
        </w:rPr>
        <w:t>∗∗</w:t>
      </w:r>
      <w:r>
        <w:rPr>
          <w:rFonts w:ascii="Lucida Sans Unicode" w:hAnsi="Lucida Sans Unicode"/>
          <w:color w:val="231F20"/>
          <w:sz w:val="11"/>
          <w:vertAlign w:val="baseline"/>
        </w:rPr>
        <w:tab/>
      </w:r>
      <w:r>
        <w:rPr>
          <w:color w:val="231F20"/>
          <w:sz w:val="15"/>
          <w:vertAlign w:val="baseline"/>
        </w:rPr>
        <w:t>2.33</w:t>
      </w:r>
    </w:p>
    <w:p>
      <w:pPr>
        <w:tabs>
          <w:tab w:pos="1826" w:val="left" w:leader="none"/>
        </w:tabs>
        <w:spacing w:before="160"/>
        <w:ind w:left="162" w:right="0" w:firstLine="0"/>
        <w:jc w:val="left"/>
        <w:rPr>
          <w:i/>
          <w:sz w:val="15"/>
        </w:rPr>
      </w:pPr>
      <w:r>
        <w:rPr>
          <w:i/>
          <w:color w:val="231F20"/>
          <w:sz w:val="15"/>
        </w:rPr>
        <w:t>POST</w:t>
      </w:r>
      <w:r>
        <w:rPr>
          <w:rFonts w:ascii="Lucida Sans Unicode" w:hAnsi="Lucida Sans Unicode"/>
          <w:color w:val="231F20"/>
          <w:sz w:val="15"/>
        </w:rPr>
        <w:t>×</w:t>
      </w:r>
      <w:r>
        <w:rPr>
          <w:i/>
          <w:color w:val="231F20"/>
          <w:sz w:val="15"/>
        </w:rPr>
        <w:t>DEL</w:t>
      </w:r>
      <w:r>
        <w:rPr>
          <w:rFonts w:ascii="Lucida Sans Unicode" w:hAnsi="Lucida Sans Unicode"/>
          <w:color w:val="231F20"/>
          <w:sz w:val="15"/>
        </w:rPr>
        <w:t>×</w:t>
      </w:r>
      <w:r>
        <w:rPr>
          <w:i/>
          <w:color w:val="231F20"/>
          <w:sz w:val="15"/>
        </w:rPr>
        <w:t>HEDF93</w:t>
        <w:tab/>
        <w:t>ß</w:t>
      </w:r>
      <w:r>
        <w:rPr>
          <w:i/>
          <w:color w:val="231F20"/>
          <w:sz w:val="15"/>
          <w:vertAlign w:val="subscript"/>
        </w:rPr>
        <w:t>7</w:t>
      </w:r>
    </w:p>
    <w:p>
      <w:pPr>
        <w:tabs>
          <w:tab w:pos="1126" w:val="left" w:leader="none"/>
        </w:tabs>
        <w:spacing w:before="595"/>
        <w:ind w:left="162" w:right="0" w:firstLine="0"/>
        <w:jc w:val="left"/>
        <w:rPr>
          <w:sz w:val="15"/>
        </w:rPr>
      </w:pPr>
      <w:r>
        <w:rPr/>
        <w:br w:type="column"/>
      </w:r>
      <w:r>
        <w:rPr>
          <w:color w:val="231F20"/>
          <w:w w:val="110"/>
          <w:sz w:val="15"/>
        </w:rPr>
        <w:t>0.155</w:t>
        <w:tab/>
        <w:t>1.18</w:t>
      </w:r>
    </w:p>
    <w:p>
      <w:pPr>
        <w:spacing w:before="574"/>
        <w:ind w:left="924" w:right="0" w:firstLine="0"/>
        <w:jc w:val="left"/>
        <w:rPr>
          <w:sz w:val="15"/>
        </w:rPr>
      </w:pPr>
      <w:r>
        <w:rPr>
          <w:rFonts w:ascii="Lucida Sans Unicode" w:hAnsi="Lucida Sans Unicode"/>
          <w:color w:val="231F20"/>
          <w:w w:val="105"/>
          <w:sz w:val="15"/>
        </w:rPr>
        <w:t>−</w:t>
      </w:r>
      <w:r>
        <w:rPr>
          <w:color w:val="231F20"/>
          <w:w w:val="105"/>
          <w:sz w:val="15"/>
        </w:rPr>
        <w:t>12.74</w:t>
      </w:r>
    </w:p>
    <w:p>
      <w:pPr>
        <w:spacing w:after="0"/>
        <w:jc w:val="left"/>
        <w:rPr>
          <w:sz w:val="15"/>
        </w:rPr>
        <w:sectPr>
          <w:type w:val="continuous"/>
          <w:pgSz w:w="9720" w:h="14400"/>
          <w:pgMar w:top="40" w:bottom="280" w:left="1280" w:right="1300"/>
          <w:cols w:num="2" w:equalWidth="0">
            <w:col w:w="3567" w:space="1642"/>
            <w:col w:w="1931"/>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4"/>
        <w:rPr>
          <w:sz w:val="19"/>
        </w:rPr>
      </w:pPr>
    </w:p>
    <w:p>
      <w:pPr>
        <w:spacing w:line="220" w:lineRule="auto" w:before="0"/>
        <w:ind w:left="162" w:right="518" w:firstLine="199"/>
        <w:jc w:val="both"/>
        <w:rPr>
          <w:sz w:val="14"/>
        </w:rPr>
      </w:pPr>
      <w:r>
        <w:rPr>
          <w:color w:val="231F20"/>
          <w:sz w:val="14"/>
        </w:rPr>
        <w:t>Panel A (panel B) presents regression estimates to test the effect of the 1991 Delaware court ruling on the composite (dimensional) conservatism ranks as in model 1. The sample includes 18,827 observations for</w:t>
      </w:r>
      <w:r>
        <w:rPr>
          <w:color w:val="231F20"/>
          <w:spacing w:val="-8"/>
          <w:sz w:val="14"/>
        </w:rPr>
        <w:t> </w:t>
      </w:r>
      <w:r>
        <w:rPr>
          <w:color w:val="231F20"/>
          <w:sz w:val="14"/>
        </w:rPr>
        <w:t>2,705</w:t>
      </w:r>
      <w:r>
        <w:rPr>
          <w:color w:val="231F20"/>
          <w:spacing w:val="-8"/>
          <w:sz w:val="14"/>
        </w:rPr>
        <w:t> </w:t>
      </w:r>
      <w:r>
        <w:rPr>
          <w:color w:val="231F20"/>
          <w:sz w:val="14"/>
        </w:rPr>
        <w:t>firms</w:t>
      </w:r>
      <w:r>
        <w:rPr>
          <w:color w:val="231F20"/>
          <w:spacing w:val="-8"/>
          <w:sz w:val="14"/>
        </w:rPr>
        <w:t> </w:t>
      </w:r>
      <w:r>
        <w:rPr>
          <w:color w:val="231F20"/>
          <w:sz w:val="14"/>
        </w:rPr>
        <w:t>spanning</w:t>
      </w:r>
      <w:r>
        <w:rPr>
          <w:color w:val="231F20"/>
          <w:spacing w:val="-8"/>
          <w:sz w:val="14"/>
        </w:rPr>
        <w:t> </w:t>
      </w:r>
      <w:r>
        <w:rPr>
          <w:color w:val="231F20"/>
          <w:sz w:val="14"/>
        </w:rPr>
        <w:t>calendar</w:t>
      </w:r>
      <w:r>
        <w:rPr>
          <w:color w:val="231F20"/>
          <w:spacing w:val="-8"/>
          <w:sz w:val="14"/>
        </w:rPr>
        <w:t> </w:t>
      </w:r>
      <w:r>
        <w:rPr>
          <w:color w:val="231F20"/>
          <w:sz w:val="14"/>
        </w:rPr>
        <w:t>years</w:t>
      </w:r>
      <w:r>
        <w:rPr>
          <w:color w:val="231F20"/>
          <w:spacing w:val="-8"/>
          <w:sz w:val="14"/>
        </w:rPr>
        <w:t> </w:t>
      </w:r>
      <w:r>
        <w:rPr>
          <w:color w:val="231F20"/>
          <w:sz w:val="14"/>
        </w:rPr>
        <w:t>1988-1991</w:t>
      </w:r>
      <w:r>
        <w:rPr>
          <w:color w:val="231F20"/>
          <w:spacing w:val="-8"/>
          <w:sz w:val="14"/>
        </w:rPr>
        <w:t> </w:t>
      </w:r>
      <w:r>
        <w:rPr>
          <w:color w:val="231F20"/>
          <w:sz w:val="14"/>
        </w:rPr>
        <w:t>and</w:t>
      </w:r>
      <w:r>
        <w:rPr>
          <w:color w:val="231F20"/>
          <w:spacing w:val="-8"/>
          <w:sz w:val="14"/>
        </w:rPr>
        <w:t> </w:t>
      </w:r>
      <w:r>
        <w:rPr>
          <w:color w:val="231F20"/>
          <w:sz w:val="14"/>
        </w:rPr>
        <w:t>1993-1996.</w:t>
      </w:r>
      <w:r>
        <w:rPr>
          <w:color w:val="231F20"/>
          <w:spacing w:val="-8"/>
          <w:sz w:val="14"/>
        </w:rPr>
        <w:t> </w:t>
      </w:r>
      <w:r>
        <w:rPr>
          <w:color w:val="231F20"/>
          <w:sz w:val="14"/>
        </w:rPr>
        <w:t>All</w:t>
      </w:r>
      <w:r>
        <w:rPr>
          <w:color w:val="231F20"/>
          <w:spacing w:val="-8"/>
          <w:sz w:val="14"/>
        </w:rPr>
        <w:t> </w:t>
      </w:r>
      <w:r>
        <w:rPr>
          <w:color w:val="231F20"/>
          <w:sz w:val="14"/>
        </w:rPr>
        <w:t>variables</w:t>
      </w:r>
      <w:r>
        <w:rPr>
          <w:color w:val="231F20"/>
          <w:spacing w:val="-8"/>
          <w:sz w:val="14"/>
        </w:rPr>
        <w:t> </w:t>
      </w:r>
      <w:r>
        <w:rPr>
          <w:color w:val="231F20"/>
          <w:sz w:val="14"/>
        </w:rPr>
        <w:t>are</w:t>
      </w:r>
      <w:r>
        <w:rPr>
          <w:color w:val="231F20"/>
          <w:spacing w:val="-8"/>
          <w:sz w:val="14"/>
        </w:rPr>
        <w:t> </w:t>
      </w:r>
      <w:r>
        <w:rPr>
          <w:color w:val="231F20"/>
          <w:sz w:val="14"/>
        </w:rPr>
        <w:t>calculated</w:t>
      </w:r>
      <w:r>
        <w:rPr>
          <w:color w:val="231F20"/>
          <w:spacing w:val="-8"/>
          <w:sz w:val="14"/>
        </w:rPr>
        <w:t> </w:t>
      </w:r>
      <w:r>
        <w:rPr>
          <w:color w:val="231F20"/>
          <w:sz w:val="14"/>
        </w:rPr>
        <w:t>as</w:t>
      </w:r>
      <w:r>
        <w:rPr>
          <w:color w:val="231F20"/>
          <w:spacing w:val="-8"/>
          <w:sz w:val="14"/>
        </w:rPr>
        <w:t> </w:t>
      </w:r>
      <w:r>
        <w:rPr>
          <w:color w:val="231F20"/>
          <w:sz w:val="14"/>
        </w:rPr>
        <w:t>defined</w:t>
      </w:r>
      <w:r>
        <w:rPr>
          <w:color w:val="231F20"/>
          <w:spacing w:val="-8"/>
          <w:sz w:val="14"/>
        </w:rPr>
        <w:t> </w:t>
      </w:r>
      <w:r>
        <w:rPr>
          <w:color w:val="231F20"/>
          <w:sz w:val="14"/>
        </w:rPr>
        <w:t>in appendix</w:t>
      </w:r>
      <w:r>
        <w:rPr>
          <w:color w:val="231F20"/>
          <w:spacing w:val="-17"/>
          <w:sz w:val="14"/>
        </w:rPr>
        <w:t> </w:t>
      </w:r>
      <w:r>
        <w:rPr>
          <w:color w:val="231F20"/>
          <w:sz w:val="14"/>
        </w:rPr>
        <w:t>A.</w:t>
      </w:r>
      <w:r>
        <w:rPr>
          <w:color w:val="231F20"/>
          <w:spacing w:val="-17"/>
          <w:sz w:val="14"/>
        </w:rPr>
        <w:t> </w:t>
      </w:r>
      <w:r>
        <w:rPr>
          <w:color w:val="231F20"/>
          <w:sz w:val="14"/>
        </w:rPr>
        <w:t>All</w:t>
      </w:r>
      <w:r>
        <w:rPr>
          <w:color w:val="231F20"/>
          <w:spacing w:val="-17"/>
          <w:sz w:val="14"/>
        </w:rPr>
        <w:t> </w:t>
      </w:r>
      <w:r>
        <w:rPr>
          <w:color w:val="231F20"/>
          <w:sz w:val="14"/>
        </w:rPr>
        <w:t>continuous</w:t>
      </w:r>
      <w:r>
        <w:rPr>
          <w:color w:val="231F20"/>
          <w:spacing w:val="-17"/>
          <w:sz w:val="14"/>
        </w:rPr>
        <w:t> </w:t>
      </w:r>
      <w:r>
        <w:rPr>
          <w:color w:val="231F20"/>
          <w:sz w:val="14"/>
        </w:rPr>
        <w:t>variables</w:t>
      </w:r>
      <w:r>
        <w:rPr>
          <w:color w:val="231F20"/>
          <w:spacing w:val="-17"/>
          <w:sz w:val="14"/>
        </w:rPr>
        <w:t> </w:t>
      </w:r>
      <w:r>
        <w:rPr>
          <w:color w:val="231F20"/>
          <w:sz w:val="14"/>
        </w:rPr>
        <w:t>are</w:t>
      </w:r>
      <w:r>
        <w:rPr>
          <w:color w:val="231F20"/>
          <w:spacing w:val="-17"/>
          <w:sz w:val="14"/>
        </w:rPr>
        <w:t> </w:t>
      </w:r>
      <w:r>
        <w:rPr>
          <w:color w:val="231F20"/>
          <w:sz w:val="14"/>
        </w:rPr>
        <w:t>winsorized</w:t>
      </w:r>
      <w:r>
        <w:rPr>
          <w:color w:val="231F20"/>
          <w:spacing w:val="-17"/>
          <w:sz w:val="14"/>
        </w:rPr>
        <w:t> </w:t>
      </w:r>
      <w:r>
        <w:rPr>
          <w:color w:val="231F20"/>
          <w:sz w:val="14"/>
        </w:rPr>
        <w:t>at</w:t>
      </w:r>
      <w:r>
        <w:rPr>
          <w:color w:val="231F20"/>
          <w:spacing w:val="-17"/>
          <w:sz w:val="14"/>
        </w:rPr>
        <w:t> </w:t>
      </w:r>
      <w:r>
        <w:rPr>
          <w:color w:val="231F20"/>
          <w:sz w:val="14"/>
        </w:rPr>
        <w:t>the</w:t>
      </w:r>
      <w:r>
        <w:rPr>
          <w:color w:val="231F20"/>
          <w:spacing w:val="-17"/>
          <w:sz w:val="14"/>
        </w:rPr>
        <w:t> </w:t>
      </w:r>
      <w:r>
        <w:rPr>
          <w:color w:val="231F20"/>
          <w:sz w:val="14"/>
        </w:rPr>
        <w:t>1st</w:t>
      </w:r>
      <w:r>
        <w:rPr>
          <w:color w:val="231F20"/>
          <w:spacing w:val="-17"/>
          <w:sz w:val="14"/>
        </w:rPr>
        <w:t> </w:t>
      </w:r>
      <w:r>
        <w:rPr>
          <w:color w:val="231F20"/>
          <w:sz w:val="14"/>
        </w:rPr>
        <w:t>and</w:t>
      </w:r>
      <w:r>
        <w:rPr>
          <w:color w:val="231F20"/>
          <w:spacing w:val="-17"/>
          <w:sz w:val="14"/>
        </w:rPr>
        <w:t> </w:t>
      </w:r>
      <w:r>
        <w:rPr>
          <w:color w:val="231F20"/>
          <w:sz w:val="14"/>
        </w:rPr>
        <w:t>99th</w:t>
      </w:r>
      <w:r>
        <w:rPr>
          <w:color w:val="231F20"/>
          <w:spacing w:val="-17"/>
          <w:sz w:val="14"/>
        </w:rPr>
        <w:t> </w:t>
      </w:r>
      <w:r>
        <w:rPr>
          <w:color w:val="231F20"/>
          <w:sz w:val="14"/>
        </w:rPr>
        <w:t>percentiles.</w:t>
      </w:r>
      <w:r>
        <w:rPr>
          <w:color w:val="231F20"/>
          <w:spacing w:val="-17"/>
          <w:sz w:val="14"/>
        </w:rPr>
        <w:t> </w:t>
      </w:r>
      <w:r>
        <w:rPr>
          <w:color w:val="231F20"/>
          <w:sz w:val="14"/>
        </w:rPr>
        <w:t>Reported</w:t>
      </w:r>
      <w:r>
        <w:rPr>
          <w:color w:val="231F20"/>
          <w:spacing w:val="-17"/>
          <w:sz w:val="14"/>
        </w:rPr>
        <w:t> </w:t>
      </w:r>
      <w:r>
        <w:rPr>
          <w:i/>
          <w:color w:val="231F20"/>
          <w:sz w:val="14"/>
        </w:rPr>
        <w:t>t</w:t>
      </w:r>
      <w:r>
        <w:rPr>
          <w:color w:val="231F20"/>
          <w:sz w:val="14"/>
        </w:rPr>
        <w:t>-statistics</w:t>
      </w:r>
      <w:r>
        <w:rPr>
          <w:color w:val="231F20"/>
          <w:spacing w:val="-17"/>
          <w:sz w:val="14"/>
        </w:rPr>
        <w:t> </w:t>
      </w:r>
      <w:r>
        <w:rPr>
          <w:color w:val="231F20"/>
          <w:sz w:val="14"/>
        </w:rPr>
        <w:t>are adjusted for clustering by both firm and </w:t>
      </w:r>
      <w:r>
        <w:rPr>
          <w:color w:val="231F20"/>
          <w:spacing w:val="-3"/>
          <w:sz w:val="14"/>
        </w:rPr>
        <w:t>year.</w:t>
      </w:r>
    </w:p>
    <w:p>
      <w:pPr>
        <w:spacing w:line="160" w:lineRule="exact" w:before="0"/>
        <w:ind w:left="361" w:right="0" w:firstLine="0"/>
        <w:jc w:val="left"/>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0" w:lineRule="exact"/>
        <w:jc w:val="left"/>
        <w:rPr>
          <w:sz w:val="14"/>
        </w:rPr>
        <w:sectPr>
          <w:type w:val="continuous"/>
          <w:pgSz w:w="9720" w:h="14400"/>
          <w:pgMar w:top="40" w:bottom="280" w:left="1280" w:right="1300"/>
        </w:sectPr>
      </w:pPr>
    </w:p>
    <w:p>
      <w:pPr>
        <w:pStyle w:val="BodyText"/>
        <w:spacing w:line="230" w:lineRule="auto" w:before="178"/>
        <w:ind w:left="532" w:right="149" w:firstLine="199"/>
        <w:jc w:val="both"/>
      </w:pPr>
      <w:r>
        <w:rPr/>
        <w:t>In</w:t>
      </w:r>
      <w:r>
        <w:rPr>
          <w:spacing w:val="-11"/>
        </w:rPr>
        <w:t> </w:t>
      </w:r>
      <w:r>
        <w:rPr/>
        <w:t>additional</w:t>
      </w:r>
      <w:r>
        <w:rPr>
          <w:spacing w:val="-11"/>
        </w:rPr>
        <w:t> </w:t>
      </w:r>
      <w:r>
        <w:rPr/>
        <w:t>analyses</w:t>
      </w:r>
      <w:r>
        <w:rPr>
          <w:spacing w:val="-11"/>
        </w:rPr>
        <w:t> </w:t>
      </w:r>
      <w:r>
        <w:rPr/>
        <w:t>presented</w:t>
      </w:r>
      <w:r>
        <w:rPr>
          <w:spacing w:val="-11"/>
        </w:rPr>
        <w:t> </w:t>
      </w:r>
      <w:r>
        <w:rPr/>
        <w:t>in</w:t>
      </w:r>
      <w:r>
        <w:rPr>
          <w:spacing w:val="-11"/>
        </w:rPr>
        <w:t> </w:t>
      </w:r>
      <w:r>
        <w:rPr/>
        <w:t>online</w:t>
      </w:r>
      <w:r>
        <w:rPr>
          <w:spacing w:val="-11"/>
        </w:rPr>
        <w:t> </w:t>
      </w:r>
      <w:r>
        <w:rPr/>
        <w:t>appendix</w:t>
      </w:r>
      <w:r>
        <w:rPr>
          <w:spacing w:val="-11"/>
        </w:rPr>
        <w:t> </w:t>
      </w:r>
      <w:r>
        <w:rPr/>
        <w:t>table</w:t>
      </w:r>
      <w:r>
        <w:rPr>
          <w:spacing w:val="-11"/>
        </w:rPr>
        <w:t> </w:t>
      </w:r>
      <w:r>
        <w:rPr/>
        <w:t>A6,</w:t>
      </w:r>
      <w:r>
        <w:rPr>
          <w:spacing w:val="-11"/>
        </w:rPr>
        <w:t> </w:t>
      </w:r>
      <w:r>
        <w:rPr/>
        <w:t>we</w:t>
      </w:r>
      <w:r>
        <w:rPr>
          <w:spacing w:val="-11"/>
        </w:rPr>
        <w:t> </w:t>
      </w:r>
      <w:r>
        <w:rPr/>
        <w:t>exam- ine</w:t>
      </w:r>
      <w:r>
        <w:rPr>
          <w:spacing w:val="-14"/>
        </w:rPr>
        <w:t> </w:t>
      </w:r>
      <w:r>
        <w:rPr/>
        <w:t>whether</w:t>
      </w:r>
      <w:r>
        <w:rPr>
          <w:spacing w:val="-13"/>
        </w:rPr>
        <w:t> </w:t>
      </w:r>
      <w:r>
        <w:rPr/>
        <w:t>our</w:t>
      </w:r>
      <w:r>
        <w:rPr>
          <w:spacing w:val="-14"/>
        </w:rPr>
        <w:t> </w:t>
      </w:r>
      <w:r>
        <w:rPr/>
        <w:t>main</w:t>
      </w:r>
      <w:r>
        <w:rPr>
          <w:spacing w:val="-14"/>
        </w:rPr>
        <w:t> </w:t>
      </w:r>
      <w:r>
        <w:rPr/>
        <w:t>finding</w:t>
      </w:r>
      <w:r>
        <w:rPr>
          <w:spacing w:val="-13"/>
        </w:rPr>
        <w:t> </w:t>
      </w:r>
      <w:r>
        <w:rPr/>
        <w:t>in</w:t>
      </w:r>
      <w:r>
        <w:rPr>
          <w:spacing w:val="-14"/>
        </w:rPr>
        <w:t> </w:t>
      </w:r>
      <w:r>
        <w:rPr/>
        <w:t>column</w:t>
      </w:r>
      <w:r>
        <w:rPr>
          <w:spacing w:val="-14"/>
        </w:rPr>
        <w:t> </w:t>
      </w:r>
      <w:r>
        <w:rPr/>
        <w:t>(iii)</w:t>
      </w:r>
      <w:r>
        <w:rPr>
          <w:spacing w:val="-14"/>
        </w:rPr>
        <w:t> </w:t>
      </w:r>
      <w:r>
        <w:rPr/>
        <w:t>of</w:t>
      </w:r>
      <w:r>
        <w:rPr>
          <w:spacing w:val="-14"/>
        </w:rPr>
        <w:t> </w:t>
      </w:r>
      <w:r>
        <w:rPr/>
        <w:t>table</w:t>
      </w:r>
      <w:r>
        <w:rPr>
          <w:spacing w:val="-14"/>
        </w:rPr>
        <w:t> </w:t>
      </w:r>
      <w:r>
        <w:rPr/>
        <w:t>4,</w:t>
      </w:r>
      <w:r>
        <w:rPr>
          <w:spacing w:val="-14"/>
        </w:rPr>
        <w:t> </w:t>
      </w:r>
      <w:r>
        <w:rPr/>
        <w:t>panel</w:t>
      </w:r>
      <w:r>
        <w:rPr>
          <w:spacing w:val="-13"/>
        </w:rPr>
        <w:t> </w:t>
      </w:r>
      <w:r>
        <w:rPr/>
        <w:t>A</w:t>
      </w:r>
      <w:r>
        <w:rPr>
          <w:spacing w:val="-14"/>
        </w:rPr>
        <w:t> </w:t>
      </w:r>
      <w:r>
        <w:rPr/>
        <w:t>is</w:t>
      </w:r>
      <w:r>
        <w:rPr>
          <w:spacing w:val="-14"/>
        </w:rPr>
        <w:t> </w:t>
      </w:r>
      <w:r>
        <w:rPr/>
        <w:t>robust</w:t>
      </w:r>
      <w:r>
        <w:rPr>
          <w:spacing w:val="-14"/>
        </w:rPr>
        <w:t> </w:t>
      </w:r>
      <w:r>
        <w:rPr/>
        <w:t>to alternative</w:t>
      </w:r>
      <w:r>
        <w:rPr>
          <w:spacing w:val="-26"/>
        </w:rPr>
        <w:t> </w:t>
      </w:r>
      <w:r>
        <w:rPr/>
        <w:t>definitions</w:t>
      </w:r>
      <w:r>
        <w:rPr>
          <w:spacing w:val="-26"/>
        </w:rPr>
        <w:t> </w:t>
      </w:r>
      <w:r>
        <w:rPr/>
        <w:t>of</w:t>
      </w:r>
      <w:r>
        <w:rPr>
          <w:spacing w:val="-26"/>
        </w:rPr>
        <w:t> </w:t>
      </w:r>
      <w:r>
        <w:rPr/>
        <w:t>near</w:t>
      </w:r>
      <w:r>
        <w:rPr>
          <w:spacing w:val="-26"/>
        </w:rPr>
        <w:t> </w:t>
      </w:r>
      <w:r>
        <w:rPr/>
        <w:t>insolvency.</w:t>
      </w:r>
      <w:r>
        <w:rPr>
          <w:spacing w:val="-26"/>
        </w:rPr>
        <w:t> </w:t>
      </w:r>
      <w:r>
        <w:rPr/>
        <w:t>This</w:t>
      </w:r>
      <w:r>
        <w:rPr>
          <w:spacing w:val="-26"/>
        </w:rPr>
        <w:t> </w:t>
      </w:r>
      <w:r>
        <w:rPr/>
        <w:t>test</w:t>
      </w:r>
      <w:r>
        <w:rPr>
          <w:spacing w:val="-26"/>
        </w:rPr>
        <w:t> </w:t>
      </w:r>
      <w:r>
        <w:rPr/>
        <w:t>is</w:t>
      </w:r>
      <w:r>
        <w:rPr>
          <w:spacing w:val="-26"/>
        </w:rPr>
        <w:t> </w:t>
      </w:r>
      <w:r>
        <w:rPr/>
        <w:t>important</w:t>
      </w:r>
      <w:r>
        <w:rPr>
          <w:spacing w:val="-26"/>
        </w:rPr>
        <w:t> </w:t>
      </w:r>
      <w:r>
        <w:rPr/>
        <w:t>because</w:t>
      </w:r>
      <w:r>
        <w:rPr>
          <w:spacing w:val="-26"/>
        </w:rPr>
        <w:t> </w:t>
      </w:r>
      <w:r>
        <w:rPr/>
        <w:t>it</w:t>
      </w:r>
      <w:r>
        <w:rPr>
          <w:spacing w:val="-26"/>
        </w:rPr>
        <w:t> </w:t>
      </w:r>
      <w:r>
        <w:rPr/>
        <w:t>is possible</w:t>
      </w:r>
      <w:r>
        <w:rPr>
          <w:spacing w:val="-12"/>
        </w:rPr>
        <w:t> </w:t>
      </w:r>
      <w:r>
        <w:rPr/>
        <w:t>that,</w:t>
      </w:r>
      <w:r>
        <w:rPr>
          <w:spacing w:val="-11"/>
        </w:rPr>
        <w:t> </w:t>
      </w:r>
      <w:r>
        <w:rPr/>
        <w:t>since</w:t>
      </w:r>
      <w:r>
        <w:rPr>
          <w:spacing w:val="-11"/>
        </w:rPr>
        <w:t> </w:t>
      </w:r>
      <w:r>
        <w:rPr/>
        <w:t>the</w:t>
      </w:r>
      <w:r>
        <w:rPr>
          <w:spacing w:val="-11"/>
        </w:rPr>
        <w:t> </w:t>
      </w:r>
      <w:r>
        <w:rPr/>
        <w:t>EDF</w:t>
      </w:r>
      <w:r>
        <w:rPr>
          <w:spacing w:val="-11"/>
        </w:rPr>
        <w:t> </w:t>
      </w:r>
      <w:r>
        <w:rPr/>
        <w:t>measure</w:t>
      </w:r>
      <w:r>
        <w:rPr>
          <w:spacing w:val="-11"/>
        </w:rPr>
        <w:t> </w:t>
      </w:r>
      <w:r>
        <w:rPr/>
        <w:t>we</w:t>
      </w:r>
      <w:r>
        <w:rPr>
          <w:spacing w:val="-11"/>
        </w:rPr>
        <w:t> </w:t>
      </w:r>
      <w:r>
        <w:rPr/>
        <w:t>employ</w:t>
      </w:r>
      <w:r>
        <w:rPr>
          <w:spacing w:val="-11"/>
        </w:rPr>
        <w:t> </w:t>
      </w:r>
      <w:r>
        <w:rPr/>
        <w:t>to</w:t>
      </w:r>
      <w:r>
        <w:rPr>
          <w:spacing w:val="-11"/>
        </w:rPr>
        <w:t> </w:t>
      </w:r>
      <w:r>
        <w:rPr/>
        <w:t>identify</w:t>
      </w:r>
      <w:r>
        <w:rPr>
          <w:spacing w:val="-11"/>
        </w:rPr>
        <w:t> </w:t>
      </w:r>
      <w:r>
        <w:rPr/>
        <w:t>near</w:t>
      </w:r>
      <w:r>
        <w:rPr>
          <w:spacing w:val="-11"/>
        </w:rPr>
        <w:t> </w:t>
      </w:r>
      <w:r>
        <w:rPr/>
        <w:t>insolvent firms</w:t>
      </w:r>
      <w:r>
        <w:rPr>
          <w:spacing w:val="-9"/>
        </w:rPr>
        <w:t> </w:t>
      </w:r>
      <w:r>
        <w:rPr/>
        <w:t>is</w:t>
      </w:r>
      <w:r>
        <w:rPr>
          <w:spacing w:val="-9"/>
        </w:rPr>
        <w:t> </w:t>
      </w:r>
      <w:r>
        <w:rPr/>
        <w:t>based</w:t>
      </w:r>
      <w:r>
        <w:rPr>
          <w:spacing w:val="-9"/>
        </w:rPr>
        <w:t> </w:t>
      </w:r>
      <w:r>
        <w:rPr/>
        <w:t>on</w:t>
      </w:r>
      <w:r>
        <w:rPr>
          <w:spacing w:val="-9"/>
        </w:rPr>
        <w:t> </w:t>
      </w:r>
      <w:r>
        <w:rPr/>
        <w:t>accounting</w:t>
      </w:r>
      <w:r>
        <w:rPr>
          <w:spacing w:val="-9"/>
        </w:rPr>
        <w:t> </w:t>
      </w:r>
      <w:r>
        <w:rPr/>
        <w:t>and</w:t>
      </w:r>
      <w:r>
        <w:rPr>
          <w:spacing w:val="-9"/>
        </w:rPr>
        <w:t> </w:t>
      </w:r>
      <w:r>
        <w:rPr/>
        <w:t>stock</w:t>
      </w:r>
      <w:r>
        <w:rPr>
          <w:spacing w:val="-9"/>
        </w:rPr>
        <w:t> </w:t>
      </w:r>
      <w:r>
        <w:rPr/>
        <w:t>performance,</w:t>
      </w:r>
      <w:r>
        <w:rPr>
          <w:spacing w:val="-9"/>
        </w:rPr>
        <w:t> </w:t>
      </w:r>
      <w:r>
        <w:rPr/>
        <w:t>it</w:t>
      </w:r>
      <w:r>
        <w:rPr>
          <w:spacing w:val="-9"/>
        </w:rPr>
        <w:t> </w:t>
      </w:r>
      <w:r>
        <w:rPr/>
        <w:t>could</w:t>
      </w:r>
      <w:r>
        <w:rPr>
          <w:spacing w:val="-9"/>
        </w:rPr>
        <w:t> </w:t>
      </w:r>
      <w:r>
        <w:rPr/>
        <w:t>already</w:t>
      </w:r>
      <w:r>
        <w:rPr>
          <w:spacing w:val="-9"/>
        </w:rPr>
        <w:t> </w:t>
      </w:r>
      <w:r>
        <w:rPr/>
        <w:t>cap- ture</w:t>
      </w:r>
      <w:r>
        <w:rPr>
          <w:spacing w:val="-12"/>
        </w:rPr>
        <w:t> </w:t>
      </w:r>
      <w:r>
        <w:rPr/>
        <w:t>effects</w:t>
      </w:r>
      <w:r>
        <w:rPr>
          <w:spacing w:val="-12"/>
        </w:rPr>
        <w:t> </w:t>
      </w:r>
      <w:r>
        <w:rPr/>
        <w:t>of</w:t>
      </w:r>
      <w:r>
        <w:rPr>
          <w:spacing w:val="-12"/>
        </w:rPr>
        <w:t> </w:t>
      </w:r>
      <w:r>
        <w:rPr/>
        <w:t>conservatism,</w:t>
      </w:r>
      <w:r>
        <w:rPr>
          <w:spacing w:val="-12"/>
        </w:rPr>
        <w:t> </w:t>
      </w:r>
      <w:r>
        <w:rPr/>
        <w:t>potentially</w:t>
      </w:r>
      <w:r>
        <w:rPr>
          <w:spacing w:val="-12"/>
        </w:rPr>
        <w:t> </w:t>
      </w:r>
      <w:r>
        <w:rPr/>
        <w:t>biasing</w:t>
      </w:r>
      <w:r>
        <w:rPr>
          <w:spacing w:val="-12"/>
        </w:rPr>
        <w:t> </w:t>
      </w:r>
      <w:r>
        <w:rPr/>
        <w:t>our</w:t>
      </w:r>
      <w:r>
        <w:rPr>
          <w:spacing w:val="-12"/>
        </w:rPr>
        <w:t> </w:t>
      </w:r>
      <w:r>
        <w:rPr/>
        <w:t>results.</w:t>
      </w:r>
      <w:r>
        <w:rPr>
          <w:spacing w:val="-12"/>
        </w:rPr>
        <w:t> </w:t>
      </w:r>
      <w:r>
        <w:rPr>
          <w:spacing w:val="-9"/>
        </w:rPr>
        <w:t>To</w:t>
      </w:r>
      <w:r>
        <w:rPr>
          <w:spacing w:val="-12"/>
        </w:rPr>
        <w:t> </w:t>
      </w:r>
      <w:r>
        <w:rPr/>
        <w:t>corroborate our findings, we construct three alternative measures of near</w:t>
      </w:r>
      <w:r>
        <w:rPr>
          <w:spacing w:val="-10"/>
        </w:rPr>
        <w:t> </w:t>
      </w:r>
      <w:r>
        <w:rPr/>
        <w:t>insolvency:</w:t>
      </w:r>
    </w:p>
    <w:p>
      <w:pPr>
        <w:pStyle w:val="BodyText"/>
        <w:spacing w:line="228" w:lineRule="auto" w:before="6"/>
        <w:ind w:left="532" w:right="149"/>
        <w:jc w:val="both"/>
      </w:pPr>
      <w:r>
        <w:rPr/>
        <w:t>(i)</w:t>
      </w:r>
      <w:r>
        <w:rPr>
          <w:spacing w:val="-9"/>
        </w:rPr>
        <w:t> </w:t>
      </w:r>
      <w:r>
        <w:rPr>
          <w:i/>
        </w:rPr>
        <w:t>HMLEV93</w:t>
      </w:r>
      <w:r>
        <w:rPr/>
        <w:t>,</w:t>
      </w:r>
      <w:r>
        <w:rPr>
          <w:spacing w:val="-9"/>
        </w:rPr>
        <w:t> </w:t>
      </w:r>
      <w:r>
        <w:rPr/>
        <w:t>an</w:t>
      </w:r>
      <w:r>
        <w:rPr>
          <w:spacing w:val="-9"/>
        </w:rPr>
        <w:t> </w:t>
      </w:r>
      <w:r>
        <w:rPr/>
        <w:t>indicator</w:t>
      </w:r>
      <w:r>
        <w:rPr>
          <w:spacing w:val="-9"/>
        </w:rPr>
        <w:t> </w:t>
      </w:r>
      <w:r>
        <w:rPr/>
        <w:t>variable</w:t>
      </w:r>
      <w:r>
        <w:rPr>
          <w:spacing w:val="-9"/>
        </w:rPr>
        <w:t> </w:t>
      </w:r>
      <w:r>
        <w:rPr/>
        <w:t>equal</w:t>
      </w:r>
      <w:r>
        <w:rPr>
          <w:spacing w:val="-9"/>
        </w:rPr>
        <w:t> </w:t>
      </w:r>
      <w:r>
        <w:rPr/>
        <w:t>to</w:t>
      </w:r>
      <w:r>
        <w:rPr>
          <w:spacing w:val="-9"/>
        </w:rPr>
        <w:t> </w:t>
      </w:r>
      <w:r>
        <w:rPr/>
        <w:t>1</w:t>
      </w:r>
      <w:r>
        <w:rPr>
          <w:spacing w:val="-9"/>
        </w:rPr>
        <w:t> </w:t>
      </w:r>
      <w:r>
        <w:rPr/>
        <w:t>if</w:t>
      </w:r>
      <w:r>
        <w:rPr>
          <w:spacing w:val="-9"/>
        </w:rPr>
        <w:t> </w:t>
      </w:r>
      <w:r>
        <w:rPr/>
        <w:t>the</w:t>
      </w:r>
      <w:r>
        <w:rPr>
          <w:spacing w:val="-9"/>
        </w:rPr>
        <w:t> </w:t>
      </w:r>
      <w:r>
        <w:rPr/>
        <w:t>firm</w:t>
      </w:r>
      <w:r>
        <w:rPr>
          <w:spacing w:val="-9"/>
        </w:rPr>
        <w:t> </w:t>
      </w:r>
      <w:r>
        <w:rPr/>
        <w:t>is</w:t>
      </w:r>
      <w:r>
        <w:rPr>
          <w:spacing w:val="-9"/>
        </w:rPr>
        <w:t> </w:t>
      </w:r>
      <w:r>
        <w:rPr/>
        <w:t>in</w:t>
      </w:r>
      <w:r>
        <w:rPr>
          <w:spacing w:val="-9"/>
        </w:rPr>
        <w:t> </w:t>
      </w:r>
      <w:r>
        <w:rPr/>
        <w:t>the</w:t>
      </w:r>
      <w:r>
        <w:rPr>
          <w:spacing w:val="-9"/>
        </w:rPr>
        <w:t> </w:t>
      </w:r>
      <w:r>
        <w:rPr/>
        <w:t>top</w:t>
      </w:r>
      <w:r>
        <w:rPr>
          <w:spacing w:val="-9"/>
        </w:rPr>
        <w:t> </w:t>
      </w:r>
      <w:r>
        <w:rPr/>
        <w:t>quar- tile of 1993 market leverage distribution and 0 otherwise, where market leverage is measured as the ratio of short- and long-term debt to short- and</w:t>
      </w:r>
      <w:r>
        <w:rPr>
          <w:spacing w:val="-16"/>
        </w:rPr>
        <w:t> </w:t>
      </w:r>
      <w:r>
        <w:rPr/>
        <w:t>long-term</w:t>
      </w:r>
      <w:r>
        <w:rPr>
          <w:spacing w:val="-16"/>
        </w:rPr>
        <w:t> </w:t>
      </w:r>
      <w:r>
        <w:rPr/>
        <w:t>debt</w:t>
      </w:r>
      <w:r>
        <w:rPr>
          <w:spacing w:val="-16"/>
        </w:rPr>
        <w:t> </w:t>
      </w:r>
      <w:r>
        <w:rPr/>
        <w:t>plus</w:t>
      </w:r>
      <w:r>
        <w:rPr>
          <w:spacing w:val="-16"/>
        </w:rPr>
        <w:t> </w:t>
      </w:r>
      <w:r>
        <w:rPr/>
        <w:t>market</w:t>
      </w:r>
      <w:r>
        <w:rPr>
          <w:spacing w:val="-16"/>
        </w:rPr>
        <w:t> </w:t>
      </w:r>
      <w:r>
        <w:rPr/>
        <w:t>value</w:t>
      </w:r>
      <w:r>
        <w:rPr>
          <w:spacing w:val="-16"/>
        </w:rPr>
        <w:t> </w:t>
      </w:r>
      <w:r>
        <w:rPr/>
        <w:t>of</w:t>
      </w:r>
      <w:r>
        <w:rPr>
          <w:spacing w:val="-16"/>
        </w:rPr>
        <w:t> </w:t>
      </w:r>
      <w:r>
        <w:rPr/>
        <w:t>equity;</w:t>
      </w:r>
      <w:r>
        <w:rPr>
          <w:spacing w:val="-16"/>
        </w:rPr>
        <w:t> </w:t>
      </w:r>
      <w:r>
        <w:rPr/>
        <w:t>(ii)</w:t>
      </w:r>
      <w:r>
        <w:rPr>
          <w:spacing w:val="-17"/>
        </w:rPr>
        <w:t> </w:t>
      </w:r>
      <w:r>
        <w:rPr>
          <w:i/>
        </w:rPr>
        <w:t>HBLEV93</w:t>
      </w:r>
      <w:r>
        <w:rPr/>
        <w:t>,</w:t>
      </w:r>
      <w:r>
        <w:rPr>
          <w:spacing w:val="-16"/>
        </w:rPr>
        <w:t> </w:t>
      </w:r>
      <w:r>
        <w:rPr/>
        <w:t>an</w:t>
      </w:r>
      <w:r>
        <w:rPr>
          <w:spacing w:val="-16"/>
        </w:rPr>
        <w:t> </w:t>
      </w:r>
      <w:r>
        <w:rPr/>
        <w:t>indicator variable equal to 1 if the firm is in the top quartile of 1993 book leverage distribution</w:t>
      </w:r>
      <w:r>
        <w:rPr>
          <w:spacing w:val="-16"/>
        </w:rPr>
        <w:t> </w:t>
      </w:r>
      <w:r>
        <w:rPr/>
        <w:t>and</w:t>
      </w:r>
      <w:r>
        <w:rPr>
          <w:spacing w:val="-16"/>
        </w:rPr>
        <w:t> </w:t>
      </w:r>
      <w:r>
        <w:rPr/>
        <w:t>0</w:t>
      </w:r>
      <w:r>
        <w:rPr>
          <w:spacing w:val="-16"/>
        </w:rPr>
        <w:t> </w:t>
      </w:r>
      <w:r>
        <w:rPr/>
        <w:t>otherwise,</w:t>
      </w:r>
      <w:r>
        <w:rPr>
          <w:spacing w:val="-16"/>
        </w:rPr>
        <w:t> </w:t>
      </w:r>
      <w:r>
        <w:rPr/>
        <w:t>where</w:t>
      </w:r>
      <w:r>
        <w:rPr>
          <w:spacing w:val="-16"/>
        </w:rPr>
        <w:t> </w:t>
      </w:r>
      <w:r>
        <w:rPr/>
        <w:t>book</w:t>
      </w:r>
      <w:r>
        <w:rPr>
          <w:spacing w:val="-16"/>
        </w:rPr>
        <w:t> </w:t>
      </w:r>
      <w:r>
        <w:rPr/>
        <w:t>leverage</w:t>
      </w:r>
      <w:r>
        <w:rPr>
          <w:spacing w:val="-16"/>
        </w:rPr>
        <w:t> </w:t>
      </w:r>
      <w:r>
        <w:rPr/>
        <w:t>is</w:t>
      </w:r>
      <w:r>
        <w:rPr>
          <w:spacing w:val="-16"/>
        </w:rPr>
        <w:t> </w:t>
      </w:r>
      <w:r>
        <w:rPr/>
        <w:t>measured</w:t>
      </w:r>
      <w:r>
        <w:rPr>
          <w:spacing w:val="-16"/>
        </w:rPr>
        <w:t> </w:t>
      </w:r>
      <w:r>
        <w:rPr/>
        <w:t>as</w:t>
      </w:r>
      <w:r>
        <w:rPr>
          <w:spacing w:val="-16"/>
        </w:rPr>
        <w:t> </w:t>
      </w:r>
      <w:r>
        <w:rPr/>
        <w:t>the</w:t>
      </w:r>
      <w:r>
        <w:rPr>
          <w:spacing w:val="-16"/>
        </w:rPr>
        <w:t> </w:t>
      </w:r>
      <w:r>
        <w:rPr/>
        <w:t>ratio of short- and long-term debt to total assets; and (iii) </w:t>
      </w:r>
      <w:r>
        <w:rPr>
          <w:i/>
          <w:spacing w:val="-3"/>
        </w:rPr>
        <w:t>LALT93</w:t>
      </w:r>
      <w:r>
        <w:rPr>
          <w:spacing w:val="-3"/>
        </w:rPr>
        <w:t>, </w:t>
      </w:r>
      <w:r>
        <w:rPr/>
        <w:t>an indicator variable</w:t>
      </w:r>
      <w:r>
        <w:rPr>
          <w:spacing w:val="-7"/>
        </w:rPr>
        <w:t> </w:t>
      </w:r>
      <w:r>
        <w:rPr/>
        <w:t>that</w:t>
      </w:r>
      <w:r>
        <w:rPr>
          <w:spacing w:val="-7"/>
        </w:rPr>
        <w:t> </w:t>
      </w:r>
      <w:r>
        <w:rPr/>
        <w:t>equals</w:t>
      </w:r>
      <w:r>
        <w:rPr>
          <w:spacing w:val="-7"/>
        </w:rPr>
        <w:t> </w:t>
      </w:r>
      <w:r>
        <w:rPr/>
        <w:t>1</w:t>
      </w:r>
      <w:r>
        <w:rPr>
          <w:spacing w:val="-7"/>
        </w:rPr>
        <w:t> </w:t>
      </w:r>
      <w:r>
        <w:rPr/>
        <w:t>if</w:t>
      </w:r>
      <w:r>
        <w:rPr>
          <w:spacing w:val="-7"/>
        </w:rPr>
        <w:t> </w:t>
      </w:r>
      <w:r>
        <w:rPr/>
        <w:t>the</w:t>
      </w:r>
      <w:r>
        <w:rPr>
          <w:spacing w:val="-7"/>
        </w:rPr>
        <w:t> </w:t>
      </w:r>
      <w:r>
        <w:rPr/>
        <w:t>firm</w:t>
      </w:r>
      <w:r>
        <w:rPr>
          <w:spacing w:val="-7"/>
        </w:rPr>
        <w:t> </w:t>
      </w:r>
      <w:r>
        <w:rPr/>
        <w:t>falls</w:t>
      </w:r>
      <w:r>
        <w:rPr>
          <w:spacing w:val="-7"/>
        </w:rPr>
        <w:t> </w:t>
      </w:r>
      <w:r>
        <w:rPr/>
        <w:t>in</w:t>
      </w:r>
      <w:r>
        <w:rPr>
          <w:spacing w:val="-7"/>
        </w:rPr>
        <w:t> </w:t>
      </w:r>
      <w:r>
        <w:rPr/>
        <w:t>the</w:t>
      </w:r>
      <w:r>
        <w:rPr>
          <w:spacing w:val="-7"/>
        </w:rPr>
        <w:t> </w:t>
      </w:r>
      <w:r>
        <w:rPr/>
        <w:t>bottom</w:t>
      </w:r>
      <w:r>
        <w:rPr>
          <w:spacing w:val="-7"/>
        </w:rPr>
        <w:t> </w:t>
      </w:r>
      <w:r>
        <w:rPr/>
        <w:t>quartile</w:t>
      </w:r>
      <w:r>
        <w:rPr>
          <w:spacing w:val="-7"/>
        </w:rPr>
        <w:t> </w:t>
      </w:r>
      <w:r>
        <w:rPr/>
        <w:t>of</w:t>
      </w:r>
      <w:r>
        <w:rPr>
          <w:spacing w:val="-7"/>
        </w:rPr>
        <w:t> </w:t>
      </w:r>
      <w:r>
        <w:rPr/>
        <w:t>distribution of</w:t>
      </w:r>
      <w:r>
        <w:rPr>
          <w:spacing w:val="-14"/>
        </w:rPr>
        <w:t> </w:t>
      </w:r>
      <w:r>
        <w:rPr/>
        <w:t>Altman’s</w:t>
      </w:r>
      <w:r>
        <w:rPr>
          <w:spacing w:val="-14"/>
        </w:rPr>
        <w:t> </w:t>
      </w:r>
      <w:r>
        <w:rPr/>
        <w:t>Z-score</w:t>
      </w:r>
      <w:r>
        <w:rPr>
          <w:spacing w:val="-14"/>
        </w:rPr>
        <w:t> </w:t>
      </w:r>
      <w:r>
        <w:rPr/>
        <w:t>in</w:t>
      </w:r>
      <w:r>
        <w:rPr>
          <w:spacing w:val="-14"/>
        </w:rPr>
        <w:t> </w:t>
      </w:r>
      <w:r>
        <w:rPr/>
        <w:t>1993</w:t>
      </w:r>
      <w:r>
        <w:rPr>
          <w:spacing w:val="-14"/>
        </w:rPr>
        <w:t> </w:t>
      </w:r>
      <w:r>
        <w:rPr/>
        <w:t>and</w:t>
      </w:r>
      <w:r>
        <w:rPr>
          <w:spacing w:val="-14"/>
        </w:rPr>
        <w:t> </w:t>
      </w:r>
      <w:r>
        <w:rPr/>
        <w:t>0</w:t>
      </w:r>
      <w:r>
        <w:rPr>
          <w:spacing w:val="-14"/>
        </w:rPr>
        <w:t> </w:t>
      </w:r>
      <w:r>
        <w:rPr/>
        <w:t>otherwise.</w:t>
      </w:r>
      <w:r>
        <w:rPr>
          <w:spacing w:val="-14"/>
        </w:rPr>
        <w:t> </w:t>
      </w:r>
      <w:r>
        <w:rPr/>
        <w:t>Results</w:t>
      </w:r>
      <w:r>
        <w:rPr>
          <w:spacing w:val="-14"/>
        </w:rPr>
        <w:t> </w:t>
      </w:r>
      <w:r>
        <w:rPr/>
        <w:t>using</w:t>
      </w:r>
      <w:r>
        <w:rPr>
          <w:spacing w:val="-14"/>
        </w:rPr>
        <w:t> </w:t>
      </w:r>
      <w:r>
        <w:rPr/>
        <w:t>alternative</w:t>
      </w:r>
      <w:r>
        <w:rPr>
          <w:spacing w:val="-14"/>
        </w:rPr>
        <w:t> </w:t>
      </w:r>
      <w:r>
        <w:rPr/>
        <w:t>near insolvency measures remain generally consistent with those reported in table 4 except the one using </w:t>
      </w:r>
      <w:r>
        <w:rPr>
          <w:i/>
          <w:spacing w:val="-3"/>
        </w:rPr>
        <w:t>LALT93</w:t>
      </w:r>
      <w:r>
        <w:rPr>
          <w:spacing w:val="-3"/>
        </w:rPr>
        <w:t>, </w:t>
      </w:r>
      <w:r>
        <w:rPr/>
        <w:t>which is significant at a one-tailed test </w:t>
      </w:r>
      <w:r>
        <w:rPr>
          <w:spacing w:val="2"/>
        </w:rPr>
        <w:t>(</w:t>
      </w:r>
      <w:r>
        <w:rPr>
          <w:rFonts w:ascii="Verdana" w:hAnsi="Verdana"/>
          <w:i/>
          <w:spacing w:val="2"/>
        </w:rPr>
        <w:t>β</w:t>
      </w:r>
      <w:r>
        <w:rPr>
          <w:color w:val="231F20"/>
          <w:spacing w:val="2"/>
          <w:vertAlign w:val="subscript"/>
        </w:rPr>
        <w:t>7</w:t>
      </w:r>
      <w:r>
        <w:rPr>
          <w:color w:val="231F20"/>
          <w:spacing w:val="2"/>
          <w:vertAlign w:val="baseline"/>
        </w:rPr>
        <w:t> </w:t>
      </w:r>
      <w:r>
        <w:rPr>
          <w:rFonts w:ascii="Lucida Sans Unicode" w:hAnsi="Lucida Sans Unicode"/>
          <w:vertAlign w:val="baseline"/>
        </w:rPr>
        <w:t>= </w:t>
      </w:r>
      <w:r>
        <w:rPr>
          <w:vertAlign w:val="baseline"/>
        </w:rPr>
        <w:t>0.153, </w:t>
      </w:r>
      <w:r>
        <w:rPr>
          <w:i/>
          <w:vertAlign w:val="baseline"/>
        </w:rPr>
        <w:t>t</w:t>
      </w:r>
      <w:r>
        <w:rPr>
          <w:vertAlign w:val="baseline"/>
        </w:rPr>
        <w:t>-stat </w:t>
      </w:r>
      <w:r>
        <w:rPr>
          <w:rFonts w:ascii="Lucida Sans Unicode" w:hAnsi="Lucida Sans Unicode"/>
          <w:vertAlign w:val="baseline"/>
        </w:rPr>
        <w:t>=</w:t>
      </w:r>
      <w:r>
        <w:rPr>
          <w:rFonts w:ascii="Lucida Sans Unicode" w:hAnsi="Lucida Sans Unicode"/>
          <w:spacing w:val="-32"/>
          <w:vertAlign w:val="baseline"/>
        </w:rPr>
        <w:t> </w:t>
      </w:r>
      <w:r>
        <w:rPr>
          <w:vertAlign w:val="baseline"/>
        </w:rPr>
        <w:t>1.44).</w:t>
      </w:r>
    </w:p>
    <w:p>
      <w:pPr>
        <w:pStyle w:val="ListParagraph"/>
        <w:numPr>
          <w:ilvl w:val="1"/>
          <w:numId w:val="3"/>
        </w:numPr>
        <w:tabs>
          <w:tab w:pos="910" w:val="left" w:leader="none"/>
        </w:tabs>
        <w:spacing w:line="240" w:lineRule="auto" w:before="152" w:after="0"/>
        <w:ind w:left="532" w:right="0" w:firstLine="0"/>
        <w:jc w:val="left"/>
        <w:rPr>
          <w:sz w:val="16"/>
        </w:rPr>
      </w:pPr>
      <w:r>
        <w:rPr>
          <w:w w:val="105"/>
          <w:sz w:val="16"/>
        </w:rPr>
        <w:t>RESULTS</w:t>
      </w:r>
      <w:r>
        <w:rPr>
          <w:spacing w:val="10"/>
          <w:w w:val="105"/>
          <w:sz w:val="16"/>
        </w:rPr>
        <w:t> </w:t>
      </w:r>
      <w:r>
        <w:rPr>
          <w:w w:val="105"/>
          <w:sz w:val="16"/>
        </w:rPr>
        <w:t>ON</w:t>
      </w:r>
      <w:r>
        <w:rPr>
          <w:spacing w:val="10"/>
          <w:w w:val="105"/>
          <w:sz w:val="16"/>
        </w:rPr>
        <w:t> </w:t>
      </w:r>
      <w:r>
        <w:rPr>
          <w:w w:val="105"/>
          <w:sz w:val="16"/>
        </w:rPr>
        <w:t>THE</w:t>
      </w:r>
      <w:r>
        <w:rPr>
          <w:spacing w:val="10"/>
          <w:w w:val="105"/>
          <w:sz w:val="16"/>
        </w:rPr>
        <w:t> </w:t>
      </w:r>
      <w:r>
        <w:rPr>
          <w:w w:val="105"/>
          <w:sz w:val="16"/>
        </w:rPr>
        <w:t>ROLE</w:t>
      </w:r>
      <w:r>
        <w:rPr>
          <w:spacing w:val="10"/>
          <w:w w:val="105"/>
          <w:sz w:val="16"/>
        </w:rPr>
        <w:t> </w:t>
      </w:r>
      <w:r>
        <w:rPr>
          <w:w w:val="105"/>
          <w:sz w:val="16"/>
        </w:rPr>
        <w:t>OF</w:t>
      </w:r>
      <w:r>
        <w:rPr>
          <w:spacing w:val="10"/>
          <w:w w:val="105"/>
          <w:sz w:val="16"/>
        </w:rPr>
        <w:t> </w:t>
      </w:r>
      <w:r>
        <w:rPr>
          <w:w w:val="105"/>
          <w:sz w:val="16"/>
        </w:rPr>
        <w:t>BOARD</w:t>
      </w:r>
      <w:r>
        <w:rPr>
          <w:spacing w:val="10"/>
          <w:w w:val="105"/>
          <w:sz w:val="16"/>
        </w:rPr>
        <w:t> </w:t>
      </w:r>
      <w:r>
        <w:rPr>
          <w:w w:val="105"/>
          <w:sz w:val="16"/>
        </w:rPr>
        <w:t>CHARACTERISTICS</w:t>
      </w:r>
    </w:p>
    <w:p>
      <w:pPr>
        <w:pStyle w:val="BodyText"/>
        <w:spacing w:line="230" w:lineRule="auto" w:before="75"/>
        <w:ind w:left="532" w:right="149" w:firstLine="199"/>
        <w:jc w:val="both"/>
      </w:pPr>
      <w:r>
        <w:rPr/>
        <w:pict>
          <v:shape style="position:absolute;margin-left:113.25901pt;margin-top:160.452301pt;width:265.150pt;height:17.45pt;mso-position-horizontal-relative:page;mso-position-vertical-relative:paragraph;z-index:-68104" type="#_x0000_t202" filled="false" stroked="false">
            <v:textbox inset="0,0,0,0">
              <w:txbxContent>
                <w:p>
                  <w:pPr>
                    <w:pStyle w:val="BodyText"/>
                    <w:tabs>
                      <w:tab w:pos="5145"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213.902634pt;margin-top:148.500168pt;width:169.8pt;height:17.45pt;mso-position-horizontal-relative:page;mso-position-vertical-relative:paragraph;z-index:-68080" type="#_x0000_t202" filled="false" stroked="false">
            <v:textbox inset="0,0,0,0">
              <w:txbxContent>
                <w:p>
                  <w:pPr>
                    <w:pStyle w:val="BodyText"/>
                    <w:tabs>
                      <w:tab w:pos="518" w:val="left" w:leader="none"/>
                      <w:tab w:pos="3240"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pict>
          <v:shape style="position:absolute;margin-left:257.625488pt;margin-top:136.549377pt;width:7.85pt;height:17.45pt;mso-position-horizontal-relative:page;mso-position-vertical-relative:paragraph;z-index:-68056"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spacing w:val="-6"/>
        </w:rPr>
        <w:t>We </w:t>
      </w:r>
      <w:r>
        <w:rPr/>
        <w:t>use a single board governance measure </w:t>
      </w:r>
      <w:r>
        <w:rPr>
          <w:i/>
        </w:rPr>
        <w:t>BSCORE</w:t>
      </w:r>
      <w:r>
        <w:rPr/>
        <w:t>, which combines four</w:t>
      </w:r>
      <w:r>
        <w:rPr>
          <w:spacing w:val="-8"/>
        </w:rPr>
        <w:t> </w:t>
      </w:r>
      <w:r>
        <w:rPr/>
        <w:t>dimensional</w:t>
      </w:r>
      <w:r>
        <w:rPr>
          <w:spacing w:val="-8"/>
        </w:rPr>
        <w:t> </w:t>
      </w:r>
      <w:r>
        <w:rPr/>
        <w:t>board</w:t>
      </w:r>
      <w:r>
        <w:rPr>
          <w:spacing w:val="-8"/>
        </w:rPr>
        <w:t> </w:t>
      </w:r>
      <w:r>
        <w:rPr/>
        <w:t>characteristics</w:t>
      </w:r>
      <w:r>
        <w:rPr>
          <w:spacing w:val="-8"/>
        </w:rPr>
        <w:t> </w:t>
      </w:r>
      <w:r>
        <w:rPr/>
        <w:t>to</w:t>
      </w:r>
      <w:r>
        <w:rPr>
          <w:spacing w:val="-8"/>
        </w:rPr>
        <w:t> </w:t>
      </w:r>
      <w:r>
        <w:rPr/>
        <w:t>explore</w:t>
      </w:r>
      <w:r>
        <w:rPr>
          <w:spacing w:val="-8"/>
        </w:rPr>
        <w:t> </w:t>
      </w:r>
      <w:r>
        <w:rPr/>
        <w:t>the</w:t>
      </w:r>
      <w:r>
        <w:rPr>
          <w:spacing w:val="-8"/>
        </w:rPr>
        <w:t> </w:t>
      </w:r>
      <w:r>
        <w:rPr/>
        <w:t>effect</w:t>
      </w:r>
      <w:r>
        <w:rPr>
          <w:spacing w:val="-7"/>
        </w:rPr>
        <w:t> </w:t>
      </w:r>
      <w:r>
        <w:rPr/>
        <w:t>of</w:t>
      </w:r>
      <w:r>
        <w:rPr>
          <w:spacing w:val="-8"/>
        </w:rPr>
        <w:t> </w:t>
      </w:r>
      <w:r>
        <w:rPr/>
        <w:t>board</w:t>
      </w:r>
      <w:r>
        <w:rPr>
          <w:spacing w:val="-8"/>
        </w:rPr>
        <w:t> </w:t>
      </w:r>
      <w:r>
        <w:rPr/>
        <w:t>char- acteristics</w:t>
      </w:r>
      <w:r>
        <w:rPr>
          <w:spacing w:val="-6"/>
        </w:rPr>
        <w:t> </w:t>
      </w:r>
      <w:r>
        <w:rPr/>
        <w:t>on</w:t>
      </w:r>
      <w:r>
        <w:rPr>
          <w:spacing w:val="-6"/>
        </w:rPr>
        <w:t> </w:t>
      </w:r>
      <w:r>
        <w:rPr/>
        <w:t>conservatism</w:t>
      </w:r>
      <w:r>
        <w:rPr>
          <w:spacing w:val="-6"/>
        </w:rPr>
        <w:t> </w:t>
      </w:r>
      <w:r>
        <w:rPr/>
        <w:t>in</w:t>
      </w:r>
      <w:r>
        <w:rPr>
          <w:spacing w:val="-6"/>
        </w:rPr>
        <w:t> </w:t>
      </w:r>
      <w:r>
        <w:rPr/>
        <w:t>the</w:t>
      </w:r>
      <w:r>
        <w:rPr>
          <w:spacing w:val="-6"/>
        </w:rPr>
        <w:t> </w:t>
      </w:r>
      <w:r>
        <w:rPr/>
        <w:t>post-ruling</w:t>
      </w:r>
      <w:r>
        <w:rPr>
          <w:spacing w:val="-6"/>
        </w:rPr>
        <w:t> </w:t>
      </w:r>
      <w:r>
        <w:rPr/>
        <w:t>period</w:t>
      </w:r>
      <w:r>
        <w:rPr>
          <w:spacing w:val="-6"/>
        </w:rPr>
        <w:t> </w:t>
      </w:r>
      <w:r>
        <w:rPr/>
        <w:t>because</w:t>
      </w:r>
      <w:r>
        <w:rPr>
          <w:spacing w:val="-6"/>
        </w:rPr>
        <w:t> </w:t>
      </w:r>
      <w:r>
        <w:rPr/>
        <w:t>biographical information on directors is available to us only for years 1993–1996 (re- sults reported in table 5). </w:t>
      </w:r>
      <w:r>
        <w:rPr>
          <w:spacing w:val="-6"/>
        </w:rPr>
        <w:t>We </w:t>
      </w:r>
      <w:r>
        <w:rPr/>
        <w:t>start our analysis in this subsample with</w:t>
      </w:r>
      <w:r>
        <w:rPr>
          <w:spacing w:val="-31"/>
        </w:rPr>
        <w:t> </w:t>
      </w:r>
      <w:r>
        <w:rPr/>
        <w:t>the baseline regression without board measures, and the result in column (i) suggests</w:t>
      </w:r>
      <w:r>
        <w:rPr>
          <w:spacing w:val="-7"/>
        </w:rPr>
        <w:t> </w:t>
      </w:r>
      <w:r>
        <w:rPr/>
        <w:t>that,</w:t>
      </w:r>
      <w:r>
        <w:rPr>
          <w:spacing w:val="-7"/>
        </w:rPr>
        <w:t> </w:t>
      </w:r>
      <w:r>
        <w:rPr/>
        <w:t>in</w:t>
      </w:r>
      <w:r>
        <w:rPr>
          <w:spacing w:val="-7"/>
        </w:rPr>
        <w:t> </w:t>
      </w:r>
      <w:r>
        <w:rPr/>
        <w:t>the</w:t>
      </w:r>
      <w:r>
        <w:rPr>
          <w:spacing w:val="-7"/>
        </w:rPr>
        <w:t> </w:t>
      </w:r>
      <w:r>
        <w:rPr/>
        <w:t>post-ruling</w:t>
      </w:r>
      <w:r>
        <w:rPr>
          <w:spacing w:val="-7"/>
        </w:rPr>
        <w:t> </w:t>
      </w:r>
      <w:r>
        <w:rPr/>
        <w:t>period,</w:t>
      </w:r>
      <w:r>
        <w:rPr>
          <w:spacing w:val="-7"/>
        </w:rPr>
        <w:t> </w:t>
      </w:r>
      <w:r>
        <w:rPr/>
        <w:t>the</w:t>
      </w:r>
      <w:r>
        <w:rPr>
          <w:spacing w:val="-7"/>
        </w:rPr>
        <w:t> </w:t>
      </w:r>
      <w:r>
        <w:rPr/>
        <w:t>difference</w:t>
      </w:r>
      <w:r>
        <w:rPr>
          <w:spacing w:val="-7"/>
        </w:rPr>
        <w:t> </w:t>
      </w:r>
      <w:r>
        <w:rPr/>
        <w:t>in</w:t>
      </w:r>
      <w:r>
        <w:rPr>
          <w:spacing w:val="-7"/>
        </w:rPr>
        <w:t> </w:t>
      </w:r>
      <w:r>
        <w:rPr/>
        <w:t>conservatism</w:t>
      </w:r>
      <w:r>
        <w:rPr>
          <w:spacing w:val="-7"/>
        </w:rPr>
        <w:t> </w:t>
      </w:r>
      <w:r>
        <w:rPr/>
        <w:t>be- tween</w:t>
      </w:r>
      <w:r>
        <w:rPr>
          <w:spacing w:val="-12"/>
        </w:rPr>
        <w:t> </w:t>
      </w:r>
      <w:r>
        <w:rPr/>
        <w:t>near</w:t>
      </w:r>
      <w:r>
        <w:rPr>
          <w:spacing w:val="-12"/>
        </w:rPr>
        <w:t> </w:t>
      </w:r>
      <w:r>
        <w:rPr/>
        <w:t>insolvent</w:t>
      </w:r>
      <w:r>
        <w:rPr>
          <w:spacing w:val="-12"/>
        </w:rPr>
        <w:t> </w:t>
      </w:r>
      <w:r>
        <w:rPr/>
        <w:t>and</w:t>
      </w:r>
      <w:r>
        <w:rPr>
          <w:spacing w:val="-12"/>
        </w:rPr>
        <w:t> </w:t>
      </w:r>
      <w:r>
        <w:rPr/>
        <w:t>not</w:t>
      </w:r>
      <w:r>
        <w:rPr>
          <w:spacing w:val="-12"/>
        </w:rPr>
        <w:t> </w:t>
      </w:r>
      <w:r>
        <w:rPr/>
        <w:t>near</w:t>
      </w:r>
      <w:r>
        <w:rPr>
          <w:spacing w:val="-12"/>
        </w:rPr>
        <w:t> </w:t>
      </w:r>
      <w:r>
        <w:rPr/>
        <w:t>insolvent</w:t>
      </w:r>
      <w:r>
        <w:rPr>
          <w:spacing w:val="-12"/>
        </w:rPr>
        <w:t> </w:t>
      </w:r>
      <w:r>
        <w:rPr/>
        <w:t>firms</w:t>
      </w:r>
      <w:r>
        <w:rPr>
          <w:spacing w:val="-12"/>
        </w:rPr>
        <w:t> </w:t>
      </w:r>
      <w:r>
        <w:rPr/>
        <w:t>is</w:t>
      </w:r>
      <w:r>
        <w:rPr>
          <w:spacing w:val="-12"/>
        </w:rPr>
        <w:t> </w:t>
      </w:r>
      <w:r>
        <w:rPr/>
        <w:t>larger</w:t>
      </w:r>
      <w:r>
        <w:rPr>
          <w:spacing w:val="-12"/>
        </w:rPr>
        <w:t> </w:t>
      </w:r>
      <w:r>
        <w:rPr/>
        <w:t>for</w:t>
      </w:r>
      <w:r>
        <w:rPr>
          <w:spacing w:val="-12"/>
        </w:rPr>
        <w:t> </w:t>
      </w:r>
      <w:r>
        <w:rPr/>
        <w:t>firms</w:t>
      </w:r>
      <w:r>
        <w:rPr>
          <w:spacing w:val="-12"/>
        </w:rPr>
        <w:t> </w:t>
      </w:r>
      <w:r>
        <w:rPr/>
        <w:t>incor- porated in Delaware than those incorporated elsewhere. Column (ii) in table 5 presents the main result of model (2), and column (iii) further in- cludes</w:t>
      </w:r>
      <w:r>
        <w:rPr>
          <w:spacing w:val="-7"/>
        </w:rPr>
        <w:t> </w:t>
      </w:r>
      <w:r>
        <w:rPr/>
        <w:t>the</w:t>
      </w:r>
      <w:r>
        <w:rPr>
          <w:spacing w:val="-7"/>
        </w:rPr>
        <w:t> </w:t>
      </w:r>
      <w:r>
        <w:rPr/>
        <w:t>interaction</w:t>
      </w:r>
      <w:r>
        <w:rPr>
          <w:spacing w:val="-7"/>
        </w:rPr>
        <w:t> </w:t>
      </w:r>
      <w:r>
        <w:rPr/>
        <w:t>terms</w:t>
      </w:r>
      <w:r>
        <w:rPr>
          <w:spacing w:val="-7"/>
        </w:rPr>
        <w:t> </w:t>
      </w:r>
      <w:r>
        <w:rPr/>
        <w:t>of</w:t>
      </w:r>
      <w:r>
        <w:rPr>
          <w:spacing w:val="-7"/>
        </w:rPr>
        <w:t> </w:t>
      </w:r>
      <w:r>
        <w:rPr/>
        <w:t>firm</w:t>
      </w:r>
      <w:r>
        <w:rPr>
          <w:spacing w:val="-7"/>
        </w:rPr>
        <w:t> </w:t>
      </w:r>
      <w:r>
        <w:rPr/>
        <w:t>characteristics</w:t>
      </w:r>
      <w:r>
        <w:rPr>
          <w:spacing w:val="-7"/>
        </w:rPr>
        <w:t> </w:t>
      </w:r>
      <w:r>
        <w:rPr/>
        <w:t>with</w:t>
      </w:r>
      <w:r>
        <w:rPr>
          <w:spacing w:val="-7"/>
        </w:rPr>
        <w:t> </w:t>
      </w:r>
      <w:r>
        <w:rPr/>
        <w:t>the</w:t>
      </w:r>
      <w:r>
        <w:rPr>
          <w:spacing w:val="-7"/>
        </w:rPr>
        <w:t> </w:t>
      </w:r>
      <w:r>
        <w:rPr/>
        <w:t>ruling-related variables, i.e., </w:t>
      </w:r>
      <w:r>
        <w:rPr>
          <w:i/>
        </w:rPr>
        <w:t>DEL</w:t>
      </w:r>
      <w:r>
        <w:rPr/>
        <w:t>, </w:t>
      </w:r>
      <w:r>
        <w:rPr>
          <w:i/>
        </w:rPr>
        <w:t>HEDF93</w:t>
      </w:r>
      <w:r>
        <w:rPr/>
        <w:t>, and </w:t>
      </w:r>
      <w:r>
        <w:rPr>
          <w:i/>
        </w:rPr>
        <w:t>DEL HEDF93</w:t>
      </w:r>
      <w:r>
        <w:rPr/>
        <w:t>. The positive and</w:t>
      </w:r>
      <w:r>
        <w:rPr>
          <w:spacing w:val="-6"/>
        </w:rPr>
        <w:t> </w:t>
      </w:r>
      <w:r>
        <w:rPr/>
        <w:t>signifi- cant coefficient on </w:t>
      </w:r>
      <w:r>
        <w:rPr>
          <w:i/>
        </w:rPr>
        <w:t>BSCORE  DEL  HEDF93 </w:t>
      </w:r>
      <w:r>
        <w:rPr/>
        <w:t>in column (iii) </w:t>
      </w:r>
      <w:r>
        <w:rPr>
          <w:spacing w:val="3"/>
        </w:rPr>
        <w:t>(</w:t>
      </w:r>
      <w:r>
        <w:rPr>
          <w:rFonts w:ascii="Verdana" w:hAnsi="Verdana"/>
          <w:i/>
          <w:spacing w:val="3"/>
        </w:rPr>
        <w:t>β</w:t>
      </w:r>
      <w:r>
        <w:rPr>
          <w:color w:val="231F20"/>
          <w:spacing w:val="3"/>
          <w:vertAlign w:val="subscript"/>
        </w:rPr>
        <w:t>7</w:t>
      </w:r>
      <w:r>
        <w:rPr>
          <w:color w:val="231F20"/>
          <w:spacing w:val="3"/>
          <w:vertAlign w:val="baseline"/>
        </w:rPr>
        <w:t>  </w:t>
      </w:r>
      <w:r>
        <w:rPr>
          <w:vertAlign w:val="baseline"/>
        </w:rPr>
        <w:t>0.397,  </w:t>
      </w:r>
      <w:r>
        <w:rPr>
          <w:i/>
          <w:vertAlign w:val="baseline"/>
        </w:rPr>
        <w:t>t</w:t>
      </w:r>
      <w:r>
        <w:rPr>
          <w:vertAlign w:val="baseline"/>
        </w:rPr>
        <w:t>-stat 2.39) combined with the insignificant coefficient on </w:t>
      </w:r>
      <w:r>
        <w:rPr>
          <w:i/>
          <w:vertAlign w:val="baseline"/>
        </w:rPr>
        <w:t>DEL HEDF93 </w:t>
      </w:r>
      <w:r>
        <w:rPr>
          <w:vertAlign w:val="baseline"/>
        </w:rPr>
        <w:t>indicates that the higher post-ruling conservatism level in near insolvent Delaware</w:t>
      </w:r>
      <w:r>
        <w:rPr>
          <w:spacing w:val="-12"/>
          <w:vertAlign w:val="baseline"/>
        </w:rPr>
        <w:t> </w:t>
      </w:r>
      <w:r>
        <w:rPr>
          <w:vertAlign w:val="baseline"/>
        </w:rPr>
        <w:t>firms</w:t>
      </w:r>
      <w:r>
        <w:rPr>
          <w:spacing w:val="-12"/>
          <w:vertAlign w:val="baseline"/>
        </w:rPr>
        <w:t> </w:t>
      </w:r>
      <w:r>
        <w:rPr>
          <w:vertAlign w:val="baseline"/>
        </w:rPr>
        <w:t>is</w:t>
      </w:r>
      <w:r>
        <w:rPr>
          <w:spacing w:val="-12"/>
          <w:vertAlign w:val="baseline"/>
        </w:rPr>
        <w:t> </w:t>
      </w:r>
      <w:r>
        <w:rPr>
          <w:vertAlign w:val="baseline"/>
        </w:rPr>
        <w:t>driven</w:t>
      </w:r>
      <w:r>
        <w:rPr>
          <w:spacing w:val="-12"/>
          <w:vertAlign w:val="baseline"/>
        </w:rPr>
        <w:t> </w:t>
      </w:r>
      <w:r>
        <w:rPr>
          <w:vertAlign w:val="baseline"/>
        </w:rPr>
        <w:t>by</w:t>
      </w:r>
      <w:r>
        <w:rPr>
          <w:spacing w:val="-12"/>
          <w:vertAlign w:val="baseline"/>
        </w:rPr>
        <w:t> </w:t>
      </w:r>
      <w:r>
        <w:rPr>
          <w:vertAlign w:val="baseline"/>
        </w:rPr>
        <w:t>firms</w:t>
      </w:r>
      <w:r>
        <w:rPr>
          <w:spacing w:val="-12"/>
          <w:vertAlign w:val="baseline"/>
        </w:rPr>
        <w:t> </w:t>
      </w:r>
      <w:r>
        <w:rPr>
          <w:vertAlign w:val="baseline"/>
        </w:rPr>
        <w:t>with</w:t>
      </w:r>
      <w:r>
        <w:rPr>
          <w:spacing w:val="-12"/>
          <w:vertAlign w:val="baseline"/>
        </w:rPr>
        <w:t> </w:t>
      </w:r>
      <w:r>
        <w:rPr>
          <w:vertAlign w:val="baseline"/>
        </w:rPr>
        <w:t>stronger</w:t>
      </w:r>
      <w:r>
        <w:rPr>
          <w:spacing w:val="-12"/>
          <w:vertAlign w:val="baseline"/>
        </w:rPr>
        <w:t> </w:t>
      </w:r>
      <w:r>
        <w:rPr>
          <w:vertAlign w:val="baseline"/>
        </w:rPr>
        <w:t>boards.</w:t>
      </w:r>
      <w:r>
        <w:rPr>
          <w:spacing w:val="-12"/>
          <w:vertAlign w:val="baseline"/>
        </w:rPr>
        <w:t> </w:t>
      </w:r>
      <w:r>
        <w:rPr>
          <w:vertAlign w:val="baseline"/>
        </w:rPr>
        <w:t>In</w:t>
      </w:r>
      <w:r>
        <w:rPr>
          <w:spacing w:val="-12"/>
          <w:vertAlign w:val="baseline"/>
        </w:rPr>
        <w:t> </w:t>
      </w:r>
      <w:r>
        <w:rPr>
          <w:vertAlign w:val="baseline"/>
        </w:rPr>
        <w:t>a</w:t>
      </w:r>
      <w:r>
        <w:rPr>
          <w:spacing w:val="-12"/>
          <w:vertAlign w:val="baseline"/>
        </w:rPr>
        <w:t> </w:t>
      </w:r>
      <w:r>
        <w:rPr>
          <w:vertAlign w:val="baseline"/>
        </w:rPr>
        <w:t>supplemental analysis</w:t>
      </w:r>
      <w:r>
        <w:rPr>
          <w:spacing w:val="-16"/>
          <w:vertAlign w:val="baseline"/>
        </w:rPr>
        <w:t> </w:t>
      </w:r>
      <w:r>
        <w:rPr>
          <w:vertAlign w:val="baseline"/>
        </w:rPr>
        <w:t>tabulated</w:t>
      </w:r>
      <w:r>
        <w:rPr>
          <w:spacing w:val="-16"/>
          <w:vertAlign w:val="baseline"/>
        </w:rPr>
        <w:t> </w:t>
      </w:r>
      <w:r>
        <w:rPr>
          <w:vertAlign w:val="baseline"/>
        </w:rPr>
        <w:t>in</w:t>
      </w:r>
      <w:r>
        <w:rPr>
          <w:spacing w:val="-16"/>
          <w:vertAlign w:val="baseline"/>
        </w:rPr>
        <w:t> </w:t>
      </w:r>
      <w:r>
        <w:rPr>
          <w:vertAlign w:val="baseline"/>
        </w:rPr>
        <w:t>online</w:t>
      </w:r>
      <w:r>
        <w:rPr>
          <w:spacing w:val="-16"/>
          <w:vertAlign w:val="baseline"/>
        </w:rPr>
        <w:t> </w:t>
      </w:r>
      <w:r>
        <w:rPr>
          <w:vertAlign w:val="baseline"/>
        </w:rPr>
        <w:t>appendix</w:t>
      </w:r>
      <w:r>
        <w:rPr>
          <w:spacing w:val="-16"/>
          <w:vertAlign w:val="baseline"/>
        </w:rPr>
        <w:t> </w:t>
      </w:r>
      <w:r>
        <w:rPr>
          <w:vertAlign w:val="baseline"/>
        </w:rPr>
        <w:t>table</w:t>
      </w:r>
      <w:r>
        <w:rPr>
          <w:spacing w:val="-16"/>
          <w:vertAlign w:val="baseline"/>
        </w:rPr>
        <w:t> </w:t>
      </w:r>
      <w:r>
        <w:rPr>
          <w:vertAlign w:val="baseline"/>
        </w:rPr>
        <w:t>A7,</w:t>
      </w:r>
      <w:r>
        <w:rPr>
          <w:spacing w:val="-16"/>
          <w:vertAlign w:val="baseline"/>
        </w:rPr>
        <w:t> </w:t>
      </w:r>
      <w:r>
        <w:rPr>
          <w:vertAlign w:val="baseline"/>
        </w:rPr>
        <w:t>we</w:t>
      </w:r>
      <w:r>
        <w:rPr>
          <w:spacing w:val="-16"/>
          <w:vertAlign w:val="baseline"/>
        </w:rPr>
        <w:t> </w:t>
      </w:r>
      <w:r>
        <w:rPr>
          <w:vertAlign w:val="baseline"/>
        </w:rPr>
        <w:t>provide</w:t>
      </w:r>
      <w:r>
        <w:rPr>
          <w:spacing w:val="-16"/>
          <w:vertAlign w:val="baseline"/>
        </w:rPr>
        <w:t> </w:t>
      </w:r>
      <w:r>
        <w:rPr>
          <w:vertAlign w:val="baseline"/>
        </w:rPr>
        <w:t>evidence</w:t>
      </w:r>
      <w:r>
        <w:rPr>
          <w:spacing w:val="-15"/>
          <w:vertAlign w:val="baseline"/>
        </w:rPr>
        <w:t> </w:t>
      </w:r>
      <w:r>
        <w:rPr>
          <w:vertAlign w:val="baseline"/>
        </w:rPr>
        <w:t>on</w:t>
      </w:r>
      <w:r>
        <w:rPr>
          <w:spacing w:val="-16"/>
          <w:vertAlign w:val="baseline"/>
        </w:rPr>
        <w:t> </w:t>
      </w:r>
      <w:r>
        <w:rPr>
          <w:vertAlign w:val="baseline"/>
        </w:rPr>
        <w:t>di- mensional</w:t>
      </w:r>
      <w:r>
        <w:rPr>
          <w:spacing w:val="-18"/>
          <w:vertAlign w:val="baseline"/>
        </w:rPr>
        <w:t> </w:t>
      </w:r>
      <w:r>
        <w:rPr>
          <w:vertAlign w:val="baseline"/>
        </w:rPr>
        <w:t>measures</w:t>
      </w:r>
      <w:r>
        <w:rPr>
          <w:spacing w:val="-18"/>
          <w:vertAlign w:val="baseline"/>
        </w:rPr>
        <w:t> </w:t>
      </w:r>
      <w:r>
        <w:rPr>
          <w:vertAlign w:val="baseline"/>
        </w:rPr>
        <w:t>of</w:t>
      </w:r>
      <w:r>
        <w:rPr>
          <w:spacing w:val="-18"/>
          <w:vertAlign w:val="baseline"/>
        </w:rPr>
        <w:t> </w:t>
      </w:r>
      <w:r>
        <w:rPr>
          <w:vertAlign w:val="baseline"/>
        </w:rPr>
        <w:t>board</w:t>
      </w:r>
      <w:r>
        <w:rPr>
          <w:spacing w:val="-18"/>
          <w:vertAlign w:val="baseline"/>
        </w:rPr>
        <w:t> </w:t>
      </w:r>
      <w:r>
        <w:rPr>
          <w:vertAlign w:val="baseline"/>
        </w:rPr>
        <w:t>strength</w:t>
      </w:r>
      <w:r>
        <w:rPr>
          <w:spacing w:val="-18"/>
          <w:vertAlign w:val="baseline"/>
        </w:rPr>
        <w:t> </w:t>
      </w:r>
      <w:r>
        <w:rPr>
          <w:vertAlign w:val="baseline"/>
        </w:rPr>
        <w:t>and</w:t>
      </w:r>
      <w:r>
        <w:rPr>
          <w:spacing w:val="-18"/>
          <w:vertAlign w:val="baseline"/>
        </w:rPr>
        <w:t> </w:t>
      </w:r>
      <w:r>
        <w:rPr>
          <w:vertAlign w:val="baseline"/>
        </w:rPr>
        <w:t>find</w:t>
      </w:r>
      <w:r>
        <w:rPr>
          <w:spacing w:val="-18"/>
          <w:vertAlign w:val="baseline"/>
        </w:rPr>
        <w:t> </w:t>
      </w:r>
      <w:r>
        <w:rPr>
          <w:vertAlign w:val="baseline"/>
        </w:rPr>
        <w:t>that</w:t>
      </w:r>
      <w:r>
        <w:rPr>
          <w:spacing w:val="-18"/>
          <w:vertAlign w:val="baseline"/>
        </w:rPr>
        <w:t> </w:t>
      </w:r>
      <w:r>
        <w:rPr>
          <w:rFonts w:ascii="Verdana" w:hAnsi="Verdana"/>
          <w:i/>
          <w:spacing w:val="5"/>
          <w:vertAlign w:val="baseline"/>
        </w:rPr>
        <w:t>β</w:t>
      </w:r>
      <w:r>
        <w:rPr>
          <w:color w:val="231F20"/>
          <w:spacing w:val="5"/>
          <w:vertAlign w:val="subscript"/>
        </w:rPr>
        <w:t>7</w:t>
      </w:r>
      <w:r>
        <w:rPr>
          <w:color w:val="231F20"/>
          <w:spacing w:val="-24"/>
          <w:vertAlign w:val="baseline"/>
        </w:rPr>
        <w:t> </w:t>
      </w:r>
      <w:r>
        <w:rPr>
          <w:vertAlign w:val="baseline"/>
        </w:rPr>
        <w:t>is</w:t>
      </w:r>
      <w:r>
        <w:rPr>
          <w:spacing w:val="-18"/>
          <w:vertAlign w:val="baseline"/>
        </w:rPr>
        <w:t> </w:t>
      </w:r>
      <w:r>
        <w:rPr>
          <w:vertAlign w:val="baseline"/>
        </w:rPr>
        <w:t>similarly</w:t>
      </w:r>
      <w:r>
        <w:rPr>
          <w:spacing w:val="-18"/>
          <w:vertAlign w:val="baseline"/>
        </w:rPr>
        <w:t> </w:t>
      </w:r>
      <w:r>
        <w:rPr>
          <w:vertAlign w:val="baseline"/>
        </w:rPr>
        <w:t>positive and</w:t>
      </w:r>
      <w:r>
        <w:rPr>
          <w:spacing w:val="-13"/>
          <w:vertAlign w:val="baseline"/>
        </w:rPr>
        <w:t> </w:t>
      </w:r>
      <w:r>
        <w:rPr>
          <w:vertAlign w:val="baseline"/>
        </w:rPr>
        <w:t>significant</w:t>
      </w:r>
      <w:r>
        <w:rPr>
          <w:spacing w:val="-13"/>
          <w:vertAlign w:val="baseline"/>
        </w:rPr>
        <w:t> </w:t>
      </w:r>
      <w:r>
        <w:rPr>
          <w:vertAlign w:val="baseline"/>
        </w:rPr>
        <w:t>at</w:t>
      </w:r>
      <w:r>
        <w:rPr>
          <w:spacing w:val="-13"/>
          <w:vertAlign w:val="baseline"/>
        </w:rPr>
        <w:t> </w:t>
      </w:r>
      <w:r>
        <w:rPr>
          <w:vertAlign w:val="baseline"/>
        </w:rPr>
        <w:t>conventional</w:t>
      </w:r>
      <w:r>
        <w:rPr>
          <w:spacing w:val="-13"/>
          <w:vertAlign w:val="baseline"/>
        </w:rPr>
        <w:t> </w:t>
      </w:r>
      <w:r>
        <w:rPr>
          <w:vertAlign w:val="baseline"/>
        </w:rPr>
        <w:t>levels</w:t>
      </w:r>
      <w:r>
        <w:rPr>
          <w:spacing w:val="-13"/>
          <w:vertAlign w:val="baseline"/>
        </w:rPr>
        <w:t> </w:t>
      </w:r>
      <w:r>
        <w:rPr>
          <w:vertAlign w:val="baseline"/>
        </w:rPr>
        <w:t>for</w:t>
      </w:r>
      <w:r>
        <w:rPr>
          <w:spacing w:val="-13"/>
          <w:vertAlign w:val="baseline"/>
        </w:rPr>
        <w:t> </w:t>
      </w:r>
      <w:r>
        <w:rPr>
          <w:vertAlign w:val="baseline"/>
        </w:rPr>
        <w:t>all</w:t>
      </w:r>
      <w:r>
        <w:rPr>
          <w:spacing w:val="-13"/>
          <w:vertAlign w:val="baseline"/>
        </w:rPr>
        <w:t> </w:t>
      </w:r>
      <w:r>
        <w:rPr>
          <w:vertAlign w:val="baseline"/>
        </w:rPr>
        <w:t>board</w:t>
      </w:r>
      <w:r>
        <w:rPr>
          <w:spacing w:val="-13"/>
          <w:vertAlign w:val="baseline"/>
        </w:rPr>
        <w:t> </w:t>
      </w:r>
      <w:r>
        <w:rPr>
          <w:vertAlign w:val="baseline"/>
        </w:rPr>
        <w:t>measures</w:t>
      </w:r>
      <w:r>
        <w:rPr>
          <w:spacing w:val="-13"/>
          <w:vertAlign w:val="baseline"/>
        </w:rPr>
        <w:t> </w:t>
      </w:r>
      <w:r>
        <w:rPr>
          <w:vertAlign w:val="baseline"/>
        </w:rPr>
        <w:t>except</w:t>
      </w:r>
      <w:r>
        <w:rPr>
          <w:spacing w:val="-13"/>
          <w:vertAlign w:val="baseline"/>
        </w:rPr>
        <w:t> </w:t>
      </w:r>
      <w:r>
        <w:rPr>
          <w:vertAlign w:val="baseline"/>
        </w:rPr>
        <w:t>indus- try</w:t>
      </w:r>
      <w:r>
        <w:rPr>
          <w:spacing w:val="8"/>
          <w:vertAlign w:val="baseline"/>
        </w:rPr>
        <w:t> </w:t>
      </w:r>
      <w:r>
        <w:rPr>
          <w:vertAlign w:val="baseline"/>
        </w:rPr>
        <w:t>expertise,</w:t>
      </w:r>
      <w:r>
        <w:rPr>
          <w:spacing w:val="8"/>
          <w:vertAlign w:val="baseline"/>
        </w:rPr>
        <w:t> </w:t>
      </w:r>
      <w:r>
        <w:rPr>
          <w:vertAlign w:val="baseline"/>
        </w:rPr>
        <w:t>the</w:t>
      </w:r>
      <w:r>
        <w:rPr>
          <w:spacing w:val="8"/>
          <w:vertAlign w:val="baseline"/>
        </w:rPr>
        <w:t> </w:t>
      </w:r>
      <w:r>
        <w:rPr>
          <w:vertAlign w:val="baseline"/>
        </w:rPr>
        <w:t>result</w:t>
      </w:r>
      <w:r>
        <w:rPr>
          <w:spacing w:val="8"/>
          <w:vertAlign w:val="baseline"/>
        </w:rPr>
        <w:t> </w:t>
      </w:r>
      <w:r>
        <w:rPr>
          <w:vertAlign w:val="baseline"/>
        </w:rPr>
        <w:t>of</w:t>
      </w:r>
      <w:r>
        <w:rPr>
          <w:spacing w:val="8"/>
          <w:vertAlign w:val="baseline"/>
        </w:rPr>
        <w:t> </w:t>
      </w:r>
      <w:r>
        <w:rPr>
          <w:vertAlign w:val="baseline"/>
        </w:rPr>
        <w:t>which</w:t>
      </w:r>
      <w:r>
        <w:rPr>
          <w:spacing w:val="8"/>
          <w:vertAlign w:val="baseline"/>
        </w:rPr>
        <w:t> </w:t>
      </w:r>
      <w:r>
        <w:rPr>
          <w:vertAlign w:val="baseline"/>
        </w:rPr>
        <w:t>is</w:t>
      </w:r>
      <w:r>
        <w:rPr>
          <w:spacing w:val="8"/>
          <w:vertAlign w:val="baseline"/>
        </w:rPr>
        <w:t> </w:t>
      </w:r>
      <w:r>
        <w:rPr>
          <w:vertAlign w:val="baseline"/>
        </w:rPr>
        <w:t>marginally</w:t>
      </w:r>
      <w:r>
        <w:rPr>
          <w:spacing w:val="8"/>
          <w:vertAlign w:val="baseline"/>
        </w:rPr>
        <w:t> </w:t>
      </w:r>
      <w:r>
        <w:rPr>
          <w:vertAlign w:val="baseline"/>
        </w:rPr>
        <w:t>significant</w:t>
      </w:r>
      <w:r>
        <w:rPr>
          <w:spacing w:val="8"/>
          <w:vertAlign w:val="baseline"/>
        </w:rPr>
        <w:t> </w:t>
      </w:r>
      <w:r>
        <w:rPr>
          <w:vertAlign w:val="baseline"/>
        </w:rPr>
        <w:t>in</w:t>
      </w:r>
      <w:r>
        <w:rPr>
          <w:spacing w:val="8"/>
          <w:vertAlign w:val="baseline"/>
        </w:rPr>
        <w:t> </w:t>
      </w:r>
      <w:r>
        <w:rPr>
          <w:vertAlign w:val="baseline"/>
        </w:rPr>
        <w:t>a</w:t>
      </w:r>
      <w:r>
        <w:rPr>
          <w:spacing w:val="8"/>
          <w:vertAlign w:val="baseline"/>
        </w:rPr>
        <w:t> </w:t>
      </w:r>
      <w:r>
        <w:rPr>
          <w:vertAlign w:val="baseline"/>
        </w:rPr>
        <w:t>one-tailed</w:t>
      </w:r>
    </w:p>
    <w:p>
      <w:pPr>
        <w:pStyle w:val="BodyText"/>
      </w:pPr>
    </w:p>
    <w:p>
      <w:pPr>
        <w:pStyle w:val="BodyText"/>
        <w:spacing w:before="3"/>
        <w:rPr>
          <w:sz w:val="10"/>
        </w:rPr>
      </w:pPr>
      <w:r>
        <w:rPr/>
        <w:pict>
          <v:line style="position:absolute;mso-position-horizontal-relative:page;mso-position-vertical-relative:paragraph;z-index:3592;mso-wrap-distance-left:0;mso-wrap-distance-right:0" from="90.629997pt,8.660690pt" to="126.503997pt,8.660690pt" stroked="true" strokeweight=".504pt" strokecolor="#000000">
            <v:stroke dashstyle="solid"/>
            <w10:wrap type="topAndBottom"/>
          </v:line>
        </w:pict>
      </w:r>
    </w:p>
    <w:p>
      <w:pPr>
        <w:spacing w:before="92"/>
        <w:ind w:left="532" w:right="148" w:firstLine="0"/>
        <w:jc w:val="both"/>
        <w:rPr>
          <w:sz w:val="16"/>
        </w:rPr>
      </w:pPr>
      <w:r>
        <w:rPr>
          <w:color w:val="231F20"/>
          <w:sz w:val="16"/>
        </w:rPr>
        <w:t>operating</w:t>
      </w:r>
      <w:r>
        <w:rPr>
          <w:color w:val="231F20"/>
          <w:spacing w:val="-15"/>
          <w:sz w:val="16"/>
        </w:rPr>
        <w:t> </w:t>
      </w:r>
      <w:r>
        <w:rPr>
          <w:color w:val="231F20"/>
          <w:sz w:val="16"/>
        </w:rPr>
        <w:t>cycle</w:t>
      </w:r>
      <w:r>
        <w:rPr>
          <w:color w:val="231F20"/>
          <w:spacing w:val="-16"/>
          <w:sz w:val="16"/>
        </w:rPr>
        <w:t> </w:t>
      </w:r>
      <w:r>
        <w:rPr>
          <w:color w:val="231F20"/>
          <w:sz w:val="16"/>
        </w:rPr>
        <w:t>and</w:t>
      </w:r>
      <w:r>
        <w:rPr>
          <w:color w:val="231F20"/>
          <w:spacing w:val="-16"/>
          <w:sz w:val="16"/>
        </w:rPr>
        <w:t> </w:t>
      </w:r>
      <w:r>
        <w:rPr>
          <w:color w:val="231F20"/>
          <w:sz w:val="16"/>
        </w:rPr>
        <w:t>cash</w:t>
      </w:r>
      <w:r>
        <w:rPr>
          <w:color w:val="231F20"/>
          <w:spacing w:val="-16"/>
          <w:sz w:val="16"/>
        </w:rPr>
        <w:t> </w:t>
      </w:r>
      <w:r>
        <w:rPr>
          <w:color w:val="231F20"/>
          <w:sz w:val="16"/>
        </w:rPr>
        <w:t>flow</w:t>
      </w:r>
      <w:r>
        <w:rPr>
          <w:color w:val="231F20"/>
          <w:spacing w:val="-16"/>
          <w:sz w:val="16"/>
        </w:rPr>
        <w:t> </w:t>
      </w:r>
      <w:r>
        <w:rPr>
          <w:color w:val="231F20"/>
          <w:sz w:val="16"/>
        </w:rPr>
        <w:t>volatility,</w:t>
      </w:r>
      <w:r>
        <w:rPr>
          <w:color w:val="231F20"/>
          <w:spacing w:val="-16"/>
          <w:sz w:val="16"/>
        </w:rPr>
        <w:t> </w:t>
      </w:r>
      <w:r>
        <w:rPr>
          <w:color w:val="231F20"/>
          <w:sz w:val="16"/>
        </w:rPr>
        <w:t>with</w:t>
      </w:r>
      <w:r>
        <w:rPr>
          <w:color w:val="231F20"/>
          <w:spacing w:val="-15"/>
          <w:sz w:val="16"/>
        </w:rPr>
        <w:t> </w:t>
      </w:r>
      <w:r>
        <w:rPr>
          <w:color w:val="231F20"/>
          <w:sz w:val="16"/>
        </w:rPr>
        <w:t>or</w:t>
      </w:r>
      <w:r>
        <w:rPr>
          <w:color w:val="231F20"/>
          <w:spacing w:val="-16"/>
          <w:sz w:val="16"/>
        </w:rPr>
        <w:t> </w:t>
      </w:r>
      <w:r>
        <w:rPr>
          <w:color w:val="231F20"/>
          <w:sz w:val="16"/>
        </w:rPr>
        <w:t>without</w:t>
      </w:r>
      <w:r>
        <w:rPr>
          <w:color w:val="231F20"/>
          <w:spacing w:val="-16"/>
          <w:sz w:val="16"/>
        </w:rPr>
        <w:t> </w:t>
      </w:r>
      <w:r>
        <w:rPr>
          <w:color w:val="231F20"/>
          <w:sz w:val="16"/>
        </w:rPr>
        <w:t>their</w:t>
      </w:r>
      <w:r>
        <w:rPr>
          <w:color w:val="231F20"/>
          <w:spacing w:val="-16"/>
          <w:sz w:val="16"/>
        </w:rPr>
        <w:t> </w:t>
      </w:r>
      <w:r>
        <w:rPr>
          <w:color w:val="231F20"/>
          <w:sz w:val="16"/>
        </w:rPr>
        <w:t>interaction</w:t>
      </w:r>
      <w:r>
        <w:rPr>
          <w:color w:val="231F20"/>
          <w:spacing w:val="-15"/>
          <w:sz w:val="16"/>
        </w:rPr>
        <w:t> </w:t>
      </w:r>
      <w:r>
        <w:rPr>
          <w:color w:val="231F20"/>
          <w:sz w:val="16"/>
        </w:rPr>
        <w:t>terms</w:t>
      </w:r>
      <w:r>
        <w:rPr>
          <w:color w:val="231F20"/>
          <w:spacing w:val="-16"/>
          <w:sz w:val="16"/>
        </w:rPr>
        <w:t> </w:t>
      </w:r>
      <w:r>
        <w:rPr>
          <w:color w:val="231F20"/>
          <w:sz w:val="16"/>
        </w:rPr>
        <w:t>with</w:t>
      </w:r>
      <w:r>
        <w:rPr>
          <w:color w:val="231F20"/>
          <w:spacing w:val="-15"/>
          <w:sz w:val="16"/>
        </w:rPr>
        <w:t> </w:t>
      </w:r>
      <w:r>
        <w:rPr>
          <w:color w:val="231F20"/>
          <w:sz w:val="16"/>
        </w:rPr>
        <w:t>the</w:t>
      </w:r>
      <w:r>
        <w:rPr>
          <w:color w:val="231F20"/>
          <w:spacing w:val="-16"/>
          <w:sz w:val="16"/>
        </w:rPr>
        <w:t> </w:t>
      </w:r>
      <w:r>
        <w:rPr>
          <w:color w:val="231F20"/>
          <w:sz w:val="16"/>
        </w:rPr>
        <w:t>seven ruling-related</w:t>
      </w:r>
      <w:r>
        <w:rPr>
          <w:color w:val="231F20"/>
          <w:spacing w:val="-14"/>
          <w:sz w:val="16"/>
        </w:rPr>
        <w:t> </w:t>
      </w:r>
      <w:r>
        <w:rPr>
          <w:color w:val="231F20"/>
          <w:sz w:val="16"/>
        </w:rPr>
        <w:t>variables.</w:t>
      </w:r>
      <w:r>
        <w:rPr>
          <w:color w:val="231F20"/>
          <w:spacing w:val="-14"/>
          <w:sz w:val="16"/>
        </w:rPr>
        <w:t> </w:t>
      </w:r>
      <w:r>
        <w:rPr>
          <w:color w:val="231F20"/>
          <w:sz w:val="16"/>
        </w:rPr>
        <w:t>The</w:t>
      </w:r>
      <w:r>
        <w:rPr>
          <w:color w:val="231F20"/>
          <w:spacing w:val="-14"/>
          <w:sz w:val="16"/>
        </w:rPr>
        <w:t> </w:t>
      </w:r>
      <w:r>
        <w:rPr>
          <w:color w:val="231F20"/>
          <w:sz w:val="16"/>
        </w:rPr>
        <w:t>results</w:t>
      </w:r>
      <w:r>
        <w:rPr>
          <w:color w:val="231F20"/>
          <w:spacing w:val="-14"/>
          <w:sz w:val="16"/>
        </w:rPr>
        <w:t> </w:t>
      </w:r>
      <w:r>
        <w:rPr>
          <w:color w:val="231F20"/>
          <w:sz w:val="16"/>
        </w:rPr>
        <w:t>of</w:t>
      </w:r>
      <w:r>
        <w:rPr>
          <w:color w:val="231F20"/>
          <w:spacing w:val="-14"/>
          <w:sz w:val="16"/>
        </w:rPr>
        <w:t> </w:t>
      </w:r>
      <w:r>
        <w:rPr>
          <w:color w:val="231F20"/>
          <w:sz w:val="16"/>
        </w:rPr>
        <w:t>these</w:t>
      </w:r>
      <w:r>
        <w:rPr>
          <w:color w:val="231F20"/>
          <w:spacing w:val="-14"/>
          <w:sz w:val="16"/>
        </w:rPr>
        <w:t> </w:t>
      </w:r>
      <w:r>
        <w:rPr>
          <w:color w:val="231F20"/>
          <w:sz w:val="16"/>
        </w:rPr>
        <w:t>estimations</w:t>
      </w:r>
      <w:r>
        <w:rPr>
          <w:color w:val="231F20"/>
          <w:spacing w:val="-14"/>
          <w:sz w:val="16"/>
        </w:rPr>
        <w:t> </w:t>
      </w:r>
      <w:r>
        <w:rPr>
          <w:color w:val="231F20"/>
          <w:sz w:val="16"/>
        </w:rPr>
        <w:t>are</w:t>
      </w:r>
      <w:r>
        <w:rPr>
          <w:color w:val="231F20"/>
          <w:spacing w:val="-14"/>
          <w:sz w:val="16"/>
        </w:rPr>
        <w:t> </w:t>
      </w:r>
      <w:r>
        <w:rPr>
          <w:color w:val="231F20"/>
          <w:sz w:val="16"/>
        </w:rPr>
        <w:t>all</w:t>
      </w:r>
      <w:r>
        <w:rPr>
          <w:color w:val="231F20"/>
          <w:spacing w:val="-14"/>
          <w:sz w:val="16"/>
        </w:rPr>
        <w:t> </w:t>
      </w:r>
      <w:r>
        <w:rPr>
          <w:color w:val="231F20"/>
          <w:sz w:val="16"/>
        </w:rPr>
        <w:t>consistent</w:t>
      </w:r>
      <w:r>
        <w:rPr>
          <w:color w:val="231F20"/>
          <w:spacing w:val="-14"/>
          <w:sz w:val="16"/>
        </w:rPr>
        <w:t> </w:t>
      </w:r>
      <w:r>
        <w:rPr>
          <w:color w:val="231F20"/>
          <w:sz w:val="16"/>
        </w:rPr>
        <w:t>with</w:t>
      </w:r>
      <w:r>
        <w:rPr>
          <w:color w:val="231F20"/>
          <w:spacing w:val="-14"/>
          <w:sz w:val="16"/>
        </w:rPr>
        <w:t> </w:t>
      </w:r>
      <w:r>
        <w:rPr>
          <w:color w:val="231F20"/>
          <w:sz w:val="16"/>
        </w:rPr>
        <w:t>those</w:t>
      </w:r>
      <w:r>
        <w:rPr>
          <w:color w:val="231F20"/>
          <w:spacing w:val="-14"/>
          <w:sz w:val="16"/>
        </w:rPr>
        <w:t> </w:t>
      </w:r>
      <w:r>
        <w:rPr>
          <w:color w:val="231F20"/>
          <w:sz w:val="16"/>
        </w:rPr>
        <w:t>reported in table</w:t>
      </w:r>
      <w:r>
        <w:rPr>
          <w:color w:val="231F20"/>
          <w:spacing w:val="0"/>
          <w:sz w:val="16"/>
        </w:rPr>
        <w:t> </w:t>
      </w:r>
      <w:r>
        <w:rPr>
          <w:color w:val="231F20"/>
          <w:sz w:val="16"/>
        </w:rPr>
        <w:t>4.</w:t>
      </w:r>
    </w:p>
    <w:p>
      <w:pPr>
        <w:spacing w:after="0"/>
        <w:jc w:val="both"/>
        <w:rPr>
          <w:sz w:val="16"/>
        </w:rPr>
        <w:sectPr>
          <w:pgSz w:w="9720" w:h="14400"/>
          <w:pgMar w:header="1055" w:footer="0" w:top="1300" w:bottom="280" w:left="1280" w:right="1300"/>
        </w:sectPr>
      </w:pPr>
    </w:p>
    <w:p>
      <w:pPr>
        <w:pStyle w:val="BodyText"/>
        <w:spacing w:before="8"/>
        <w:rPr>
          <w:sz w:val="14"/>
        </w:rPr>
      </w:pPr>
    </w:p>
    <w:p>
      <w:pPr>
        <w:spacing w:before="0"/>
        <w:ind w:left="495" w:right="889" w:firstLine="0"/>
        <w:jc w:val="center"/>
        <w:rPr>
          <w:rFonts w:ascii="Times New Roman"/>
          <w:b/>
          <w:sz w:val="16"/>
        </w:rPr>
      </w:pPr>
      <w:r>
        <w:rPr>
          <w:rFonts w:ascii="Times New Roman"/>
          <w:b/>
          <w:color w:val="231F20"/>
          <w:sz w:val="16"/>
        </w:rPr>
        <w:t>TA B L E  5</w:t>
      </w:r>
    </w:p>
    <w:p>
      <w:pPr>
        <w:spacing w:before="16" w:after="19"/>
        <w:ind w:left="71" w:right="428" w:firstLine="0"/>
        <w:jc w:val="center"/>
        <w:rPr>
          <w:i/>
          <w:sz w:val="16"/>
        </w:rPr>
      </w:pPr>
      <w:r>
        <w:rPr>
          <w:i/>
          <w:color w:val="231F20"/>
          <w:sz w:val="16"/>
        </w:rPr>
        <w:t>Conservatism Rank After the 1991 Delaware Court Ruling: Effect of Corporate Governance</w:t>
      </w: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2590" w:val="left" w:leader="none"/>
          <w:tab w:pos="2988" w:val="left" w:leader="none"/>
          <w:tab w:pos="3343" w:val="left" w:leader="none"/>
          <w:tab w:pos="3709" w:val="left" w:leader="none"/>
          <w:tab w:pos="4044" w:val="left" w:leader="none"/>
          <w:tab w:pos="4420" w:val="left" w:leader="none"/>
          <w:tab w:pos="4797" w:val="left" w:leader="none"/>
          <w:tab w:pos="5163" w:val="left" w:leader="none"/>
          <w:tab w:pos="5499" w:val="left" w:leader="none"/>
          <w:tab w:pos="5852" w:val="left" w:leader="none"/>
          <w:tab w:pos="6251" w:val="left" w:leader="none"/>
          <w:tab w:pos="6618" w:val="left" w:leader="none"/>
        </w:tabs>
        <w:spacing w:line="283" w:lineRule="auto" w:before="25"/>
        <w:ind w:left="162" w:right="519" w:firstLine="0"/>
        <w:jc w:val="left"/>
        <w:rPr>
          <w:sz w:val="16"/>
        </w:rPr>
      </w:pPr>
      <w:r>
        <w:rPr/>
        <w:pict>
          <v:line style="position:absolute;mso-position-horizontal-relative:page;mso-position-vertical-relative:paragraph;z-index:3736" from="72.125999pt,27.924557pt" to="394.919999pt,27.924557pt" stroked="true" strokeweight=".504pt" strokecolor="#000000">
            <v:stroke dashstyle="solid"/>
            <w10:wrap type="none"/>
          </v:line>
        </w:pict>
      </w:r>
      <w:r>
        <w:rPr>
          <w:color w:val="231F20"/>
          <w:w w:val="103"/>
          <w:sz w:val="16"/>
          <w:u w:val="single" w:color="000000"/>
        </w:rPr>
        <w:t> </w:t>
      </w:r>
      <w:r>
        <w:rPr>
          <w:color w:val="231F20"/>
          <w:sz w:val="16"/>
          <w:u w:val="single" w:color="000000"/>
        </w:rPr>
        <w:t>   </w:t>
      </w:r>
      <w:r>
        <w:rPr>
          <w:color w:val="231F20"/>
          <w:spacing w:val="-13"/>
          <w:sz w:val="16"/>
          <w:u w:val="single" w:color="000000"/>
        </w:rPr>
        <w:t> </w:t>
      </w:r>
      <w:r>
        <w:rPr>
          <w:color w:val="231F20"/>
          <w:sz w:val="16"/>
          <w:u w:val="single" w:color="000000"/>
        </w:rPr>
        <w:t>Dep. </w:t>
      </w:r>
      <w:r>
        <w:rPr>
          <w:color w:val="231F20"/>
          <w:spacing w:val="-6"/>
          <w:sz w:val="16"/>
          <w:u w:val="single" w:color="000000"/>
        </w:rPr>
        <w:t>Var. </w:t>
      </w:r>
      <w:r>
        <w:rPr>
          <w:rFonts w:ascii="Lucida Sans Unicode"/>
          <w:color w:val="231F20"/>
          <w:sz w:val="16"/>
          <w:u w:val="single" w:color="000000"/>
        </w:rPr>
        <w:t>=</w:t>
      </w:r>
      <w:r>
        <w:rPr>
          <w:rFonts w:ascii="Lucida Sans Unicode"/>
          <w:color w:val="231F20"/>
          <w:spacing w:val="-31"/>
          <w:sz w:val="16"/>
          <w:u w:val="single" w:color="000000"/>
        </w:rPr>
        <w:t> </w:t>
      </w:r>
      <w:r>
        <w:rPr>
          <w:i/>
          <w:color w:val="231F20"/>
          <w:sz w:val="16"/>
          <w:u w:val="single" w:color="000000"/>
        </w:rPr>
        <w:t>CRANK</w:t>
      </w:r>
      <w:r>
        <w:rPr>
          <w:i/>
          <w:color w:val="231F20"/>
          <w:spacing w:val="2"/>
          <w:sz w:val="16"/>
          <w:u w:val="single" w:color="000000"/>
        </w:rPr>
        <w:t> </w:t>
      </w:r>
      <w:r>
        <w:rPr>
          <w:i/>
          <w:color w:val="231F20"/>
          <w:sz w:val="16"/>
          <w:u w:val="single" w:color="000000"/>
        </w:rPr>
        <w:t>ALL </w:t>
        <w:tab/>
        <w:tab/>
      </w:r>
      <w:r>
        <w:rPr>
          <w:color w:val="231F20"/>
          <w:sz w:val="16"/>
          <w:u w:val="single" w:color="000000"/>
        </w:rPr>
        <w:t>(i)</w:t>
        <w:tab/>
        <w:tab/>
        <w:t> </w:t>
        <w:tab/>
        <w:tab/>
        <w:t>(ii)</w:t>
        <w:tab/>
        <w:tab/>
        <w:t> </w:t>
        <w:tab/>
        <w:tab/>
        <w:t>(iii)</w:t>
        <w:tab/>
        <w:tab/>
      </w:r>
      <w:r>
        <w:rPr>
          <w:color w:val="231F20"/>
          <w:sz w:val="16"/>
        </w:rPr>
        <w:t> Independent</w:t>
      </w:r>
      <w:r>
        <w:rPr>
          <w:color w:val="231F20"/>
          <w:spacing w:val="-4"/>
          <w:sz w:val="16"/>
        </w:rPr>
        <w:t> </w:t>
      </w:r>
      <w:r>
        <w:rPr>
          <w:color w:val="231F20"/>
          <w:spacing w:val="-7"/>
          <w:sz w:val="16"/>
        </w:rPr>
        <w:t>Var.</w:t>
        <w:tab/>
      </w:r>
      <w:r>
        <w:rPr>
          <w:color w:val="231F20"/>
          <w:sz w:val="16"/>
        </w:rPr>
        <w:t>Coef.</w:t>
        <w:tab/>
        <w:tab/>
      </w:r>
      <w:r>
        <w:rPr>
          <w:i/>
          <w:color w:val="231F20"/>
          <w:w w:val="95"/>
          <w:sz w:val="16"/>
        </w:rPr>
        <w:t>t</w:t>
      </w:r>
      <w:r>
        <w:rPr>
          <w:color w:val="231F20"/>
          <w:w w:val="95"/>
          <w:sz w:val="16"/>
        </w:rPr>
        <w:t>-stat</w:t>
        <w:tab/>
        <w:tab/>
      </w:r>
      <w:r>
        <w:rPr>
          <w:color w:val="231F20"/>
          <w:sz w:val="16"/>
        </w:rPr>
        <w:t>Coef.</w:t>
        <w:tab/>
        <w:tab/>
      </w:r>
      <w:r>
        <w:rPr>
          <w:i/>
          <w:color w:val="231F20"/>
          <w:w w:val="95"/>
          <w:sz w:val="16"/>
        </w:rPr>
        <w:t>t</w:t>
      </w:r>
      <w:r>
        <w:rPr>
          <w:color w:val="231F20"/>
          <w:w w:val="95"/>
          <w:sz w:val="16"/>
        </w:rPr>
        <w:t>-stat</w:t>
        <w:tab/>
        <w:tab/>
      </w:r>
      <w:r>
        <w:rPr>
          <w:color w:val="231F20"/>
          <w:sz w:val="16"/>
        </w:rPr>
        <w:t>Coef.</w:t>
        <w:tab/>
      </w:r>
      <w:r>
        <w:rPr>
          <w:i/>
          <w:color w:val="231F20"/>
          <w:w w:val="95"/>
          <w:sz w:val="16"/>
        </w:rPr>
        <w:t>t</w:t>
      </w:r>
      <w:r>
        <w:rPr>
          <w:color w:val="231F20"/>
          <w:w w:val="95"/>
          <w:sz w:val="16"/>
        </w:rPr>
        <w:t>-stat</w:t>
      </w:r>
    </w:p>
    <w:p>
      <w:pPr>
        <w:tabs>
          <w:tab w:pos="2078" w:val="left" w:leader="none"/>
          <w:tab w:pos="2575" w:val="left" w:leader="none"/>
          <w:tab w:pos="4029" w:val="left" w:leader="none"/>
          <w:tab w:pos="5483" w:val="left" w:leader="none"/>
          <w:tab w:pos="6618" w:val="right" w:leader="none"/>
        </w:tabs>
        <w:spacing w:line="202" w:lineRule="exact" w:before="35"/>
        <w:ind w:left="162" w:right="0" w:firstLine="0"/>
        <w:jc w:val="left"/>
        <w:rPr>
          <w:sz w:val="16"/>
        </w:rPr>
      </w:pPr>
      <w:r>
        <w:rPr>
          <w:color w:val="231F20"/>
          <w:sz w:val="16"/>
        </w:rPr>
        <w:t>Intercept</w:t>
        <w:tab/>
      </w:r>
      <w:r>
        <w:rPr>
          <w:i/>
          <w:color w:val="231F20"/>
          <w:sz w:val="16"/>
        </w:rPr>
        <w:t>ß</w:t>
      </w:r>
      <w:r>
        <w:rPr>
          <w:i/>
          <w:color w:val="231F20"/>
          <w:position w:val="-1"/>
          <w:sz w:val="9"/>
        </w:rPr>
        <w:t>0</w:t>
        <w:tab/>
      </w:r>
      <w:r>
        <w:rPr>
          <w:color w:val="231F20"/>
          <w:sz w:val="16"/>
        </w:rPr>
        <w:t>4.584</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20.90</w:t>
        <w:tab/>
        <w:t>4.777</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20.37</w:t>
        <w:tab/>
        <w:t>4.791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18.02</w:t>
      </w:r>
    </w:p>
    <w:p>
      <w:pPr>
        <w:tabs>
          <w:tab w:pos="2078" w:val="left" w:leader="none"/>
          <w:tab w:pos="2575" w:val="left" w:leader="none"/>
          <w:tab w:pos="3418" w:val="left" w:leader="none"/>
          <w:tab w:pos="4029" w:val="left" w:leader="none"/>
          <w:tab w:pos="4873" w:val="left" w:leader="none"/>
          <w:tab w:pos="5483" w:val="left" w:leader="none"/>
          <w:tab w:pos="6617" w:val="right" w:leader="none"/>
        </w:tabs>
        <w:spacing w:line="202" w:lineRule="exact" w:before="0"/>
        <w:ind w:left="162" w:right="0" w:firstLine="0"/>
        <w:jc w:val="left"/>
        <w:rPr>
          <w:sz w:val="16"/>
        </w:rPr>
      </w:pPr>
      <w:r>
        <w:rPr/>
        <w:pict>
          <v:shape style="position:absolute;margin-left:186.542999pt;margin-top:1.467262pt;width:48.45pt;height:14pt;mso-position-horizontal-relative:page;mso-position-vertical-relative:paragraph;z-index:-67888" type="#_x0000_t202" filled="false" stroked="false">
            <v:textbox inset="0,0,0,0">
              <w:txbxContent>
                <w:p>
                  <w:pPr>
                    <w:tabs>
                      <w:tab w:pos="84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w:t>
        <w:tab/>
      </w:r>
      <w:r>
        <w:rPr>
          <w:color w:val="231F20"/>
          <w:sz w:val="16"/>
        </w:rPr>
        <w:t>0.054</w:t>
        <w:tab/>
        <w:t>1.23</w:t>
        <w:tab/>
        <w:t>0.236</w:t>
      </w:r>
      <w:r>
        <w:rPr>
          <w:rFonts w:ascii="Lucida Sans Unicode" w:hAnsi="Lucida Sans Unicode"/>
          <w:color w:val="231F20"/>
          <w:position w:val="6"/>
          <w:sz w:val="9"/>
        </w:rPr>
        <w:t>∗∗</w:t>
        <w:tab/>
      </w:r>
      <w:r>
        <w:rPr>
          <w:color w:val="231F20"/>
          <w:sz w:val="16"/>
        </w:rPr>
        <w:t>2.01</w:t>
        <w:tab/>
        <w:t>0.064</w:t>
        <w:tab/>
        <w:t>0.25</w:t>
      </w:r>
    </w:p>
    <w:p>
      <w:pPr>
        <w:tabs>
          <w:tab w:pos="2078" w:val="left" w:leader="none"/>
          <w:tab w:pos="2575" w:val="left" w:leader="none"/>
          <w:tab w:pos="3418" w:val="left" w:leader="none"/>
          <w:tab w:pos="4029" w:val="left" w:leader="none"/>
          <w:tab w:pos="4873" w:val="left" w:leader="none"/>
          <w:tab w:pos="5483" w:val="left" w:leader="none"/>
          <w:tab w:pos="6617" w:val="right" w:leader="none"/>
        </w:tabs>
        <w:spacing w:line="197" w:lineRule="exact" w:before="1"/>
        <w:ind w:left="162" w:right="0" w:firstLine="0"/>
        <w:jc w:val="left"/>
        <w:rPr>
          <w:sz w:val="16"/>
        </w:rPr>
      </w:pPr>
      <w:r>
        <w:rPr>
          <w:i/>
          <w:color w:val="231F20"/>
          <w:sz w:val="16"/>
        </w:rPr>
        <w:t>HEDF93</w:t>
        <w:tab/>
        <w:t>ß</w:t>
      </w:r>
      <w:r>
        <w:rPr>
          <w:i/>
          <w:color w:val="231F20"/>
          <w:position w:val="-1"/>
          <w:sz w:val="9"/>
        </w:rPr>
        <w:t>2</w:t>
        <w:tab/>
      </w:r>
      <w:r>
        <w:rPr>
          <w:color w:val="231F20"/>
          <w:sz w:val="16"/>
        </w:rPr>
        <w:t>0.059</w:t>
        <w:tab/>
        <w:t>0.64</w:t>
        <w:tab/>
        <w:t>0.232</w:t>
        <w:tab/>
        <w:t>0.92</w:t>
        <w:tab/>
        <w:t>0.745</w:t>
        <w:tab/>
        <w:t>1.37</w:t>
      </w:r>
    </w:p>
    <w:p>
      <w:pPr>
        <w:tabs>
          <w:tab w:pos="2078" w:val="left" w:leader="none"/>
          <w:tab w:pos="2575" w:val="left" w:leader="none"/>
          <w:tab w:pos="3418" w:val="left" w:leader="none"/>
          <w:tab w:pos="4029" w:val="left" w:leader="none"/>
          <w:tab w:pos="4873" w:val="left" w:leader="none"/>
          <w:tab w:pos="5483" w:val="left" w:leader="none"/>
          <w:tab w:pos="6618" w:val="right" w:leader="none"/>
        </w:tabs>
        <w:spacing w:line="202" w:lineRule="exact" w:before="0"/>
        <w:ind w:left="162" w:right="0" w:firstLine="0"/>
        <w:jc w:val="left"/>
        <w:rPr>
          <w:sz w:val="16"/>
        </w:rPr>
      </w:pPr>
      <w:r>
        <w:rPr/>
        <w:pict>
          <v:shape style="position:absolute;margin-left:86.650833pt;margin-top:1.467106pt;width:293.75pt;height:14pt;mso-position-horizontal-relative:page;mso-position-vertical-relative:paragraph;z-index:-67744" type="#_x0000_t202" filled="false" stroked="false">
            <v:textbox inset="0,0,0,0">
              <w:txbxContent>
                <w:p>
                  <w:pPr>
                    <w:tabs>
                      <w:tab w:pos="3452" w:val="left" w:leader="none"/>
                      <w:tab w:pos="4295" w:val="left" w:leader="none"/>
                      <w:tab w:pos="4906"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1"/>
          <w:sz w:val="16"/>
        </w:rPr>
        <w:t> </w:t>
      </w:r>
      <w:r>
        <w:rPr>
          <w:i/>
          <w:color w:val="231F20"/>
          <w:sz w:val="16"/>
        </w:rPr>
        <w:t>HEDF93</w:t>
        <w:tab/>
        <w:t>ß</w:t>
      </w:r>
      <w:r>
        <w:rPr>
          <w:i/>
          <w:color w:val="231F20"/>
          <w:position w:val="-1"/>
          <w:sz w:val="9"/>
        </w:rPr>
        <w:t>3</w:t>
        <w:tab/>
      </w:r>
      <w:r>
        <w:rPr>
          <w:color w:val="231F20"/>
          <w:sz w:val="16"/>
        </w:rPr>
        <w:t>0.213</w:t>
      </w:r>
      <w:r>
        <w:rPr>
          <w:rFonts w:ascii="Lucida Sans Unicode" w:hAnsi="Lucida Sans Unicode"/>
          <w:color w:val="231F20"/>
          <w:position w:val="6"/>
          <w:sz w:val="9"/>
        </w:rPr>
        <w:t>∗</w:t>
        <w:tab/>
      </w:r>
      <w:r>
        <w:rPr>
          <w:color w:val="231F20"/>
          <w:sz w:val="16"/>
        </w:rPr>
        <w:t>1.86</w:t>
        <w:tab/>
        <w:t>0.532</w:t>
        <w:tab/>
        <w:t>1.53</w:t>
        <w:tab/>
        <w:t>0.881</w:t>
        <w:tab/>
        <w:t>1.26</w:t>
      </w:r>
    </w:p>
    <w:p>
      <w:pPr>
        <w:tabs>
          <w:tab w:pos="2078" w:val="left" w:leader="none"/>
          <w:tab w:pos="4029" w:val="left" w:leader="none"/>
          <w:tab w:pos="4873" w:val="left" w:leader="none"/>
          <w:tab w:pos="5483" w:val="left" w:leader="none"/>
          <w:tab w:pos="6617" w:val="right" w:leader="none"/>
        </w:tabs>
        <w:spacing w:line="197" w:lineRule="exact" w:before="0"/>
        <w:ind w:left="162" w:right="0" w:firstLine="0"/>
        <w:jc w:val="left"/>
        <w:rPr>
          <w:sz w:val="16"/>
        </w:rPr>
      </w:pPr>
      <w:r>
        <w:rPr>
          <w:i/>
          <w:color w:val="231F20"/>
          <w:sz w:val="16"/>
        </w:rPr>
        <w:t>BSCORE</w:t>
        <w:tab/>
        <w:t>ß</w:t>
      </w:r>
      <w:r>
        <w:rPr>
          <w:i/>
          <w:color w:val="231F20"/>
          <w:position w:val="-1"/>
          <w:sz w:val="9"/>
        </w:rPr>
        <w:t>4</w:t>
        <w:tab/>
      </w:r>
      <w:r>
        <w:rPr>
          <w:color w:val="231F20"/>
          <w:sz w:val="16"/>
        </w:rPr>
        <w:t>0.025</w:t>
        <w:tab/>
        <w:t>0.64</w:t>
        <w:tab/>
        <w:t>0.035</w:t>
        <w:tab/>
        <w:t>0.88</w:t>
      </w:r>
    </w:p>
    <w:p>
      <w:pPr>
        <w:tabs>
          <w:tab w:pos="2078" w:val="left" w:leader="none"/>
          <w:tab w:pos="4029" w:val="left" w:leader="none"/>
          <w:tab w:pos="4873" w:val="left" w:leader="none"/>
          <w:tab w:pos="5483" w:val="left" w:leader="none"/>
          <w:tab w:pos="6618" w:val="right" w:leader="none"/>
        </w:tabs>
        <w:spacing w:line="202" w:lineRule="exact" w:before="0"/>
        <w:ind w:left="162" w:right="0" w:firstLine="0"/>
        <w:jc w:val="left"/>
        <w:rPr>
          <w:sz w:val="16"/>
        </w:rPr>
      </w:pPr>
      <w:r>
        <w:rPr/>
        <w:pict>
          <v:shape style="position:absolute;margin-left:100.861542pt;margin-top:1.467241pt;width:279.55pt;height:14pt;mso-position-horizontal-relative:page;mso-position-vertical-relative:paragraph;z-index:-67648" type="#_x0000_t202" filled="false" stroked="false">
            <v:textbox inset="0,0,0,0">
              <w:txbxContent>
                <w:p>
                  <w:pPr>
                    <w:tabs>
                      <w:tab w:pos="3167" w:val="left" w:leader="none"/>
                      <w:tab w:pos="4011" w:val="left" w:leader="none"/>
                      <w:tab w:pos="4622" w:val="left" w:leader="none"/>
                      <w:tab w:pos="546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BSCORE </w:t>
      </w:r>
      <w:r>
        <w:rPr>
          <w:i/>
          <w:color w:val="231F20"/>
          <w:spacing w:val="6"/>
          <w:sz w:val="16"/>
        </w:rPr>
        <w:t> </w:t>
      </w:r>
      <w:r>
        <w:rPr>
          <w:i/>
          <w:color w:val="231F20"/>
          <w:sz w:val="16"/>
        </w:rPr>
        <w:t>DEL</w:t>
        <w:tab/>
        <w:t>ß</w:t>
      </w:r>
      <w:r>
        <w:rPr>
          <w:i/>
          <w:color w:val="231F20"/>
          <w:position w:val="-1"/>
          <w:sz w:val="9"/>
        </w:rPr>
        <w:t>5</w:t>
        <w:tab/>
      </w:r>
      <w:r>
        <w:rPr>
          <w:color w:val="231F20"/>
          <w:sz w:val="16"/>
        </w:rPr>
        <w:t>0.124</w:t>
      </w:r>
      <w:r>
        <w:rPr>
          <w:rFonts w:ascii="Lucida Sans Unicode" w:hAnsi="Lucida Sans Unicode"/>
          <w:color w:val="231F20"/>
          <w:position w:val="6"/>
          <w:sz w:val="9"/>
        </w:rPr>
        <w:t>∗∗</w:t>
        <w:tab/>
      </w:r>
      <w:r>
        <w:rPr>
          <w:color w:val="231F20"/>
          <w:sz w:val="16"/>
        </w:rPr>
        <w:t>2.17</w:t>
        <w:tab/>
        <w:t>0.137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2.35</w:t>
      </w:r>
    </w:p>
    <w:p>
      <w:pPr>
        <w:tabs>
          <w:tab w:pos="2078" w:val="left" w:leader="none"/>
          <w:tab w:pos="4029" w:val="left" w:leader="none"/>
          <w:tab w:pos="4873" w:val="left" w:leader="none"/>
          <w:tab w:pos="5483" w:val="left" w:leader="none"/>
          <w:tab w:pos="6618" w:val="right" w:leader="none"/>
        </w:tabs>
        <w:spacing w:line="197" w:lineRule="exact" w:before="0"/>
        <w:ind w:left="162" w:right="0" w:firstLine="0"/>
        <w:jc w:val="left"/>
        <w:rPr>
          <w:sz w:val="16"/>
        </w:rPr>
      </w:pPr>
      <w:r>
        <w:rPr/>
        <w:pict>
          <v:shape style="position:absolute;margin-left:100.861137pt;margin-top:1.331273pt;width:279.55pt;height:14pt;mso-position-horizontal-relative:page;mso-position-vertical-relative:paragraph;z-index:-67672" type="#_x0000_t202" filled="false" stroked="false">
            <v:textbox inset="0,0,0,0">
              <w:txbxContent>
                <w:p>
                  <w:pPr>
                    <w:tabs>
                      <w:tab w:pos="3167" w:val="left" w:leader="none"/>
                      <w:tab w:pos="4011" w:val="left" w:leader="none"/>
                      <w:tab w:pos="4622" w:val="left" w:leader="none"/>
                      <w:tab w:pos="546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BSCORE </w:t>
      </w:r>
      <w:r>
        <w:rPr>
          <w:i/>
          <w:color w:val="231F20"/>
          <w:spacing w:val="33"/>
          <w:sz w:val="16"/>
        </w:rPr>
        <w:t> </w:t>
      </w:r>
      <w:r>
        <w:rPr>
          <w:i/>
          <w:color w:val="231F20"/>
          <w:sz w:val="16"/>
        </w:rPr>
        <w:t>HEDF93</w:t>
        <w:tab/>
        <w:t>ß</w:t>
      </w:r>
      <w:r>
        <w:rPr>
          <w:i/>
          <w:color w:val="231F20"/>
          <w:position w:val="-1"/>
          <w:sz w:val="9"/>
        </w:rPr>
        <w:t>6</w:t>
        <w:tab/>
      </w:r>
      <w:r>
        <w:rPr>
          <w:color w:val="231F20"/>
          <w:sz w:val="16"/>
        </w:rPr>
        <w:t>0.078</w:t>
        <w:tab/>
        <w:t>0.65</w:t>
        <w:tab/>
        <w:t>0.113</w:t>
        <w:tab/>
        <w:t>0.91</w:t>
      </w:r>
    </w:p>
    <w:p>
      <w:pPr>
        <w:tabs>
          <w:tab w:pos="4029" w:val="left" w:leader="none"/>
          <w:tab w:pos="4873" w:val="left" w:leader="none"/>
          <w:tab w:pos="5483" w:val="left" w:leader="none"/>
          <w:tab w:pos="6618" w:val="right" w:leader="none"/>
        </w:tabs>
        <w:spacing w:line="199" w:lineRule="exact" w:before="0"/>
        <w:ind w:left="162" w:right="0" w:firstLine="0"/>
        <w:jc w:val="left"/>
        <w:rPr>
          <w:sz w:val="16"/>
        </w:rPr>
      </w:pPr>
      <w:r>
        <w:rPr/>
        <w:pict>
          <v:shape style="position:absolute;margin-left:100.861214pt;margin-top:1.467335pt;width:27.05pt;height:14pt;mso-position-horizontal-relative:page;mso-position-vertical-relative:paragraph;z-index:-67696"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BSCORE   DEL </w:t>
      </w:r>
      <w:r>
        <w:rPr>
          <w:i/>
          <w:color w:val="231F20"/>
          <w:spacing w:val="37"/>
          <w:sz w:val="16"/>
        </w:rPr>
        <w:t> </w:t>
      </w:r>
      <w:r>
        <w:rPr>
          <w:i/>
          <w:color w:val="231F20"/>
          <w:sz w:val="16"/>
        </w:rPr>
        <w:t>HEDF93   </w:t>
      </w:r>
      <w:r>
        <w:rPr>
          <w:i/>
          <w:color w:val="231F20"/>
          <w:spacing w:val="0"/>
          <w:sz w:val="16"/>
        </w:rPr>
        <w:t> </w:t>
      </w:r>
      <w:r>
        <w:rPr>
          <w:i/>
          <w:color w:val="231F20"/>
          <w:sz w:val="16"/>
        </w:rPr>
        <w:t>ß</w:t>
      </w:r>
      <w:r>
        <w:rPr>
          <w:i/>
          <w:color w:val="231F20"/>
          <w:position w:val="-1"/>
          <w:sz w:val="9"/>
        </w:rPr>
        <w:t>7</w:t>
        <w:tab/>
      </w:r>
      <w:r>
        <w:rPr>
          <w:color w:val="231F20"/>
          <w:sz w:val="16"/>
        </w:rPr>
        <w:t>0.353</w:t>
      </w:r>
      <w:r>
        <w:rPr>
          <w:rFonts w:ascii="Lucida Sans Unicode" w:hAnsi="Lucida Sans Unicode"/>
          <w:color w:val="231F20"/>
          <w:position w:val="6"/>
          <w:sz w:val="9"/>
        </w:rPr>
        <w:t>∗∗</w:t>
        <w:tab/>
      </w:r>
      <w:r>
        <w:rPr>
          <w:color w:val="231F20"/>
          <w:sz w:val="16"/>
        </w:rPr>
        <w:t>2.16</w:t>
        <w:tab/>
        <w:t>0.397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2.39</w:t>
      </w:r>
    </w:p>
    <w:p>
      <w:pPr>
        <w:tabs>
          <w:tab w:pos="2078" w:val="left" w:leader="none"/>
          <w:tab w:pos="2575" w:val="left" w:leader="none"/>
          <w:tab w:pos="3418" w:val="left" w:leader="none"/>
          <w:tab w:pos="4029" w:val="left" w:leader="none"/>
          <w:tab w:pos="4873"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134pt;width:193.85pt;height:14pt;mso-position-horizontal-relative:page;mso-position-vertical-relative:paragraph;z-index:-67720"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LNMVE</w:t>
        <w:tab/>
        <w:t>ß</w:t>
      </w:r>
      <w:r>
        <w:rPr>
          <w:i/>
          <w:color w:val="231F20"/>
          <w:position w:val="-1"/>
          <w:sz w:val="9"/>
        </w:rPr>
        <w:t>8</w:t>
        <w:tab/>
      </w:r>
      <w:r>
        <w:rPr>
          <w:color w:val="231F20"/>
          <w:sz w:val="16"/>
        </w:rPr>
        <w:t>0.012</w:t>
        <w:tab/>
        <w:t>0.74</w:t>
        <w:tab/>
        <w:t>0.040</w:t>
      </w:r>
      <w:r>
        <w:rPr>
          <w:rFonts w:ascii="Lucida Sans Unicode" w:hAnsi="Lucida Sans Unicode"/>
          <w:color w:val="231F20"/>
          <w:position w:val="6"/>
          <w:sz w:val="9"/>
        </w:rPr>
        <w:t>∗∗</w:t>
        <w:tab/>
      </w:r>
      <w:r>
        <w:rPr>
          <w:color w:val="231F20"/>
          <w:sz w:val="16"/>
        </w:rPr>
        <w:t>2.52</w:t>
        <w:tab/>
        <w:t>0.040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1.68</w:t>
      </w:r>
    </w:p>
    <w:p>
      <w:pPr>
        <w:tabs>
          <w:tab w:pos="2078" w:val="left" w:leader="none"/>
          <w:tab w:pos="2575" w:val="left" w:leader="none"/>
          <w:tab w:pos="4029" w:val="left" w:leader="none"/>
          <w:tab w:pos="5483" w:val="left" w:leader="none"/>
          <w:tab w:pos="6618" w:val="right" w:leader="none"/>
        </w:tabs>
        <w:spacing w:line="199" w:lineRule="exact" w:before="0"/>
        <w:ind w:left="162" w:right="0" w:firstLine="0"/>
        <w:jc w:val="left"/>
        <w:rPr>
          <w:sz w:val="16"/>
        </w:rPr>
      </w:pPr>
      <w:r>
        <w:rPr>
          <w:i/>
          <w:color w:val="231F20"/>
          <w:sz w:val="16"/>
        </w:rPr>
        <w:t>LEV</w:t>
        <w:tab/>
        <w:t>ß</w:t>
      </w:r>
      <w:r>
        <w:rPr>
          <w:i/>
          <w:color w:val="231F20"/>
          <w:position w:val="-1"/>
          <w:sz w:val="9"/>
        </w:rPr>
        <w:t>9</w:t>
        <w:tab/>
      </w:r>
      <w:r>
        <w:rPr>
          <w:color w:val="231F20"/>
          <w:sz w:val="16"/>
        </w:rPr>
        <w:t>0.498</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4.16</w:t>
        <w:tab/>
        <w:t>0.447</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3.77</w:t>
        <w:tab/>
        <w:t>0.445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2.49</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254pt;width:193.85pt;height:14pt;mso-position-horizontal-relative:page;mso-position-vertical-relative:paragraph;z-index:-67600"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BTM</w:t>
        <w:tab/>
        <w:t>ß</w:t>
      </w:r>
      <w:r>
        <w:rPr>
          <w:i/>
          <w:color w:val="231F20"/>
          <w:position w:val="-1"/>
          <w:sz w:val="9"/>
        </w:rPr>
        <w:t>10      </w:t>
      </w:r>
      <w:r>
        <w:rPr>
          <w:i/>
          <w:color w:val="231F20"/>
          <w:spacing w:val="5"/>
          <w:position w:val="-1"/>
          <w:sz w:val="9"/>
        </w:rPr>
        <w:t> </w:t>
      </w:r>
      <w:r>
        <w:rPr>
          <w:color w:val="231F20"/>
          <w:sz w:val="16"/>
        </w:rPr>
        <w:t>0.260</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4.69</w:t>
        <w:tab/>
        <w:t>0.286</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5.10</w:t>
        <w:tab/>
        <w:t>0.243</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2.41</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pict>
          <v:shape style="position:absolute;margin-left:186.542999pt;margin-top:1.467096pt;width:193.85pt;height:14pt;mso-position-horizontal-relative:page;mso-position-vertical-relative:paragraph;z-index:-67624" type="#_x0000_t202" filled="false" stroked="false">
            <v:textbox inset="0,0,0,0">
              <w:txbxContent>
                <w:p>
                  <w:pPr>
                    <w:tabs>
                      <w:tab w:pos="843" w:val="left" w:leader="none"/>
                      <w:tab w:pos="1454" w:val="left" w:leader="none"/>
                      <w:tab w:pos="2297" w:val="left" w:leader="none"/>
                      <w:tab w:pos="2908" w:val="left" w:leader="none"/>
                      <w:tab w:pos="3752"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GROWTH</w:t>
        <w:tab/>
        <w:t>ß</w:t>
      </w:r>
      <w:r>
        <w:rPr>
          <w:i/>
          <w:color w:val="231F20"/>
          <w:position w:val="-1"/>
          <w:sz w:val="9"/>
        </w:rPr>
        <w:t>11      </w:t>
      </w:r>
      <w:r>
        <w:rPr>
          <w:i/>
          <w:color w:val="231F20"/>
          <w:spacing w:val="5"/>
          <w:position w:val="-1"/>
          <w:sz w:val="9"/>
        </w:rPr>
        <w:t> </w:t>
      </w:r>
      <w:r>
        <w:rPr>
          <w:color w:val="231F20"/>
          <w:sz w:val="16"/>
        </w:rPr>
        <w:t>0.639</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7.39</w:t>
        <w:tab/>
        <w:t>0.604</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7.08</w:t>
        <w:tab/>
        <w:t>0.569</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4.11</w:t>
      </w:r>
    </w:p>
    <w:p>
      <w:pPr>
        <w:tabs>
          <w:tab w:pos="2078" w:val="left" w:leader="none"/>
          <w:tab w:pos="4029" w:val="left" w:leader="none"/>
          <w:tab w:pos="5483" w:val="left" w:leader="none"/>
          <w:tab w:pos="6618" w:val="right" w:leader="none"/>
        </w:tabs>
        <w:spacing w:line="199" w:lineRule="exact" w:before="0"/>
        <w:ind w:left="162" w:right="0" w:firstLine="0"/>
        <w:jc w:val="left"/>
        <w:rPr>
          <w:sz w:val="16"/>
        </w:rPr>
      </w:pPr>
      <w:r>
        <w:rPr>
          <w:i/>
          <w:color w:val="231F20"/>
          <w:sz w:val="16"/>
        </w:rPr>
        <w:t>LITIG</w:t>
        <w:tab/>
        <w:t>ß</w:t>
      </w:r>
      <w:r>
        <w:rPr>
          <w:i/>
          <w:color w:val="231F20"/>
          <w:position w:val="-1"/>
          <w:sz w:val="9"/>
        </w:rPr>
        <w:t>12      </w:t>
      </w:r>
      <w:r>
        <w:rPr>
          <w:i/>
          <w:color w:val="231F20"/>
          <w:spacing w:val="5"/>
          <w:position w:val="-1"/>
          <w:sz w:val="9"/>
        </w:rPr>
        <w:t> </w:t>
      </w:r>
      <w:r>
        <w:rPr>
          <w:color w:val="231F20"/>
          <w:sz w:val="16"/>
        </w:rPr>
        <w:t>0.726</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7.24</w:t>
        <w:tab/>
        <w:t>0.756</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7.50</w:t>
        <w:tab/>
        <w:t>0.624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5.34</w:t>
      </w:r>
    </w:p>
    <w:p>
      <w:pPr>
        <w:tabs>
          <w:tab w:pos="2078" w:val="left" w:leader="none"/>
          <w:tab w:pos="4029" w:val="left" w:leader="none"/>
          <w:tab w:pos="5483" w:val="left" w:leader="none"/>
          <w:tab w:pos="6618" w:val="right" w:leader="none"/>
        </w:tabs>
        <w:spacing w:line="202" w:lineRule="exact" w:before="0"/>
        <w:ind w:left="162" w:right="0" w:firstLine="0"/>
        <w:jc w:val="left"/>
        <w:rPr>
          <w:sz w:val="16"/>
        </w:rPr>
      </w:pPr>
      <w:r>
        <w:rPr>
          <w:i/>
          <w:color w:val="231F20"/>
          <w:sz w:val="16"/>
        </w:rPr>
        <w:t>INSTOWN</w:t>
        <w:tab/>
        <w:t>ß</w:t>
      </w:r>
      <w:r>
        <w:rPr>
          <w:i/>
          <w:color w:val="231F20"/>
          <w:position w:val="-1"/>
          <w:sz w:val="9"/>
        </w:rPr>
        <w:t>13      </w:t>
      </w:r>
      <w:r>
        <w:rPr>
          <w:i/>
          <w:color w:val="231F20"/>
          <w:spacing w:val="5"/>
          <w:position w:val="-1"/>
          <w:sz w:val="9"/>
        </w:rPr>
        <w:t> </w:t>
      </w:r>
      <w:r>
        <w:rPr>
          <w:color w:val="231F20"/>
          <w:sz w:val="16"/>
        </w:rPr>
        <w:t>0.921</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6.95</w:t>
        <w:tab/>
        <w:t>0.950</w:t>
      </w:r>
      <w:r>
        <w:rPr>
          <w:rFonts w:ascii="Lucida Sans Unicode" w:hAnsi="Lucida Sans Unicode"/>
          <w:color w:val="231F20"/>
          <w:position w:val="6"/>
          <w:sz w:val="9"/>
        </w:rPr>
        <w:t>∗∗∗    </w:t>
      </w:r>
      <w:r>
        <w:rPr>
          <w:rFonts w:ascii="Lucida Sans Unicode" w:hAnsi="Lucida Sans Unicode"/>
          <w:color w:val="231F20"/>
          <w:spacing w:val="10"/>
          <w:position w:val="6"/>
          <w:sz w:val="9"/>
        </w:rPr>
        <w:t> </w:t>
      </w:r>
      <w:r>
        <w:rPr>
          <w:color w:val="231F20"/>
          <w:sz w:val="16"/>
        </w:rPr>
        <w:t>7.21</w:t>
        <w:tab/>
        <w:t>0.894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4.53</w:t>
      </w:r>
    </w:p>
    <w:p>
      <w:pPr>
        <w:tabs>
          <w:tab w:pos="5675" w:val="left" w:leader="none"/>
        </w:tabs>
        <w:spacing w:before="1"/>
        <w:ind w:left="162" w:right="0" w:firstLine="0"/>
        <w:jc w:val="both"/>
        <w:rPr>
          <w:sz w:val="16"/>
        </w:rPr>
      </w:pPr>
      <w:r>
        <w:rPr/>
        <w:pict>
          <v:shape style="position:absolute;margin-left:97.828011pt;margin-top:1.381435pt;width:6.3pt;height:14pt;mso-position-horizontal-relative:page;mso-position-vertical-relative:paragraph;z-index:-678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5"/>
          <w:sz w:val="16"/>
        </w:rPr>
        <w:t> </w:t>
      </w:r>
      <w:r>
        <w:rPr>
          <w:i/>
          <w:color w:val="231F20"/>
          <w:sz w:val="16"/>
        </w:rPr>
        <w:t>DEL</w:t>
        <w:tab/>
      </w:r>
      <w:r>
        <w:rPr>
          <w:color w:val="231F20"/>
          <w:sz w:val="16"/>
        </w:rPr>
        <w:t>Included</w:t>
      </w:r>
    </w:p>
    <w:p>
      <w:pPr>
        <w:tabs>
          <w:tab w:pos="5675" w:val="left" w:leader="none"/>
        </w:tabs>
        <w:spacing w:before="0"/>
        <w:ind w:left="162" w:right="0" w:firstLine="0"/>
        <w:jc w:val="both"/>
        <w:rPr>
          <w:sz w:val="16"/>
        </w:rPr>
      </w:pPr>
      <w:r>
        <w:rPr/>
        <w:pict>
          <v:shape style="position:absolute;margin-left:97.828011pt;margin-top:1.33143pt;width:6.3pt;height:14pt;mso-position-horizontal-relative:page;mso-position-vertical-relative:paragraph;z-index:-6784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w:t>
      </w:r>
      <w:r>
        <w:rPr>
          <w:i/>
          <w:color w:val="231F20"/>
          <w:spacing w:val="38"/>
          <w:sz w:val="16"/>
        </w:rPr>
        <w:t> </w:t>
      </w:r>
      <w:r>
        <w:rPr>
          <w:i/>
          <w:color w:val="231F20"/>
          <w:sz w:val="16"/>
        </w:rPr>
        <w:t>HEDF93</w:t>
        <w:tab/>
      </w:r>
      <w:r>
        <w:rPr>
          <w:color w:val="231F20"/>
          <w:sz w:val="16"/>
        </w:rPr>
        <w:t>Included</w:t>
      </w:r>
    </w:p>
    <w:p>
      <w:pPr>
        <w:tabs>
          <w:tab w:pos="5675" w:val="left" w:leader="none"/>
        </w:tabs>
        <w:spacing w:before="1"/>
        <w:ind w:left="162" w:right="0" w:firstLine="0"/>
        <w:jc w:val="both"/>
        <w:rPr>
          <w:sz w:val="16"/>
        </w:rPr>
      </w:pPr>
      <w:r>
        <w:rPr/>
        <w:pict>
          <v:shape style="position:absolute;margin-left:97.828011pt;margin-top:1.381445pt;width:27.05pt;height:14pt;mso-position-horizontal-relative:page;mso-position-vertical-relative:paragraph;z-index:-67864"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Controls </w:t>
      </w:r>
      <w:r>
        <w:rPr>
          <w:i/>
          <w:color w:val="231F20"/>
          <w:spacing w:val="10"/>
          <w:sz w:val="16"/>
        </w:rPr>
        <w:t> </w:t>
      </w:r>
      <w:r>
        <w:rPr>
          <w:i/>
          <w:color w:val="231F20"/>
          <w:sz w:val="16"/>
        </w:rPr>
        <w:t>DEL  </w:t>
      </w:r>
      <w:r>
        <w:rPr>
          <w:i/>
          <w:color w:val="231F20"/>
          <w:spacing w:val="1"/>
          <w:sz w:val="16"/>
        </w:rPr>
        <w:t> </w:t>
      </w:r>
      <w:r>
        <w:rPr>
          <w:i/>
          <w:color w:val="231F20"/>
          <w:sz w:val="16"/>
        </w:rPr>
        <w:t>HEDF93</w:t>
        <w:tab/>
      </w:r>
      <w:r>
        <w:rPr>
          <w:color w:val="231F20"/>
          <w:sz w:val="16"/>
        </w:rPr>
        <w:t>Included</w:t>
      </w:r>
    </w:p>
    <w:p>
      <w:pPr>
        <w:tabs>
          <w:tab w:pos="2766" w:val="left" w:leader="none"/>
          <w:tab w:pos="4220" w:val="left" w:leader="none"/>
          <w:tab w:pos="5675" w:val="left" w:leader="none"/>
        </w:tabs>
        <w:spacing w:before="0"/>
        <w:ind w:left="162" w:right="0" w:firstLine="0"/>
        <w:jc w:val="both"/>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2766" w:val="left" w:leader="none"/>
          <w:tab w:pos="4220" w:val="left" w:leader="none"/>
          <w:tab w:pos="5675" w:val="left" w:leader="none"/>
        </w:tabs>
        <w:spacing w:before="1"/>
        <w:ind w:left="162" w:right="0" w:firstLine="0"/>
        <w:jc w:val="both"/>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2894" w:val="left" w:leader="none"/>
          <w:tab w:pos="4348" w:val="left" w:leader="none"/>
          <w:tab w:pos="5803" w:val="left" w:leader="none"/>
        </w:tabs>
        <w:spacing w:before="0"/>
        <w:ind w:left="162" w:right="0" w:firstLine="0"/>
        <w:jc w:val="both"/>
        <w:rPr>
          <w:sz w:val="16"/>
        </w:rPr>
      </w:pPr>
      <w:r>
        <w:rPr>
          <w:color w:val="231F20"/>
          <w:sz w:val="16"/>
        </w:rPr>
        <w:t>No.</w:t>
      </w:r>
      <w:r>
        <w:rPr>
          <w:color w:val="231F20"/>
          <w:spacing w:val="-12"/>
          <w:sz w:val="16"/>
        </w:rPr>
        <w:t> </w:t>
      </w:r>
      <w:r>
        <w:rPr>
          <w:color w:val="231F20"/>
          <w:sz w:val="16"/>
        </w:rPr>
        <w:t>observations</w:t>
        <w:tab/>
        <w:t>6,584</w:t>
        <w:tab/>
        <w:t>6,584</w:t>
        <w:tab/>
        <w:t>6,584</w:t>
      </w:r>
    </w:p>
    <w:p>
      <w:pPr>
        <w:tabs>
          <w:tab w:pos="2864" w:val="left" w:leader="none"/>
          <w:tab w:pos="4318" w:val="left" w:leader="none"/>
          <w:tab w:pos="5772" w:val="left" w:leader="none"/>
        </w:tabs>
        <w:spacing w:before="0" w:after="22"/>
        <w:ind w:left="162" w:right="0" w:firstLine="0"/>
        <w:jc w:val="both"/>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18.6%</w:t>
        <w:tab/>
        <w:t>18.9%</w:t>
        <w:tab/>
        <w:t>18.9%</w:t>
      </w:r>
    </w:p>
    <w:p>
      <w:pPr>
        <w:pStyle w:val="BodyText"/>
        <w:spacing w:line="20" w:lineRule="exact"/>
        <w:ind w:left="15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20" w:lineRule="auto" w:before="55"/>
        <w:ind w:left="162" w:right="519" w:firstLine="199"/>
        <w:jc w:val="both"/>
        <w:rPr>
          <w:sz w:val="14"/>
        </w:rPr>
      </w:pPr>
      <w:r>
        <w:rPr>
          <w:color w:val="231F20"/>
          <w:sz w:val="14"/>
        </w:rPr>
        <w:t>This table presents regression estimates to test the combined effect of board characteristics on conser- vatism</w:t>
      </w:r>
      <w:r>
        <w:rPr>
          <w:color w:val="231F20"/>
          <w:spacing w:val="-8"/>
          <w:sz w:val="14"/>
        </w:rPr>
        <w:t> </w:t>
      </w:r>
      <w:r>
        <w:rPr>
          <w:color w:val="231F20"/>
          <w:sz w:val="14"/>
        </w:rPr>
        <w:t>rank</w:t>
      </w:r>
      <w:r>
        <w:rPr>
          <w:color w:val="231F20"/>
          <w:spacing w:val="-8"/>
          <w:sz w:val="14"/>
        </w:rPr>
        <w:t> </w:t>
      </w:r>
      <w:r>
        <w:rPr>
          <w:color w:val="231F20"/>
          <w:sz w:val="14"/>
        </w:rPr>
        <w:t>post</w:t>
      </w:r>
      <w:r>
        <w:rPr>
          <w:color w:val="231F20"/>
          <w:spacing w:val="-8"/>
          <w:sz w:val="14"/>
        </w:rPr>
        <w:t> </w:t>
      </w:r>
      <w:r>
        <w:rPr>
          <w:color w:val="231F20"/>
          <w:sz w:val="14"/>
        </w:rPr>
        <w:t>the</w:t>
      </w:r>
      <w:r>
        <w:rPr>
          <w:color w:val="231F20"/>
          <w:spacing w:val="-8"/>
          <w:sz w:val="14"/>
        </w:rPr>
        <w:t> </w:t>
      </w:r>
      <w:r>
        <w:rPr>
          <w:color w:val="231F20"/>
          <w:sz w:val="14"/>
        </w:rPr>
        <w:t>1991</w:t>
      </w:r>
      <w:r>
        <w:rPr>
          <w:color w:val="231F20"/>
          <w:spacing w:val="-8"/>
          <w:sz w:val="14"/>
        </w:rPr>
        <w:t> </w:t>
      </w:r>
      <w:r>
        <w:rPr>
          <w:color w:val="231F20"/>
          <w:sz w:val="14"/>
        </w:rPr>
        <w:t>Delaware</w:t>
      </w:r>
      <w:r>
        <w:rPr>
          <w:color w:val="231F20"/>
          <w:spacing w:val="-8"/>
          <w:sz w:val="14"/>
        </w:rPr>
        <w:t> </w:t>
      </w:r>
      <w:r>
        <w:rPr>
          <w:color w:val="231F20"/>
          <w:sz w:val="14"/>
        </w:rPr>
        <w:t>court</w:t>
      </w:r>
      <w:r>
        <w:rPr>
          <w:color w:val="231F20"/>
          <w:spacing w:val="-8"/>
          <w:sz w:val="14"/>
        </w:rPr>
        <w:t> </w:t>
      </w:r>
      <w:r>
        <w:rPr>
          <w:color w:val="231F20"/>
          <w:sz w:val="14"/>
        </w:rPr>
        <w:t>ruling</w:t>
      </w:r>
      <w:r>
        <w:rPr>
          <w:color w:val="231F20"/>
          <w:spacing w:val="-8"/>
          <w:sz w:val="14"/>
        </w:rPr>
        <w:t> </w:t>
      </w:r>
      <w:r>
        <w:rPr>
          <w:color w:val="231F20"/>
          <w:sz w:val="14"/>
        </w:rPr>
        <w:t>(model</w:t>
      </w:r>
      <w:r>
        <w:rPr>
          <w:color w:val="231F20"/>
          <w:spacing w:val="-8"/>
          <w:sz w:val="14"/>
        </w:rPr>
        <w:t> </w:t>
      </w:r>
      <w:r>
        <w:rPr>
          <w:color w:val="231F20"/>
          <w:sz w:val="14"/>
        </w:rPr>
        <w:t>2).</w:t>
      </w:r>
      <w:r>
        <w:rPr>
          <w:color w:val="231F20"/>
          <w:spacing w:val="-8"/>
          <w:sz w:val="14"/>
        </w:rPr>
        <w:t> </w:t>
      </w:r>
      <w:r>
        <w:rPr>
          <w:color w:val="231F20"/>
          <w:sz w:val="14"/>
        </w:rPr>
        <w:t>The</w:t>
      </w:r>
      <w:r>
        <w:rPr>
          <w:color w:val="231F20"/>
          <w:spacing w:val="-8"/>
          <w:sz w:val="14"/>
        </w:rPr>
        <w:t> </w:t>
      </w:r>
      <w:r>
        <w:rPr>
          <w:color w:val="231F20"/>
          <w:sz w:val="14"/>
        </w:rPr>
        <w:t>sample</w:t>
      </w:r>
      <w:r>
        <w:rPr>
          <w:color w:val="231F20"/>
          <w:spacing w:val="-8"/>
          <w:sz w:val="14"/>
        </w:rPr>
        <w:t> </w:t>
      </w:r>
      <w:r>
        <w:rPr>
          <w:color w:val="231F20"/>
          <w:sz w:val="14"/>
        </w:rPr>
        <w:t>in</w:t>
      </w:r>
      <w:r>
        <w:rPr>
          <w:color w:val="231F20"/>
          <w:spacing w:val="-8"/>
          <w:sz w:val="14"/>
        </w:rPr>
        <w:t> </w:t>
      </w:r>
      <w:r>
        <w:rPr>
          <w:color w:val="231F20"/>
          <w:sz w:val="14"/>
        </w:rPr>
        <w:t>this</w:t>
      </w:r>
      <w:r>
        <w:rPr>
          <w:color w:val="231F20"/>
          <w:spacing w:val="-8"/>
          <w:sz w:val="14"/>
        </w:rPr>
        <w:t> </w:t>
      </w:r>
      <w:r>
        <w:rPr>
          <w:color w:val="231F20"/>
          <w:sz w:val="14"/>
        </w:rPr>
        <w:t>test</w:t>
      </w:r>
      <w:r>
        <w:rPr>
          <w:color w:val="231F20"/>
          <w:spacing w:val="-8"/>
          <w:sz w:val="14"/>
        </w:rPr>
        <w:t> </w:t>
      </w:r>
      <w:r>
        <w:rPr>
          <w:color w:val="231F20"/>
          <w:sz w:val="14"/>
        </w:rPr>
        <w:t>includes</w:t>
      </w:r>
      <w:r>
        <w:rPr>
          <w:color w:val="231F20"/>
          <w:spacing w:val="-8"/>
          <w:sz w:val="14"/>
        </w:rPr>
        <w:t> </w:t>
      </w:r>
      <w:r>
        <w:rPr>
          <w:color w:val="231F20"/>
          <w:sz w:val="14"/>
        </w:rPr>
        <w:t>6,584</w:t>
      </w:r>
      <w:r>
        <w:rPr>
          <w:color w:val="231F20"/>
          <w:spacing w:val="-8"/>
          <w:sz w:val="14"/>
        </w:rPr>
        <w:t> </w:t>
      </w:r>
      <w:r>
        <w:rPr>
          <w:color w:val="231F20"/>
          <w:sz w:val="14"/>
        </w:rPr>
        <w:t>observa- tions</w:t>
      </w:r>
      <w:r>
        <w:rPr>
          <w:color w:val="231F20"/>
          <w:spacing w:val="-7"/>
          <w:sz w:val="14"/>
        </w:rPr>
        <w:t> </w:t>
      </w:r>
      <w:r>
        <w:rPr>
          <w:color w:val="231F20"/>
          <w:sz w:val="14"/>
        </w:rPr>
        <w:t>for</w:t>
      </w:r>
      <w:r>
        <w:rPr>
          <w:color w:val="231F20"/>
          <w:spacing w:val="-7"/>
          <w:sz w:val="14"/>
        </w:rPr>
        <w:t> </w:t>
      </w:r>
      <w:r>
        <w:rPr>
          <w:color w:val="231F20"/>
          <w:sz w:val="14"/>
        </w:rPr>
        <w:t>1,968</w:t>
      </w:r>
      <w:r>
        <w:rPr>
          <w:color w:val="231F20"/>
          <w:spacing w:val="-7"/>
          <w:sz w:val="14"/>
        </w:rPr>
        <w:t> </w:t>
      </w:r>
      <w:r>
        <w:rPr>
          <w:color w:val="231F20"/>
          <w:sz w:val="14"/>
        </w:rPr>
        <w:t>firms</w:t>
      </w:r>
      <w:r>
        <w:rPr>
          <w:color w:val="231F20"/>
          <w:spacing w:val="-7"/>
          <w:sz w:val="14"/>
        </w:rPr>
        <w:t> </w:t>
      </w:r>
      <w:r>
        <w:rPr>
          <w:color w:val="231F20"/>
          <w:sz w:val="14"/>
        </w:rPr>
        <w:t>spanning</w:t>
      </w:r>
      <w:r>
        <w:rPr>
          <w:color w:val="231F20"/>
          <w:spacing w:val="-7"/>
          <w:sz w:val="14"/>
        </w:rPr>
        <w:t> </w:t>
      </w:r>
      <w:r>
        <w:rPr>
          <w:color w:val="231F20"/>
          <w:sz w:val="14"/>
        </w:rPr>
        <w:t>calendar</w:t>
      </w:r>
      <w:r>
        <w:rPr>
          <w:color w:val="231F20"/>
          <w:spacing w:val="-7"/>
          <w:sz w:val="14"/>
        </w:rPr>
        <w:t> </w:t>
      </w:r>
      <w:r>
        <w:rPr>
          <w:color w:val="231F20"/>
          <w:sz w:val="14"/>
        </w:rPr>
        <w:t>years</w:t>
      </w:r>
      <w:r>
        <w:rPr>
          <w:color w:val="231F20"/>
          <w:spacing w:val="-7"/>
          <w:sz w:val="14"/>
        </w:rPr>
        <w:t> </w:t>
      </w:r>
      <w:r>
        <w:rPr>
          <w:color w:val="231F20"/>
          <w:sz w:val="14"/>
        </w:rPr>
        <w:t>1993–1996</w:t>
      </w:r>
      <w:r>
        <w:rPr>
          <w:color w:val="231F20"/>
          <w:spacing w:val="-7"/>
          <w:sz w:val="14"/>
        </w:rPr>
        <w:t> </w:t>
      </w:r>
      <w:r>
        <w:rPr>
          <w:color w:val="231F20"/>
          <w:sz w:val="14"/>
        </w:rPr>
        <w:t>with</w:t>
      </w:r>
      <w:r>
        <w:rPr>
          <w:color w:val="231F20"/>
          <w:spacing w:val="-7"/>
          <w:sz w:val="14"/>
        </w:rPr>
        <w:t> </w:t>
      </w:r>
      <w:r>
        <w:rPr>
          <w:color w:val="231F20"/>
          <w:sz w:val="14"/>
        </w:rPr>
        <w:t>available</w:t>
      </w:r>
      <w:r>
        <w:rPr>
          <w:color w:val="231F20"/>
          <w:spacing w:val="-7"/>
          <w:sz w:val="14"/>
        </w:rPr>
        <w:t> </w:t>
      </w:r>
      <w:r>
        <w:rPr>
          <w:color w:val="231F20"/>
          <w:sz w:val="14"/>
        </w:rPr>
        <w:t>data</w:t>
      </w:r>
      <w:r>
        <w:rPr>
          <w:color w:val="231F20"/>
          <w:spacing w:val="-7"/>
          <w:sz w:val="14"/>
        </w:rPr>
        <w:t> </w:t>
      </w:r>
      <w:r>
        <w:rPr>
          <w:color w:val="231F20"/>
          <w:sz w:val="14"/>
        </w:rPr>
        <w:t>on</w:t>
      </w:r>
      <w:r>
        <w:rPr>
          <w:color w:val="231F20"/>
          <w:spacing w:val="-7"/>
          <w:sz w:val="14"/>
        </w:rPr>
        <w:t> </w:t>
      </w:r>
      <w:r>
        <w:rPr>
          <w:color w:val="231F20"/>
          <w:sz w:val="14"/>
        </w:rPr>
        <w:t>the</w:t>
      </w:r>
      <w:r>
        <w:rPr>
          <w:color w:val="231F20"/>
          <w:spacing w:val="-7"/>
          <w:sz w:val="14"/>
        </w:rPr>
        <w:t> </w:t>
      </w:r>
      <w:r>
        <w:rPr>
          <w:color w:val="231F20"/>
          <w:sz w:val="14"/>
        </w:rPr>
        <w:t>board</w:t>
      </w:r>
      <w:r>
        <w:rPr>
          <w:color w:val="231F20"/>
          <w:spacing w:val="-7"/>
          <w:sz w:val="14"/>
        </w:rPr>
        <w:t> </w:t>
      </w:r>
      <w:r>
        <w:rPr>
          <w:color w:val="231F20"/>
          <w:sz w:val="14"/>
        </w:rPr>
        <w:t>of</w:t>
      </w:r>
      <w:r>
        <w:rPr>
          <w:color w:val="231F20"/>
          <w:spacing w:val="-7"/>
          <w:sz w:val="14"/>
        </w:rPr>
        <w:t> </w:t>
      </w:r>
      <w:r>
        <w:rPr>
          <w:color w:val="231F20"/>
          <w:sz w:val="14"/>
        </w:rPr>
        <w:t>directors</w:t>
      </w:r>
      <w:r>
        <w:rPr>
          <w:color w:val="231F20"/>
          <w:spacing w:val="-7"/>
          <w:sz w:val="14"/>
        </w:rPr>
        <w:t> </w:t>
      </w:r>
      <w:r>
        <w:rPr>
          <w:color w:val="231F20"/>
          <w:sz w:val="14"/>
        </w:rPr>
        <w:t>from Compact</w:t>
      </w:r>
      <w:r>
        <w:rPr>
          <w:color w:val="231F20"/>
          <w:spacing w:val="-10"/>
          <w:sz w:val="14"/>
        </w:rPr>
        <w:t> </w:t>
      </w:r>
      <w:r>
        <w:rPr>
          <w:color w:val="231F20"/>
          <w:sz w:val="14"/>
        </w:rPr>
        <w:t>Disclosure.</w:t>
      </w:r>
      <w:r>
        <w:rPr>
          <w:color w:val="231F20"/>
          <w:spacing w:val="-10"/>
          <w:sz w:val="14"/>
        </w:rPr>
        <w:t> </w:t>
      </w:r>
      <w:r>
        <w:rPr>
          <w:color w:val="231F20"/>
          <w:sz w:val="14"/>
        </w:rPr>
        <w:t>All</w:t>
      </w:r>
      <w:r>
        <w:rPr>
          <w:color w:val="231F20"/>
          <w:spacing w:val="-10"/>
          <w:sz w:val="14"/>
        </w:rPr>
        <w:t> </w:t>
      </w:r>
      <w:r>
        <w:rPr>
          <w:color w:val="231F20"/>
          <w:sz w:val="14"/>
        </w:rPr>
        <w:t>variables</w:t>
      </w:r>
      <w:r>
        <w:rPr>
          <w:color w:val="231F20"/>
          <w:spacing w:val="-10"/>
          <w:sz w:val="14"/>
        </w:rPr>
        <w:t> </w:t>
      </w:r>
      <w:r>
        <w:rPr>
          <w:color w:val="231F20"/>
          <w:sz w:val="14"/>
        </w:rPr>
        <w:t>are</w:t>
      </w:r>
      <w:r>
        <w:rPr>
          <w:color w:val="231F20"/>
          <w:spacing w:val="-10"/>
          <w:sz w:val="14"/>
        </w:rPr>
        <w:t> </w:t>
      </w:r>
      <w:r>
        <w:rPr>
          <w:color w:val="231F20"/>
          <w:sz w:val="14"/>
        </w:rPr>
        <w:t>defined</w:t>
      </w:r>
      <w:r>
        <w:rPr>
          <w:color w:val="231F20"/>
          <w:spacing w:val="-10"/>
          <w:sz w:val="14"/>
        </w:rPr>
        <w:t> </w:t>
      </w:r>
      <w:r>
        <w:rPr>
          <w:color w:val="231F20"/>
          <w:sz w:val="14"/>
        </w:rPr>
        <w:t>in</w:t>
      </w:r>
      <w:r>
        <w:rPr>
          <w:color w:val="231F20"/>
          <w:spacing w:val="-10"/>
          <w:sz w:val="14"/>
        </w:rPr>
        <w:t> </w:t>
      </w:r>
      <w:r>
        <w:rPr>
          <w:color w:val="231F20"/>
          <w:sz w:val="14"/>
        </w:rPr>
        <w:t>the</w:t>
      </w:r>
      <w:r>
        <w:rPr>
          <w:color w:val="231F20"/>
          <w:spacing w:val="-10"/>
          <w:sz w:val="14"/>
        </w:rPr>
        <w:t> </w:t>
      </w:r>
      <w:r>
        <w:rPr>
          <w:color w:val="231F20"/>
          <w:sz w:val="14"/>
        </w:rPr>
        <w:t>appendix.</w:t>
      </w:r>
      <w:r>
        <w:rPr>
          <w:color w:val="231F20"/>
          <w:spacing w:val="-10"/>
          <w:sz w:val="14"/>
        </w:rPr>
        <w:t> </w:t>
      </w:r>
      <w:r>
        <w:rPr>
          <w:color w:val="231F20"/>
          <w:sz w:val="14"/>
        </w:rPr>
        <w:t>All</w:t>
      </w:r>
      <w:r>
        <w:rPr>
          <w:color w:val="231F20"/>
          <w:spacing w:val="-10"/>
          <w:sz w:val="14"/>
        </w:rPr>
        <w:t> </w:t>
      </w:r>
      <w:r>
        <w:rPr>
          <w:color w:val="231F20"/>
          <w:sz w:val="14"/>
        </w:rPr>
        <w:t>continuous</w:t>
      </w:r>
      <w:r>
        <w:rPr>
          <w:color w:val="231F20"/>
          <w:spacing w:val="-9"/>
          <w:sz w:val="14"/>
        </w:rPr>
        <w:t> </w:t>
      </w:r>
      <w:r>
        <w:rPr>
          <w:color w:val="231F20"/>
          <w:sz w:val="14"/>
        </w:rPr>
        <w:t>variables</w:t>
      </w:r>
      <w:r>
        <w:rPr>
          <w:color w:val="231F20"/>
          <w:spacing w:val="-10"/>
          <w:sz w:val="14"/>
        </w:rPr>
        <w:t> </w:t>
      </w:r>
      <w:r>
        <w:rPr>
          <w:color w:val="231F20"/>
          <w:sz w:val="14"/>
        </w:rPr>
        <w:t>are</w:t>
      </w:r>
      <w:r>
        <w:rPr>
          <w:color w:val="231F20"/>
          <w:spacing w:val="-10"/>
          <w:sz w:val="14"/>
        </w:rPr>
        <w:t> </w:t>
      </w:r>
      <w:r>
        <w:rPr>
          <w:color w:val="231F20"/>
          <w:sz w:val="14"/>
        </w:rPr>
        <w:t>winsorized</w:t>
      </w:r>
      <w:r>
        <w:rPr>
          <w:color w:val="231F20"/>
          <w:spacing w:val="-10"/>
          <w:sz w:val="14"/>
        </w:rPr>
        <w:t> </w:t>
      </w:r>
      <w:r>
        <w:rPr>
          <w:color w:val="231F20"/>
          <w:sz w:val="14"/>
        </w:rPr>
        <w:t>at the</w:t>
      </w:r>
      <w:r>
        <w:rPr>
          <w:color w:val="231F20"/>
          <w:spacing w:val="-5"/>
          <w:sz w:val="14"/>
        </w:rPr>
        <w:t> </w:t>
      </w:r>
      <w:r>
        <w:rPr>
          <w:color w:val="231F20"/>
          <w:sz w:val="14"/>
        </w:rPr>
        <w:t>1st</w:t>
      </w:r>
      <w:r>
        <w:rPr>
          <w:color w:val="231F20"/>
          <w:spacing w:val="-5"/>
          <w:sz w:val="14"/>
        </w:rPr>
        <w:t> </w:t>
      </w:r>
      <w:r>
        <w:rPr>
          <w:color w:val="231F20"/>
          <w:sz w:val="14"/>
        </w:rPr>
        <w:t>and</w:t>
      </w:r>
      <w:r>
        <w:rPr>
          <w:color w:val="231F20"/>
          <w:spacing w:val="-5"/>
          <w:sz w:val="14"/>
        </w:rPr>
        <w:t> </w:t>
      </w:r>
      <w:r>
        <w:rPr>
          <w:color w:val="231F20"/>
          <w:sz w:val="14"/>
        </w:rPr>
        <w:t>99th</w:t>
      </w:r>
      <w:r>
        <w:rPr>
          <w:color w:val="231F20"/>
          <w:spacing w:val="-5"/>
          <w:sz w:val="14"/>
        </w:rPr>
        <w:t> </w:t>
      </w:r>
      <w:r>
        <w:rPr>
          <w:color w:val="231F20"/>
          <w:sz w:val="14"/>
        </w:rPr>
        <w:t>percentiles.</w:t>
      </w:r>
      <w:r>
        <w:rPr>
          <w:color w:val="231F20"/>
          <w:spacing w:val="-5"/>
          <w:sz w:val="14"/>
        </w:rPr>
        <w:t> </w:t>
      </w:r>
      <w:r>
        <w:rPr>
          <w:color w:val="231F20"/>
          <w:sz w:val="14"/>
        </w:rPr>
        <w:t>Reported</w:t>
      </w:r>
      <w:r>
        <w:rPr>
          <w:color w:val="231F20"/>
          <w:spacing w:val="-5"/>
          <w:sz w:val="14"/>
        </w:rPr>
        <w:t> </w:t>
      </w:r>
      <w:r>
        <w:rPr>
          <w:i/>
          <w:color w:val="231F20"/>
          <w:sz w:val="14"/>
        </w:rPr>
        <w:t>t</w:t>
      </w:r>
      <w:r>
        <w:rPr>
          <w:color w:val="231F20"/>
          <w:sz w:val="14"/>
        </w:rPr>
        <w:t>-statistics</w:t>
      </w:r>
      <w:r>
        <w:rPr>
          <w:color w:val="231F20"/>
          <w:spacing w:val="-5"/>
          <w:sz w:val="14"/>
        </w:rPr>
        <w:t> </w:t>
      </w:r>
      <w:r>
        <w:rPr>
          <w:color w:val="231F20"/>
          <w:sz w:val="14"/>
        </w:rPr>
        <w:t>are</w:t>
      </w:r>
      <w:r>
        <w:rPr>
          <w:color w:val="231F20"/>
          <w:spacing w:val="-5"/>
          <w:sz w:val="14"/>
        </w:rPr>
        <w:t> </w:t>
      </w:r>
      <w:r>
        <w:rPr>
          <w:color w:val="231F20"/>
          <w:sz w:val="14"/>
        </w:rPr>
        <w:t>adjusted</w:t>
      </w:r>
      <w:r>
        <w:rPr>
          <w:color w:val="231F20"/>
          <w:spacing w:val="-5"/>
          <w:sz w:val="14"/>
        </w:rPr>
        <w:t> </w:t>
      </w:r>
      <w:r>
        <w:rPr>
          <w:color w:val="231F20"/>
          <w:sz w:val="14"/>
        </w:rPr>
        <w:t>for</w:t>
      </w:r>
      <w:r>
        <w:rPr>
          <w:color w:val="231F20"/>
          <w:spacing w:val="-5"/>
          <w:sz w:val="14"/>
        </w:rPr>
        <w:t> </w:t>
      </w:r>
      <w:r>
        <w:rPr>
          <w:color w:val="231F20"/>
          <w:sz w:val="14"/>
        </w:rPr>
        <w:t>clustering</w:t>
      </w:r>
      <w:r>
        <w:rPr>
          <w:color w:val="231F20"/>
          <w:spacing w:val="-5"/>
          <w:sz w:val="14"/>
        </w:rPr>
        <w:t> </w:t>
      </w:r>
      <w:r>
        <w:rPr>
          <w:color w:val="231F20"/>
          <w:sz w:val="14"/>
        </w:rPr>
        <w:t>by</w:t>
      </w:r>
      <w:r>
        <w:rPr>
          <w:color w:val="231F20"/>
          <w:spacing w:val="-5"/>
          <w:sz w:val="14"/>
        </w:rPr>
        <w:t> </w:t>
      </w:r>
      <w:r>
        <w:rPr>
          <w:color w:val="231F20"/>
          <w:sz w:val="14"/>
        </w:rPr>
        <w:t>both</w:t>
      </w:r>
      <w:r>
        <w:rPr>
          <w:color w:val="231F20"/>
          <w:spacing w:val="-5"/>
          <w:sz w:val="14"/>
        </w:rPr>
        <w:t> </w:t>
      </w:r>
      <w:r>
        <w:rPr>
          <w:color w:val="231F20"/>
          <w:sz w:val="14"/>
        </w:rPr>
        <w:t>firm</w:t>
      </w:r>
      <w:r>
        <w:rPr>
          <w:color w:val="231F20"/>
          <w:spacing w:val="-5"/>
          <w:sz w:val="14"/>
        </w:rPr>
        <w:t> </w:t>
      </w:r>
      <w:r>
        <w:rPr>
          <w:color w:val="231F20"/>
          <w:sz w:val="14"/>
        </w:rPr>
        <w:t>and</w:t>
      </w:r>
      <w:r>
        <w:rPr>
          <w:color w:val="231F20"/>
          <w:spacing w:val="-5"/>
          <w:sz w:val="14"/>
        </w:rPr>
        <w:t> </w:t>
      </w:r>
      <w:r>
        <w:rPr>
          <w:color w:val="231F20"/>
          <w:spacing w:val="-3"/>
          <w:sz w:val="14"/>
        </w:rPr>
        <w:t>year.</w:t>
      </w:r>
    </w:p>
    <w:p>
      <w:pPr>
        <w:spacing w:line="160" w:lineRule="exact" w:before="0"/>
        <w:ind w:left="22" w:right="428"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pStyle w:val="BodyText"/>
        <w:rPr>
          <w:sz w:val="16"/>
        </w:rPr>
      </w:pPr>
    </w:p>
    <w:p>
      <w:pPr>
        <w:pStyle w:val="BodyText"/>
        <w:rPr>
          <w:sz w:val="13"/>
        </w:rPr>
      </w:pPr>
    </w:p>
    <w:p>
      <w:pPr>
        <w:pStyle w:val="BodyText"/>
        <w:spacing w:line="230" w:lineRule="auto"/>
        <w:ind w:left="162" w:right="519" w:hanging="1"/>
        <w:jc w:val="both"/>
      </w:pPr>
      <w:r>
        <w:rPr/>
        <w:pict>
          <v:shape style="position:absolute;margin-left:107.874001pt;margin-top:1.739288pt;width:70.4pt;height:17.45pt;mso-position-horizontal-relative:page;mso-position-vertical-relative:paragraph;z-index:-67792" type="#_x0000_t202" filled="false" stroked="false">
            <v:textbox inset="0,0,0,0">
              <w:txbxContent>
                <w:p>
                  <w:pPr>
                    <w:pStyle w:val="BodyText"/>
                    <w:tabs>
                      <w:tab w:pos="1251"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test </w:t>
      </w:r>
      <w:r>
        <w:rPr>
          <w:spacing w:val="2"/>
        </w:rPr>
        <w:t>(</w:t>
      </w:r>
      <w:r>
        <w:rPr>
          <w:rFonts w:ascii="Verdana" w:hAnsi="Verdana"/>
          <w:i/>
          <w:spacing w:val="2"/>
        </w:rPr>
        <w:t>β</w:t>
      </w:r>
      <w:r>
        <w:rPr>
          <w:color w:val="231F20"/>
          <w:spacing w:val="2"/>
          <w:vertAlign w:val="subscript"/>
        </w:rPr>
        <w:t>7</w:t>
      </w:r>
      <w:r>
        <w:rPr>
          <w:color w:val="231F20"/>
          <w:spacing w:val="2"/>
          <w:vertAlign w:val="baseline"/>
        </w:rPr>
        <w:t>    </w:t>
      </w:r>
      <w:r>
        <w:rPr>
          <w:vertAlign w:val="baseline"/>
        </w:rPr>
        <w:t>0.407, </w:t>
      </w:r>
      <w:r>
        <w:rPr>
          <w:i/>
          <w:vertAlign w:val="baseline"/>
        </w:rPr>
        <w:t>t</w:t>
      </w:r>
      <w:r>
        <w:rPr>
          <w:vertAlign w:val="baseline"/>
        </w:rPr>
        <w:t>-stat     1.41). </w:t>
      </w:r>
      <w:r>
        <w:rPr>
          <w:spacing w:val="-5"/>
          <w:vertAlign w:val="baseline"/>
        </w:rPr>
        <w:t>Taken  </w:t>
      </w:r>
      <w:r>
        <w:rPr>
          <w:spacing w:val="-3"/>
          <w:vertAlign w:val="baseline"/>
        </w:rPr>
        <w:t>together, </w:t>
      </w:r>
      <w:r>
        <w:rPr>
          <w:vertAlign w:val="baseline"/>
        </w:rPr>
        <w:t>the evidence on the effect of court ruling on firms with stronger boards provides further support to the</w:t>
      </w:r>
      <w:r>
        <w:rPr>
          <w:spacing w:val="-16"/>
          <w:vertAlign w:val="baseline"/>
        </w:rPr>
        <w:t> </w:t>
      </w:r>
      <w:r>
        <w:rPr>
          <w:vertAlign w:val="baseline"/>
        </w:rPr>
        <w:t>main</w:t>
      </w:r>
      <w:r>
        <w:rPr>
          <w:spacing w:val="-16"/>
          <w:vertAlign w:val="baseline"/>
        </w:rPr>
        <w:t> </w:t>
      </w:r>
      <w:r>
        <w:rPr>
          <w:vertAlign w:val="baseline"/>
        </w:rPr>
        <w:t>hypothesis</w:t>
      </w:r>
      <w:r>
        <w:rPr>
          <w:spacing w:val="-16"/>
          <w:vertAlign w:val="baseline"/>
        </w:rPr>
        <w:t> </w:t>
      </w:r>
      <w:r>
        <w:rPr>
          <w:vertAlign w:val="baseline"/>
        </w:rPr>
        <w:t>that</w:t>
      </w:r>
      <w:r>
        <w:rPr>
          <w:spacing w:val="-16"/>
          <w:vertAlign w:val="baseline"/>
        </w:rPr>
        <w:t> </w:t>
      </w:r>
      <w:r>
        <w:rPr>
          <w:vertAlign w:val="baseline"/>
        </w:rPr>
        <w:t>near</w:t>
      </w:r>
      <w:r>
        <w:rPr>
          <w:spacing w:val="-16"/>
          <w:vertAlign w:val="baseline"/>
        </w:rPr>
        <w:t> </w:t>
      </w:r>
      <w:r>
        <w:rPr>
          <w:vertAlign w:val="baseline"/>
        </w:rPr>
        <w:t>insolvent</w:t>
      </w:r>
      <w:r>
        <w:rPr>
          <w:spacing w:val="-16"/>
          <w:vertAlign w:val="baseline"/>
        </w:rPr>
        <w:t> </w:t>
      </w:r>
      <w:r>
        <w:rPr>
          <w:vertAlign w:val="baseline"/>
        </w:rPr>
        <w:t>Delaware</w:t>
      </w:r>
      <w:r>
        <w:rPr>
          <w:spacing w:val="-16"/>
          <w:vertAlign w:val="baseline"/>
        </w:rPr>
        <w:t> </w:t>
      </w:r>
      <w:r>
        <w:rPr>
          <w:vertAlign w:val="baseline"/>
        </w:rPr>
        <w:t>firms</w:t>
      </w:r>
      <w:r>
        <w:rPr>
          <w:spacing w:val="-16"/>
          <w:vertAlign w:val="baseline"/>
        </w:rPr>
        <w:t> </w:t>
      </w:r>
      <w:r>
        <w:rPr>
          <w:vertAlign w:val="baseline"/>
        </w:rPr>
        <w:t>increase</w:t>
      </w:r>
      <w:r>
        <w:rPr>
          <w:spacing w:val="-16"/>
          <w:vertAlign w:val="baseline"/>
        </w:rPr>
        <w:t> </w:t>
      </w:r>
      <w:r>
        <w:rPr>
          <w:vertAlign w:val="baseline"/>
        </w:rPr>
        <w:t>their</w:t>
      </w:r>
      <w:r>
        <w:rPr>
          <w:spacing w:val="-16"/>
          <w:vertAlign w:val="baseline"/>
        </w:rPr>
        <w:t> </w:t>
      </w:r>
      <w:r>
        <w:rPr>
          <w:vertAlign w:val="baseline"/>
        </w:rPr>
        <w:t>con- servatism in the post-ruling period, and the effect of the court ruling is achieved through the board of directors’</w:t>
      </w:r>
      <w:r>
        <w:rPr>
          <w:spacing w:val="-2"/>
          <w:vertAlign w:val="baseline"/>
        </w:rPr>
        <w:t> </w:t>
      </w:r>
      <w:r>
        <w:rPr>
          <w:vertAlign w:val="baseline"/>
        </w:rPr>
        <w:t>channel.</w:t>
      </w:r>
    </w:p>
    <w:p>
      <w:pPr>
        <w:pStyle w:val="ListParagraph"/>
        <w:numPr>
          <w:ilvl w:val="1"/>
          <w:numId w:val="3"/>
        </w:numPr>
        <w:tabs>
          <w:tab w:pos="540" w:val="left" w:leader="none"/>
        </w:tabs>
        <w:spacing w:line="240" w:lineRule="auto" w:before="169" w:after="0"/>
        <w:ind w:left="539" w:right="0" w:hanging="377"/>
        <w:jc w:val="left"/>
        <w:rPr>
          <w:sz w:val="16"/>
        </w:rPr>
      </w:pPr>
      <w:r>
        <w:rPr>
          <w:w w:val="105"/>
          <w:sz w:val="16"/>
        </w:rPr>
        <w:t>RESULTS USING ASYMMETRIC TIMELINESS MODELS OF</w:t>
      </w:r>
      <w:r>
        <w:rPr>
          <w:spacing w:val="25"/>
          <w:w w:val="105"/>
          <w:sz w:val="16"/>
        </w:rPr>
        <w:t> </w:t>
      </w:r>
      <w:r>
        <w:rPr>
          <w:w w:val="105"/>
          <w:sz w:val="16"/>
        </w:rPr>
        <w:t>CONSERVATISM</w:t>
      </w:r>
    </w:p>
    <w:p>
      <w:pPr>
        <w:pStyle w:val="ListParagraph"/>
        <w:numPr>
          <w:ilvl w:val="2"/>
          <w:numId w:val="4"/>
        </w:numPr>
        <w:tabs>
          <w:tab w:pos="940" w:val="left" w:leader="none"/>
        </w:tabs>
        <w:spacing w:line="230" w:lineRule="auto" w:before="76" w:after="0"/>
        <w:ind w:left="162" w:right="519" w:firstLine="199"/>
        <w:jc w:val="both"/>
        <w:rPr>
          <w:sz w:val="20"/>
        </w:rPr>
      </w:pPr>
      <w:r>
        <w:rPr/>
        <w:pict>
          <v:shape style="position:absolute;margin-left:193.448563pt;margin-top:52.907318pt;width:7.8pt;height:17.45pt;mso-position-horizontal-relative:page;mso-position-vertical-relative:paragraph;z-index:-67960"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18.972351pt;margin-top:40.955185pt;width:7.85pt;height:17.45pt;mso-position-horizontal-relative:page;mso-position-vertical-relative:paragraph;z-index:-67936" type="#_x0000_t202" filled="false" stroked="false">
            <v:textbox inset="0,0,0,0">
              <w:txbxContent>
                <w:p>
                  <w:pPr>
                    <w:pStyle w:val="BodyText"/>
                    <w:spacing w:line="247" w:lineRule="exact"/>
                    <w:rPr>
                      <w:rFonts w:ascii="Lucida Sans Unicode" w:hAnsi="Lucida Sans Unicode"/>
                    </w:rPr>
                  </w:pPr>
                  <w:r>
                    <w:rPr>
                      <w:rFonts w:ascii="Lucida Sans Unicode" w:hAnsi="Lucida Sans Unicode"/>
                      <w:w w:val="98"/>
                    </w:rPr>
                    <w:t>×</w:t>
                  </w:r>
                </w:p>
              </w:txbxContent>
            </v:textbox>
            <w10:wrap type="none"/>
          </v:shape>
        </w:pict>
      </w:r>
      <w:r>
        <w:rPr/>
        <w:pict>
          <v:shape style="position:absolute;margin-left:95.79715pt;margin-top:100.724808pt;width:7.8pt;height:17.45pt;mso-position-horizontal-relative:page;mso-position-vertical-relative:paragraph;z-index:-6791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81.261902pt;margin-top:88.772675pt;width:83.8pt;height:17.45pt;mso-position-horizontal-relative:page;mso-position-vertical-relative:paragraph;z-index:-67768" type="#_x0000_t202" filled="false" stroked="false">
            <v:textbox inset="0,0,0,0">
              <w:txbxContent>
                <w:p>
                  <w:pPr>
                    <w:pStyle w:val="BodyText"/>
                    <w:tabs>
                      <w:tab w:pos="630" w:val="left" w:leader="none"/>
                      <w:tab w:pos="1520" w:val="left" w:leader="none"/>
                    </w:tabs>
                    <w:spacing w:line="247" w:lineRule="exact"/>
                    <w:rPr>
                      <w:rFonts w:ascii="Lucida Sans Unicode" w:hAnsi="Lucida Sans Unicode"/>
                    </w:rPr>
                  </w:pPr>
                  <w:r>
                    <w:rPr>
                      <w:rFonts w:ascii="Lucida Sans Unicode" w:hAnsi="Lucida Sans Unicode"/>
                    </w:rPr>
                    <w:t>×</w:t>
                    <w:tab/>
                    <w:t>× </w:t>
                  </w:r>
                  <w:r>
                    <w:rPr>
                      <w:rFonts w:ascii="Lucida Sans Unicode" w:hAnsi="Lucida Sans Unicode"/>
                      <w:spacing w:val="1"/>
                    </w:rPr>
                    <w:t> </w:t>
                  </w:r>
                  <w:r>
                    <w:rPr>
                      <w:rFonts w:ascii="Lucida Sans Unicode" w:hAnsi="Lucida Sans Unicode"/>
                    </w:rPr>
                    <w:t>×</w:t>
                    <w:tab/>
                  </w:r>
                  <w:r>
                    <w:rPr>
                      <w:rFonts w:ascii="Lucida Sans Unicode" w:hAnsi="Lucida Sans Unicode"/>
                      <w:w w:val="95"/>
                    </w:rPr>
                    <w:t>=</w:t>
                  </w:r>
                </w:p>
              </w:txbxContent>
            </v:textbox>
            <w10:wrap type="none"/>
          </v:shape>
        </w:pict>
      </w:r>
      <w:r>
        <w:rPr>
          <w:i/>
          <w:sz w:val="20"/>
        </w:rPr>
        <w:t>Asymmetric</w:t>
      </w:r>
      <w:r>
        <w:rPr>
          <w:i/>
          <w:spacing w:val="-9"/>
          <w:sz w:val="20"/>
        </w:rPr>
        <w:t> </w:t>
      </w:r>
      <w:r>
        <w:rPr>
          <w:i/>
          <w:sz w:val="20"/>
        </w:rPr>
        <w:t>Timeliness</w:t>
      </w:r>
      <w:r>
        <w:rPr>
          <w:i/>
          <w:spacing w:val="-9"/>
          <w:sz w:val="20"/>
        </w:rPr>
        <w:t> </w:t>
      </w:r>
      <w:r>
        <w:rPr>
          <w:i/>
          <w:sz w:val="20"/>
        </w:rPr>
        <w:t>of</w:t>
      </w:r>
      <w:r>
        <w:rPr>
          <w:i/>
          <w:spacing w:val="-9"/>
          <w:sz w:val="20"/>
        </w:rPr>
        <w:t> </w:t>
      </w:r>
      <w:r>
        <w:rPr>
          <w:i/>
          <w:sz w:val="20"/>
        </w:rPr>
        <w:t>Earnings.</w:t>
      </w:r>
      <w:r>
        <w:rPr>
          <w:i/>
          <w:spacing w:val="10"/>
          <w:sz w:val="20"/>
        </w:rPr>
        <w:t> </w:t>
      </w:r>
      <w:r>
        <w:rPr>
          <w:sz w:val="20"/>
        </w:rPr>
        <w:t>Results</w:t>
      </w:r>
      <w:r>
        <w:rPr>
          <w:spacing w:val="-9"/>
          <w:sz w:val="20"/>
        </w:rPr>
        <w:t> </w:t>
      </w:r>
      <w:r>
        <w:rPr>
          <w:sz w:val="20"/>
        </w:rPr>
        <w:t>of</w:t>
      </w:r>
      <w:r>
        <w:rPr>
          <w:spacing w:val="-9"/>
          <w:sz w:val="20"/>
        </w:rPr>
        <w:t> </w:t>
      </w:r>
      <w:r>
        <w:rPr>
          <w:sz w:val="20"/>
        </w:rPr>
        <w:t>model</w:t>
      </w:r>
      <w:r>
        <w:rPr>
          <w:spacing w:val="-9"/>
          <w:sz w:val="20"/>
        </w:rPr>
        <w:t> </w:t>
      </w:r>
      <w:r>
        <w:rPr>
          <w:sz w:val="20"/>
        </w:rPr>
        <w:t>(3)</w:t>
      </w:r>
      <w:r>
        <w:rPr>
          <w:spacing w:val="-9"/>
          <w:sz w:val="20"/>
        </w:rPr>
        <w:t> </w:t>
      </w:r>
      <w:r>
        <w:rPr>
          <w:sz w:val="20"/>
        </w:rPr>
        <w:t>are</w:t>
      </w:r>
      <w:r>
        <w:rPr>
          <w:spacing w:val="-9"/>
          <w:sz w:val="20"/>
        </w:rPr>
        <w:t> </w:t>
      </w:r>
      <w:r>
        <w:rPr>
          <w:sz w:val="20"/>
        </w:rPr>
        <w:t>shown in table 6. In column (i), we first constrain our sample to Delaware firms and</w:t>
      </w:r>
      <w:r>
        <w:rPr>
          <w:spacing w:val="-8"/>
          <w:sz w:val="20"/>
        </w:rPr>
        <w:t> </w:t>
      </w:r>
      <w:r>
        <w:rPr>
          <w:sz w:val="20"/>
        </w:rPr>
        <w:t>vary</w:t>
      </w:r>
      <w:r>
        <w:rPr>
          <w:spacing w:val="-8"/>
          <w:sz w:val="20"/>
        </w:rPr>
        <w:t> </w:t>
      </w:r>
      <w:r>
        <w:rPr>
          <w:sz w:val="20"/>
        </w:rPr>
        <w:t>their</w:t>
      </w:r>
      <w:r>
        <w:rPr>
          <w:spacing w:val="-8"/>
          <w:sz w:val="20"/>
        </w:rPr>
        <w:t> </w:t>
      </w:r>
      <w:r>
        <w:rPr>
          <w:sz w:val="20"/>
        </w:rPr>
        <w:t>near</w:t>
      </w:r>
      <w:r>
        <w:rPr>
          <w:spacing w:val="-8"/>
          <w:sz w:val="20"/>
        </w:rPr>
        <w:t> </w:t>
      </w:r>
      <w:r>
        <w:rPr>
          <w:sz w:val="20"/>
        </w:rPr>
        <w:t>insolvency</w:t>
      </w:r>
      <w:r>
        <w:rPr>
          <w:spacing w:val="-8"/>
          <w:sz w:val="20"/>
        </w:rPr>
        <w:t> </w:t>
      </w:r>
      <w:r>
        <w:rPr>
          <w:sz w:val="20"/>
        </w:rPr>
        <w:t>status.</w:t>
      </w:r>
      <w:r>
        <w:rPr>
          <w:spacing w:val="-8"/>
          <w:sz w:val="20"/>
        </w:rPr>
        <w:t> </w:t>
      </w:r>
      <w:r>
        <w:rPr>
          <w:sz w:val="20"/>
        </w:rPr>
        <w:t>Consistent</w:t>
      </w:r>
      <w:r>
        <w:rPr>
          <w:spacing w:val="-8"/>
          <w:sz w:val="20"/>
        </w:rPr>
        <w:t> </w:t>
      </w:r>
      <w:r>
        <w:rPr>
          <w:sz w:val="20"/>
        </w:rPr>
        <w:t>with</w:t>
      </w:r>
      <w:r>
        <w:rPr>
          <w:spacing w:val="-8"/>
          <w:sz w:val="20"/>
        </w:rPr>
        <w:t> </w:t>
      </w:r>
      <w:r>
        <w:rPr>
          <w:sz w:val="20"/>
        </w:rPr>
        <w:t>prior</w:t>
      </w:r>
      <w:r>
        <w:rPr>
          <w:spacing w:val="-8"/>
          <w:sz w:val="20"/>
        </w:rPr>
        <w:t> </w:t>
      </w:r>
      <w:r>
        <w:rPr>
          <w:sz w:val="20"/>
        </w:rPr>
        <w:t>literature,</w:t>
      </w:r>
      <w:r>
        <w:rPr>
          <w:spacing w:val="-8"/>
          <w:sz w:val="20"/>
        </w:rPr>
        <w:t> </w:t>
      </w:r>
      <w:r>
        <w:rPr>
          <w:rFonts w:ascii="Verdana" w:hAnsi="Verdana"/>
          <w:i/>
          <w:spacing w:val="5"/>
          <w:sz w:val="20"/>
        </w:rPr>
        <w:t>β</w:t>
      </w:r>
      <w:r>
        <w:rPr>
          <w:color w:val="231F20"/>
          <w:spacing w:val="5"/>
          <w:sz w:val="20"/>
          <w:vertAlign w:val="subscript"/>
        </w:rPr>
        <w:t>3</w:t>
      </w:r>
      <w:r>
        <w:rPr>
          <w:spacing w:val="5"/>
          <w:sz w:val="20"/>
          <w:vertAlign w:val="baseline"/>
        </w:rPr>
        <w:t>, </w:t>
      </w:r>
      <w:r>
        <w:rPr>
          <w:sz w:val="20"/>
          <w:vertAlign w:val="baseline"/>
        </w:rPr>
        <w:t>the coefficient on timeliness of bad news recognition (</w:t>
      </w:r>
      <w:r>
        <w:rPr>
          <w:i/>
          <w:sz w:val="20"/>
          <w:vertAlign w:val="baseline"/>
        </w:rPr>
        <w:t>D RET</w:t>
      </w:r>
      <w:r>
        <w:rPr>
          <w:sz w:val="20"/>
          <w:vertAlign w:val="baseline"/>
        </w:rPr>
        <w:t>) is positive and significant (0.223, </w:t>
      </w:r>
      <w:r>
        <w:rPr>
          <w:i/>
          <w:sz w:val="20"/>
          <w:vertAlign w:val="baseline"/>
        </w:rPr>
        <w:t>t</w:t>
      </w:r>
      <w:r>
        <w:rPr>
          <w:sz w:val="20"/>
          <w:vertAlign w:val="baseline"/>
        </w:rPr>
        <w:t>-stat</w:t>
      </w:r>
      <w:r>
        <w:rPr>
          <w:spacing w:val="30"/>
          <w:sz w:val="20"/>
          <w:vertAlign w:val="baseline"/>
        </w:rPr>
        <w:t> </w:t>
      </w:r>
      <w:r>
        <w:rPr>
          <w:sz w:val="20"/>
          <w:vertAlign w:val="baseline"/>
        </w:rPr>
        <w:t>3.59). Moreover, consistent with our hypoth- esis,</w:t>
      </w:r>
      <w:r>
        <w:rPr>
          <w:spacing w:val="-10"/>
          <w:sz w:val="20"/>
          <w:vertAlign w:val="baseline"/>
        </w:rPr>
        <w:t> </w:t>
      </w:r>
      <w:r>
        <w:rPr>
          <w:sz w:val="20"/>
          <w:vertAlign w:val="baseline"/>
        </w:rPr>
        <w:t>the</w:t>
      </w:r>
      <w:r>
        <w:rPr>
          <w:spacing w:val="-10"/>
          <w:sz w:val="20"/>
          <w:vertAlign w:val="baseline"/>
        </w:rPr>
        <w:t> </w:t>
      </w:r>
      <w:r>
        <w:rPr>
          <w:sz w:val="20"/>
          <w:vertAlign w:val="baseline"/>
        </w:rPr>
        <w:t>post-ruling</w:t>
      </w:r>
      <w:r>
        <w:rPr>
          <w:spacing w:val="-10"/>
          <w:sz w:val="20"/>
          <w:vertAlign w:val="baseline"/>
        </w:rPr>
        <w:t> </w:t>
      </w:r>
      <w:r>
        <w:rPr>
          <w:sz w:val="20"/>
          <w:vertAlign w:val="baseline"/>
        </w:rPr>
        <w:t>increase</w:t>
      </w:r>
      <w:r>
        <w:rPr>
          <w:spacing w:val="-10"/>
          <w:sz w:val="20"/>
          <w:vertAlign w:val="baseline"/>
        </w:rPr>
        <w:t> </w:t>
      </w:r>
      <w:r>
        <w:rPr>
          <w:sz w:val="20"/>
          <w:vertAlign w:val="baseline"/>
        </w:rPr>
        <w:t>in</w:t>
      </w:r>
      <w:r>
        <w:rPr>
          <w:spacing w:val="-10"/>
          <w:sz w:val="20"/>
          <w:vertAlign w:val="baseline"/>
        </w:rPr>
        <w:t> </w:t>
      </w:r>
      <w:r>
        <w:rPr>
          <w:sz w:val="20"/>
          <w:vertAlign w:val="baseline"/>
        </w:rPr>
        <w:t>asymmetric</w:t>
      </w:r>
      <w:r>
        <w:rPr>
          <w:spacing w:val="-10"/>
          <w:sz w:val="20"/>
          <w:vertAlign w:val="baseline"/>
        </w:rPr>
        <w:t> </w:t>
      </w:r>
      <w:r>
        <w:rPr>
          <w:sz w:val="20"/>
          <w:vertAlign w:val="baseline"/>
        </w:rPr>
        <w:t>timeliness</w:t>
      </w:r>
      <w:r>
        <w:rPr>
          <w:spacing w:val="-10"/>
          <w:sz w:val="20"/>
          <w:vertAlign w:val="baseline"/>
        </w:rPr>
        <w:t> </w:t>
      </w:r>
      <w:r>
        <w:rPr>
          <w:sz w:val="20"/>
          <w:vertAlign w:val="baseline"/>
        </w:rPr>
        <w:t>of</w:t>
      </w:r>
      <w:r>
        <w:rPr>
          <w:spacing w:val="-10"/>
          <w:sz w:val="20"/>
          <w:vertAlign w:val="baseline"/>
        </w:rPr>
        <w:t> </w:t>
      </w:r>
      <w:r>
        <w:rPr>
          <w:sz w:val="20"/>
          <w:vertAlign w:val="baseline"/>
        </w:rPr>
        <w:t>earnings</w:t>
      </w:r>
      <w:r>
        <w:rPr>
          <w:spacing w:val="-10"/>
          <w:sz w:val="20"/>
          <w:vertAlign w:val="baseline"/>
        </w:rPr>
        <w:t> </w:t>
      </w:r>
      <w:r>
        <w:rPr>
          <w:sz w:val="20"/>
          <w:vertAlign w:val="baseline"/>
        </w:rPr>
        <w:t>for</w:t>
      </w:r>
      <w:r>
        <w:rPr>
          <w:spacing w:val="-10"/>
          <w:sz w:val="20"/>
          <w:vertAlign w:val="baseline"/>
        </w:rPr>
        <w:t> </w:t>
      </w:r>
      <w:r>
        <w:rPr>
          <w:sz w:val="20"/>
          <w:vertAlign w:val="baseline"/>
        </w:rPr>
        <w:t>near insolvent Delaware firms is significantly larger than that of non-near in- solvent Delaware firms (coefficient on </w:t>
      </w:r>
      <w:r>
        <w:rPr>
          <w:i/>
          <w:sz w:val="20"/>
          <w:vertAlign w:val="baseline"/>
        </w:rPr>
        <w:t>HEDF93 POST  D  RET  </w:t>
      </w:r>
      <w:r>
        <w:rPr>
          <w:sz w:val="20"/>
          <w:vertAlign w:val="baseline"/>
        </w:rPr>
        <w:t>0.143, </w:t>
      </w:r>
      <w:r>
        <w:rPr>
          <w:i/>
          <w:sz w:val="20"/>
          <w:vertAlign w:val="baseline"/>
        </w:rPr>
        <w:t>t</w:t>
      </w:r>
      <w:r>
        <w:rPr>
          <w:sz w:val="20"/>
          <w:vertAlign w:val="baseline"/>
        </w:rPr>
        <w:t>-stat 2.49). In column (ii), we constrain our sample to near insolvent firms</w:t>
      </w:r>
      <w:r>
        <w:rPr>
          <w:spacing w:val="-28"/>
          <w:sz w:val="20"/>
          <w:vertAlign w:val="baseline"/>
        </w:rPr>
        <w:t> </w:t>
      </w:r>
      <w:r>
        <w:rPr>
          <w:sz w:val="20"/>
          <w:vertAlign w:val="baseline"/>
        </w:rPr>
        <w:t>only</w:t>
      </w:r>
      <w:r>
        <w:rPr>
          <w:spacing w:val="-27"/>
          <w:sz w:val="20"/>
          <w:vertAlign w:val="baseline"/>
        </w:rPr>
        <w:t> </w:t>
      </w:r>
      <w:r>
        <w:rPr>
          <w:sz w:val="20"/>
          <w:vertAlign w:val="baseline"/>
        </w:rPr>
        <w:t>and</w:t>
      </w:r>
      <w:r>
        <w:rPr>
          <w:spacing w:val="-28"/>
          <w:sz w:val="20"/>
          <w:vertAlign w:val="baseline"/>
        </w:rPr>
        <w:t> </w:t>
      </w:r>
      <w:r>
        <w:rPr>
          <w:sz w:val="20"/>
          <w:vertAlign w:val="baseline"/>
        </w:rPr>
        <w:t>allow</w:t>
      </w:r>
      <w:r>
        <w:rPr>
          <w:spacing w:val="-27"/>
          <w:sz w:val="20"/>
          <w:vertAlign w:val="baseline"/>
        </w:rPr>
        <w:t> </w:t>
      </w:r>
      <w:r>
        <w:rPr>
          <w:sz w:val="20"/>
          <w:vertAlign w:val="baseline"/>
        </w:rPr>
        <w:t>Delaware</w:t>
      </w:r>
      <w:r>
        <w:rPr>
          <w:spacing w:val="-27"/>
          <w:sz w:val="20"/>
          <w:vertAlign w:val="baseline"/>
        </w:rPr>
        <w:t> </w:t>
      </w:r>
      <w:r>
        <w:rPr>
          <w:sz w:val="20"/>
          <w:vertAlign w:val="baseline"/>
        </w:rPr>
        <w:t>incorporation</w:t>
      </w:r>
      <w:r>
        <w:rPr>
          <w:spacing w:val="-27"/>
          <w:sz w:val="20"/>
          <w:vertAlign w:val="baseline"/>
        </w:rPr>
        <w:t> </w:t>
      </w:r>
      <w:r>
        <w:rPr>
          <w:sz w:val="20"/>
          <w:vertAlign w:val="baseline"/>
        </w:rPr>
        <w:t>status</w:t>
      </w:r>
      <w:r>
        <w:rPr>
          <w:spacing w:val="-28"/>
          <w:sz w:val="20"/>
          <w:vertAlign w:val="baseline"/>
        </w:rPr>
        <w:t> </w:t>
      </w:r>
      <w:r>
        <w:rPr>
          <w:sz w:val="20"/>
          <w:vertAlign w:val="baseline"/>
        </w:rPr>
        <w:t>to</w:t>
      </w:r>
      <w:r>
        <w:rPr>
          <w:spacing w:val="-27"/>
          <w:sz w:val="20"/>
          <w:vertAlign w:val="baseline"/>
        </w:rPr>
        <w:t> </w:t>
      </w:r>
      <w:r>
        <w:rPr>
          <w:spacing w:val="-3"/>
          <w:sz w:val="20"/>
          <w:vertAlign w:val="baseline"/>
        </w:rPr>
        <w:t>vary.</w:t>
      </w:r>
      <w:r>
        <w:rPr>
          <w:spacing w:val="-27"/>
          <w:sz w:val="20"/>
          <w:vertAlign w:val="baseline"/>
        </w:rPr>
        <w:t> </w:t>
      </w:r>
      <w:r>
        <w:rPr>
          <w:spacing w:val="-6"/>
          <w:sz w:val="20"/>
          <w:vertAlign w:val="baseline"/>
        </w:rPr>
        <w:t>We</w:t>
      </w:r>
      <w:r>
        <w:rPr>
          <w:spacing w:val="-28"/>
          <w:sz w:val="20"/>
          <w:vertAlign w:val="baseline"/>
        </w:rPr>
        <w:t> </w:t>
      </w:r>
      <w:r>
        <w:rPr>
          <w:sz w:val="20"/>
          <w:vertAlign w:val="baseline"/>
        </w:rPr>
        <w:t>find</w:t>
      </w:r>
      <w:r>
        <w:rPr>
          <w:spacing w:val="-28"/>
          <w:sz w:val="20"/>
          <w:vertAlign w:val="baseline"/>
        </w:rPr>
        <w:t> </w:t>
      </w:r>
      <w:r>
        <w:rPr>
          <w:sz w:val="20"/>
          <w:vertAlign w:val="baseline"/>
        </w:rPr>
        <w:t>that</w:t>
      </w:r>
      <w:r>
        <w:rPr>
          <w:spacing w:val="-27"/>
          <w:sz w:val="20"/>
          <w:vertAlign w:val="baseline"/>
        </w:rPr>
        <w:t> </w:t>
      </w:r>
      <w:r>
        <w:rPr>
          <w:sz w:val="20"/>
          <w:vertAlign w:val="baseline"/>
        </w:rPr>
        <w:t>the post-ruling</w:t>
      </w:r>
      <w:r>
        <w:rPr>
          <w:spacing w:val="-31"/>
          <w:sz w:val="20"/>
          <w:vertAlign w:val="baseline"/>
        </w:rPr>
        <w:t> </w:t>
      </w:r>
      <w:r>
        <w:rPr>
          <w:sz w:val="20"/>
          <w:vertAlign w:val="baseline"/>
        </w:rPr>
        <w:t>increase</w:t>
      </w:r>
      <w:r>
        <w:rPr>
          <w:spacing w:val="-31"/>
          <w:sz w:val="20"/>
          <w:vertAlign w:val="baseline"/>
        </w:rPr>
        <w:t> </w:t>
      </w:r>
      <w:r>
        <w:rPr>
          <w:sz w:val="20"/>
          <w:vertAlign w:val="baseline"/>
        </w:rPr>
        <w:t>in</w:t>
      </w:r>
      <w:r>
        <w:rPr>
          <w:spacing w:val="-31"/>
          <w:sz w:val="20"/>
          <w:vertAlign w:val="baseline"/>
        </w:rPr>
        <w:t> </w:t>
      </w:r>
      <w:r>
        <w:rPr>
          <w:sz w:val="20"/>
          <w:vertAlign w:val="baseline"/>
        </w:rPr>
        <w:t>conservatism</w:t>
      </w:r>
      <w:r>
        <w:rPr>
          <w:spacing w:val="-31"/>
          <w:sz w:val="20"/>
          <w:vertAlign w:val="baseline"/>
        </w:rPr>
        <w:t> </w:t>
      </w:r>
      <w:r>
        <w:rPr>
          <w:sz w:val="20"/>
          <w:vertAlign w:val="baseline"/>
        </w:rPr>
        <w:t>is</w:t>
      </w:r>
      <w:r>
        <w:rPr>
          <w:spacing w:val="-31"/>
          <w:sz w:val="20"/>
          <w:vertAlign w:val="baseline"/>
        </w:rPr>
        <w:t> </w:t>
      </w:r>
      <w:r>
        <w:rPr>
          <w:sz w:val="20"/>
          <w:vertAlign w:val="baseline"/>
        </w:rPr>
        <w:t>significantly</w:t>
      </w:r>
      <w:r>
        <w:rPr>
          <w:spacing w:val="-31"/>
          <w:sz w:val="20"/>
          <w:vertAlign w:val="baseline"/>
        </w:rPr>
        <w:t> </w:t>
      </w:r>
      <w:r>
        <w:rPr>
          <w:sz w:val="20"/>
          <w:vertAlign w:val="baseline"/>
        </w:rPr>
        <w:t>larger</w:t>
      </w:r>
      <w:r>
        <w:rPr>
          <w:spacing w:val="-31"/>
          <w:sz w:val="20"/>
          <w:vertAlign w:val="baseline"/>
        </w:rPr>
        <w:t> </w:t>
      </w:r>
      <w:r>
        <w:rPr>
          <w:sz w:val="20"/>
          <w:vertAlign w:val="baseline"/>
        </w:rPr>
        <w:t>for</w:t>
      </w:r>
      <w:r>
        <w:rPr>
          <w:spacing w:val="-31"/>
          <w:sz w:val="20"/>
          <w:vertAlign w:val="baseline"/>
        </w:rPr>
        <w:t> </w:t>
      </w:r>
      <w:r>
        <w:rPr>
          <w:sz w:val="20"/>
          <w:vertAlign w:val="baseline"/>
        </w:rPr>
        <w:t>near</w:t>
      </w:r>
      <w:r>
        <w:rPr>
          <w:spacing w:val="-31"/>
          <w:sz w:val="20"/>
          <w:vertAlign w:val="baseline"/>
        </w:rPr>
        <w:t> </w:t>
      </w:r>
      <w:r>
        <w:rPr>
          <w:sz w:val="20"/>
          <w:vertAlign w:val="baseline"/>
        </w:rPr>
        <w:t>insolvent</w:t>
      </w:r>
    </w:p>
    <w:p>
      <w:pPr>
        <w:spacing w:after="0" w:line="230" w:lineRule="auto"/>
        <w:jc w:val="both"/>
        <w:rPr>
          <w:sz w:val="20"/>
        </w:rPr>
        <w:sectPr>
          <w:headerReference w:type="even" r:id="rId18"/>
          <w:headerReference w:type="default" r:id="rId19"/>
          <w:pgSz w:w="9720" w:h="14400"/>
          <w:pgMar w:header="1055" w:footer="0" w:top="1300" w:bottom="280" w:left="1280" w:right="1300"/>
        </w:sectPr>
      </w:pPr>
    </w:p>
    <w:p>
      <w:pPr>
        <w:pStyle w:val="BodyText"/>
        <w:spacing w:before="8"/>
        <w:rPr>
          <w:sz w:val="14"/>
        </w:rPr>
      </w:pPr>
    </w:p>
    <w:p>
      <w:pPr>
        <w:spacing w:before="0"/>
        <w:ind w:left="495" w:right="152" w:firstLine="0"/>
        <w:jc w:val="center"/>
        <w:rPr>
          <w:rFonts w:ascii="Times New Roman"/>
          <w:b/>
          <w:sz w:val="16"/>
        </w:rPr>
      </w:pPr>
      <w:r>
        <w:rPr>
          <w:rFonts w:ascii="Times New Roman"/>
          <w:b/>
          <w:color w:val="231F20"/>
          <w:sz w:val="16"/>
        </w:rPr>
        <w:t>TA B L E  6</w:t>
      </w:r>
    </w:p>
    <w:p>
      <w:pPr>
        <w:spacing w:before="16" w:after="19"/>
        <w:ind w:left="495" w:right="115" w:firstLine="0"/>
        <w:jc w:val="center"/>
        <w:rPr>
          <w:i/>
          <w:sz w:val="16"/>
        </w:rPr>
      </w:pPr>
      <w:r>
        <w:rPr>
          <w:i/>
          <w:color w:val="231F20"/>
          <w:sz w:val="16"/>
        </w:rPr>
        <w:t>Effect of the 1991 Delaware Court Ruling on Asymmetric Timeliness of Earnings</w:t>
      </w:r>
    </w:p>
    <w:p>
      <w:pPr>
        <w:pStyle w:val="BodyText"/>
        <w:spacing w:line="53" w:lineRule="exact"/>
        <w:ind w:left="52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203" w:val="left" w:leader="none"/>
          <w:tab w:pos="2979" w:val="left" w:leader="none"/>
          <w:tab w:pos="3624" w:val="left" w:leader="none"/>
          <w:tab w:pos="4315" w:val="left" w:leader="none"/>
          <w:tab w:pos="4938" w:val="left" w:leader="none"/>
          <w:tab w:pos="5652" w:val="left" w:leader="none"/>
          <w:tab w:pos="6252" w:val="left" w:leader="none"/>
          <w:tab w:pos="6988" w:val="left" w:leader="none"/>
        </w:tabs>
        <w:spacing w:before="25"/>
        <w:ind w:left="532" w:right="0" w:firstLine="0"/>
        <w:jc w:val="left"/>
        <w:rPr>
          <w:sz w:val="16"/>
        </w:rPr>
      </w:pPr>
      <w:r>
        <w:rPr>
          <w:color w:val="231F20"/>
          <w:w w:val="103"/>
          <w:sz w:val="16"/>
          <w:u w:val="single" w:color="000000"/>
        </w:rPr>
        <w:t> </w:t>
      </w:r>
      <w:r>
        <w:rPr>
          <w:color w:val="231F20"/>
          <w:sz w:val="16"/>
          <w:u w:val="single" w:color="000000"/>
        </w:rPr>
        <w:tab/>
      </w:r>
      <w:r>
        <w:rPr>
          <w:color w:val="231F20"/>
          <w:w w:val="105"/>
          <w:sz w:val="16"/>
          <w:u w:val="single" w:color="000000"/>
        </w:rPr>
        <w:t>Dep. </w:t>
      </w:r>
      <w:r>
        <w:rPr>
          <w:color w:val="231F20"/>
          <w:spacing w:val="-6"/>
          <w:w w:val="105"/>
          <w:sz w:val="16"/>
          <w:u w:val="single" w:color="000000"/>
        </w:rPr>
        <w:t>Var.</w:t>
      </w:r>
      <w:r>
        <w:rPr>
          <w:color w:val="231F20"/>
          <w:spacing w:val="-28"/>
          <w:w w:val="105"/>
          <w:sz w:val="16"/>
          <w:u w:val="single" w:color="000000"/>
        </w:rPr>
        <w:t> </w:t>
      </w:r>
      <w:r>
        <w:rPr>
          <w:rFonts w:ascii="Lucida Sans Unicode"/>
          <w:color w:val="231F20"/>
          <w:w w:val="105"/>
          <w:sz w:val="16"/>
          <w:u w:val="single" w:color="000000"/>
        </w:rPr>
        <w:t>=</w:t>
      </w:r>
      <w:r>
        <w:rPr>
          <w:rFonts w:ascii="Lucida Sans Unicode"/>
          <w:color w:val="231F20"/>
          <w:spacing w:val="-26"/>
          <w:w w:val="105"/>
          <w:sz w:val="16"/>
          <w:u w:val="single" w:color="000000"/>
        </w:rPr>
        <w:t> </w:t>
      </w:r>
      <w:r>
        <w:rPr>
          <w:i/>
          <w:color w:val="231F20"/>
          <w:w w:val="105"/>
          <w:sz w:val="16"/>
          <w:u w:val="single" w:color="000000"/>
        </w:rPr>
        <w:t>X/P</w:t>
        <w:tab/>
        <w:t> </w:t>
        <w:tab/>
      </w:r>
      <w:r>
        <w:rPr>
          <w:color w:val="231F20"/>
          <w:w w:val="105"/>
          <w:sz w:val="16"/>
          <w:u w:val="single" w:color="000000"/>
        </w:rPr>
        <w:t>(i)</w:t>
        <w:tab/>
        <w:t> </w:t>
        <w:tab/>
        <w:t>(ii)</w:t>
        <w:tab/>
        <w:t> </w:t>
        <w:tab/>
        <w:t>(iii)</w:t>
      </w:r>
      <w:r>
        <w:rPr>
          <w:color w:val="231F20"/>
          <w:sz w:val="16"/>
          <w:u w:val="single" w:color="000000"/>
        </w:rPr>
        <w:tab/>
      </w:r>
    </w:p>
    <w:p>
      <w:pPr>
        <w:tabs>
          <w:tab w:pos="3426" w:val="left" w:leader="none"/>
          <w:tab w:pos="4315" w:val="left" w:leader="none"/>
        </w:tabs>
        <w:spacing w:before="23"/>
        <w:ind w:left="3118" w:right="0" w:firstLine="0"/>
        <w:jc w:val="left"/>
        <w:rPr>
          <w:sz w:val="16"/>
        </w:rPr>
      </w:pPr>
      <w:r>
        <w:rPr>
          <w:i/>
          <w:color w:val="231F20"/>
          <w:w w:val="103"/>
          <w:sz w:val="16"/>
          <w:u w:val="single" w:color="000000"/>
        </w:rPr>
        <w:t> </w:t>
      </w:r>
      <w:r>
        <w:rPr>
          <w:i/>
          <w:color w:val="231F20"/>
          <w:sz w:val="16"/>
          <w:u w:val="single" w:color="000000"/>
        </w:rPr>
        <w:tab/>
        <w:t>DEL</w:t>
      </w:r>
      <w:r>
        <w:rPr>
          <w:i/>
          <w:color w:val="231F20"/>
          <w:spacing w:val="-2"/>
          <w:sz w:val="16"/>
          <w:u w:val="single" w:color="000000"/>
        </w:rPr>
        <w:t> </w:t>
      </w:r>
      <w:r>
        <w:rPr>
          <w:rFonts w:ascii="Lucida Sans Unicode"/>
          <w:color w:val="231F20"/>
          <w:sz w:val="16"/>
          <w:u w:val="single" w:color="000000"/>
        </w:rPr>
        <w:t>=</w:t>
      </w:r>
      <w:r>
        <w:rPr>
          <w:rFonts w:ascii="Lucida Sans Unicode"/>
          <w:color w:val="231F20"/>
          <w:spacing w:val="-12"/>
          <w:sz w:val="16"/>
          <w:u w:val="single" w:color="000000"/>
        </w:rPr>
        <w:t> </w:t>
      </w:r>
      <w:r>
        <w:rPr>
          <w:color w:val="231F20"/>
          <w:sz w:val="16"/>
          <w:u w:val="single" w:color="000000"/>
        </w:rPr>
        <w:t>1</w:t>
        <w:tab/>
      </w:r>
      <w:r>
        <w:rPr>
          <w:i/>
          <w:color w:val="231F20"/>
          <w:sz w:val="16"/>
          <w:u w:val="single" w:color="000000"/>
        </w:rPr>
        <w:t>HEDF93 </w:t>
      </w:r>
      <w:r>
        <w:rPr>
          <w:rFonts w:ascii="Lucida Sans Unicode"/>
          <w:color w:val="231F20"/>
          <w:sz w:val="16"/>
          <w:u w:val="single" w:color="000000"/>
        </w:rPr>
        <w:t>= </w:t>
      </w:r>
      <w:r>
        <w:rPr>
          <w:color w:val="231F20"/>
          <w:sz w:val="16"/>
          <w:u w:val="single" w:color="000000"/>
        </w:rPr>
        <w:t>1 Full</w:t>
      </w:r>
      <w:r>
        <w:rPr>
          <w:color w:val="231F20"/>
          <w:spacing w:val="-13"/>
          <w:sz w:val="16"/>
          <w:u w:val="single" w:color="000000"/>
        </w:rPr>
        <w:t> </w:t>
      </w:r>
      <w:r>
        <w:rPr>
          <w:color w:val="231F20"/>
          <w:sz w:val="16"/>
          <w:u w:val="single" w:color="000000"/>
        </w:rPr>
        <w:t>sample</w:t>
      </w:r>
    </w:p>
    <w:p>
      <w:pPr>
        <w:tabs>
          <w:tab w:pos="3256" w:val="left" w:leader="none"/>
          <w:tab w:pos="3949" w:val="left" w:leader="none"/>
          <w:tab w:pos="4592" w:val="left" w:leader="none"/>
          <w:tab w:pos="5285" w:val="left" w:leader="none"/>
          <w:tab w:pos="5928" w:val="left" w:leader="none"/>
          <w:tab w:pos="6622" w:val="left" w:leader="none"/>
        </w:tabs>
        <w:spacing w:before="45"/>
        <w:ind w:left="532" w:right="0" w:firstLine="0"/>
        <w:jc w:val="left"/>
        <w:rPr>
          <w:sz w:val="16"/>
        </w:rPr>
      </w:pPr>
      <w:r>
        <w:rPr>
          <w:color w:val="231F20"/>
          <w:sz w:val="16"/>
        </w:rPr>
        <w:t>Independent</w:t>
      </w:r>
      <w:r>
        <w:rPr>
          <w:color w:val="231F20"/>
          <w:spacing w:val="-4"/>
          <w:sz w:val="16"/>
        </w:rPr>
        <w:t> </w:t>
      </w:r>
      <w:r>
        <w:rPr>
          <w:color w:val="231F20"/>
          <w:spacing w:val="-7"/>
          <w:sz w:val="16"/>
        </w:rPr>
        <w:t>Var.</w:t>
        <w:tab/>
      </w:r>
      <w:r>
        <w:rPr>
          <w:color w:val="231F20"/>
          <w:sz w:val="16"/>
        </w:rPr>
        <w:t>Coef.</w:t>
        <w:tab/>
      </w:r>
      <w:r>
        <w:rPr>
          <w:i/>
          <w:color w:val="231F20"/>
          <w:sz w:val="16"/>
        </w:rPr>
        <w:t>t</w:t>
      </w:r>
      <w:r>
        <w:rPr>
          <w:color w:val="231F20"/>
          <w:sz w:val="16"/>
        </w:rPr>
        <w:t>-stat</w:t>
        <w:tab/>
        <w:t>Coef.</w:t>
        <w:tab/>
      </w:r>
      <w:r>
        <w:rPr>
          <w:i/>
          <w:color w:val="231F20"/>
          <w:sz w:val="16"/>
        </w:rPr>
        <w:t>t</w:t>
      </w:r>
      <w:r>
        <w:rPr>
          <w:color w:val="231F20"/>
          <w:sz w:val="16"/>
        </w:rPr>
        <w:t>-stat</w:t>
        <w:tab/>
        <w:t>Coef.</w:t>
        <w:tab/>
      </w:r>
      <w:r>
        <w:rPr>
          <w:i/>
          <w:color w:val="231F20"/>
          <w:sz w:val="16"/>
        </w:rPr>
        <w:t>t</w:t>
      </w:r>
      <w:r>
        <w:rPr>
          <w:color w:val="231F20"/>
          <w:sz w:val="16"/>
        </w:rPr>
        <w:t>-stat</w:t>
      </w:r>
    </w:p>
    <w:p>
      <w:pPr>
        <w:tabs>
          <w:tab w:pos="2802" w:val="left" w:leader="none"/>
          <w:tab w:pos="4025" w:val="left" w:leader="none"/>
          <w:tab w:pos="4576" w:val="left" w:leader="none"/>
          <w:tab w:pos="5361" w:val="left" w:leader="none"/>
          <w:tab w:pos="5912" w:val="left" w:leader="none"/>
          <w:tab w:pos="6988" w:val="right" w:leader="none"/>
        </w:tabs>
        <w:spacing w:line="197" w:lineRule="exact" w:before="76"/>
        <w:ind w:left="532" w:right="0" w:firstLine="0"/>
        <w:jc w:val="left"/>
        <w:rPr>
          <w:sz w:val="16"/>
        </w:rPr>
      </w:pPr>
      <w:r>
        <w:rPr/>
        <w:pict>
          <v:line style="position:absolute;mso-position-horizontal-relative:page;mso-position-vertical-relative:paragraph;z-index:4192" from="90.629997pt,2.204614pt" to="413.423997pt,2.204614pt" stroked="true" strokeweight=".504pt" strokecolor="#000000">
            <v:stroke dashstyle="solid"/>
            <w10:wrap type="none"/>
          </v:line>
        </w:pict>
      </w:r>
      <w:r>
        <w:rPr/>
        <w:pict>
          <v:shape style="position:absolute;margin-left:219.807007pt;margin-top:5.131454pt;width:179.1pt;height:14pt;mso-position-horizontal-relative:page;mso-position-vertical-relative:paragraph;z-index:-66952" type="#_x0000_t202" filled="false" stroked="false">
            <v:textbox inset="0,0,0,0">
              <w:txbxContent>
                <w:p>
                  <w:pPr>
                    <w:tabs>
                      <w:tab w:pos="784" w:val="left" w:leader="none"/>
                      <w:tab w:pos="1336" w:val="left" w:leader="none"/>
                      <w:tab w:pos="2120" w:val="left" w:leader="none"/>
                      <w:tab w:pos="2672" w:val="left" w:leader="none"/>
                      <w:tab w:pos="345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color w:val="231F20"/>
          <w:sz w:val="16"/>
        </w:rPr>
        <w:t>Intercept</w:t>
        <w:tab/>
      </w:r>
      <w:r>
        <w:rPr>
          <w:i/>
          <w:color w:val="231F20"/>
          <w:sz w:val="16"/>
        </w:rPr>
        <w:t>ß</w:t>
      </w:r>
      <w:r>
        <w:rPr>
          <w:i/>
          <w:color w:val="231F20"/>
          <w:position w:val="-1"/>
          <w:sz w:val="9"/>
        </w:rPr>
        <w:t>0       </w:t>
      </w:r>
      <w:r>
        <w:rPr>
          <w:i/>
          <w:color w:val="231F20"/>
          <w:spacing w:val="2"/>
          <w:position w:val="-1"/>
          <w:sz w:val="9"/>
        </w:rPr>
        <w:t> </w:t>
      </w:r>
      <w:r>
        <w:rPr>
          <w:color w:val="231F20"/>
          <w:sz w:val="16"/>
        </w:rPr>
        <w:t>0.002</w:t>
        <w:tab/>
        <w:t>0.16</w:t>
        <w:tab/>
        <w:t>0.040</w:t>
        <w:tab/>
        <w:t>1.32</w:t>
        <w:tab/>
        <w:t>0.001</w:t>
        <w:tab/>
        <w:t>0.11</w:t>
      </w:r>
    </w:p>
    <w:p>
      <w:pPr>
        <w:tabs>
          <w:tab w:pos="2802" w:val="left" w:leader="none"/>
          <w:tab w:pos="4576" w:val="left" w:leader="none"/>
          <w:tab w:pos="5361" w:val="left" w:leader="none"/>
          <w:tab w:pos="5912" w:val="left" w:leader="none"/>
          <w:tab w:pos="6988" w:val="right" w:leader="none"/>
        </w:tabs>
        <w:spacing w:line="202" w:lineRule="exact" w:before="0"/>
        <w:ind w:left="532" w:right="0" w:firstLine="0"/>
        <w:jc w:val="left"/>
        <w:rPr>
          <w:sz w:val="16"/>
        </w:rPr>
      </w:pPr>
      <w:r>
        <w:rPr>
          <w:i/>
          <w:color w:val="231F20"/>
          <w:sz w:val="16"/>
        </w:rPr>
        <w:t>RET</w:t>
        <w:tab/>
        <w:t>ß</w:t>
      </w:r>
      <w:r>
        <w:rPr>
          <w:i/>
          <w:color w:val="231F20"/>
          <w:position w:val="-1"/>
          <w:sz w:val="9"/>
        </w:rPr>
        <w:t>1      </w:t>
      </w:r>
      <w:r>
        <w:rPr>
          <w:i/>
          <w:color w:val="231F20"/>
          <w:spacing w:val="7"/>
          <w:position w:val="-1"/>
          <w:sz w:val="9"/>
        </w:rPr>
        <w:t> </w:t>
      </w:r>
      <w:r>
        <w:rPr>
          <w:color w:val="231F20"/>
          <w:sz w:val="16"/>
        </w:rPr>
        <w:t>0.040</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2.12</w:t>
        <w:tab/>
        <w:t>0.052</w:t>
        <w:tab/>
        <w:t>1.37</w:t>
        <w:tab/>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2.28</w:t>
      </w:r>
    </w:p>
    <w:p>
      <w:pPr>
        <w:tabs>
          <w:tab w:pos="2802" w:val="left" w:leader="none"/>
          <w:tab w:pos="4025" w:val="left" w:leader="none"/>
          <w:tab w:pos="4576" w:val="left" w:leader="none"/>
          <w:tab w:pos="5361" w:val="left" w:leader="none"/>
          <w:tab w:pos="5912" w:val="left" w:leader="none"/>
          <w:tab w:pos="6988" w:val="right" w:leader="none"/>
        </w:tabs>
        <w:spacing w:line="197" w:lineRule="exact" w:before="0"/>
        <w:ind w:left="532" w:right="0" w:firstLine="0"/>
        <w:jc w:val="left"/>
        <w:rPr>
          <w:sz w:val="16"/>
        </w:rPr>
      </w:pPr>
      <w:r>
        <w:rPr/>
        <w:pict>
          <v:shape style="position:absolute;margin-left:219.807007pt;margin-top:1.331268pt;width:45.5pt;height:14pt;mso-position-horizontal-relative:page;mso-position-vertical-relative:paragraph;z-index:-67480" type="#_x0000_t202" filled="false" stroked="false">
            <v:textbox inset="0,0,0,0">
              <w:txbxContent>
                <w:p>
                  <w:pPr>
                    <w:tabs>
                      <w:tab w:pos="78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w w:val="105"/>
          <w:sz w:val="16"/>
        </w:rPr>
        <w:t>D</w:t>
        <w:tab/>
        <w:t>ß</w:t>
      </w:r>
      <w:r>
        <w:rPr>
          <w:i/>
          <w:color w:val="231F20"/>
          <w:w w:val="105"/>
          <w:position w:val="-1"/>
          <w:sz w:val="9"/>
        </w:rPr>
        <w:t>2      </w:t>
      </w:r>
      <w:r>
        <w:rPr>
          <w:i/>
          <w:color w:val="231F20"/>
          <w:spacing w:val="1"/>
          <w:w w:val="105"/>
          <w:position w:val="-1"/>
          <w:sz w:val="9"/>
        </w:rPr>
        <w:t> </w:t>
      </w:r>
      <w:r>
        <w:rPr>
          <w:color w:val="231F20"/>
          <w:w w:val="105"/>
          <w:sz w:val="16"/>
        </w:rPr>
        <w:t>0.005</w:t>
        <w:tab/>
        <w:t>0.21</w:t>
        <w:tab/>
        <w:t>0.048</w:t>
        <w:tab/>
        <w:t>1.17</w:t>
        <w:tab/>
        <w:t>0.002</w:t>
        <w:tab/>
        <w:t>0.11</w:t>
      </w:r>
    </w:p>
    <w:p>
      <w:pPr>
        <w:tabs>
          <w:tab w:pos="2802" w:val="left" w:leader="none"/>
          <w:tab w:pos="4576" w:val="left" w:leader="none"/>
          <w:tab w:pos="5912" w:val="left" w:leader="none"/>
          <w:tab w:pos="6988" w:val="right" w:leader="none"/>
        </w:tabs>
        <w:spacing w:line="199" w:lineRule="exact" w:before="0"/>
        <w:ind w:left="532" w:right="0" w:firstLine="0"/>
        <w:jc w:val="left"/>
        <w:rPr>
          <w:sz w:val="16"/>
        </w:rPr>
      </w:pPr>
      <w:r>
        <w:rPr/>
        <w:pict>
          <v:shape style="position:absolute;margin-left:95.89360pt;margin-top:1.46733pt;width:6.3pt;height:14pt;mso-position-horizontal-relative:page;mso-position-vertical-relative:paragraph;z-index:-6750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 </w:t>
      </w:r>
      <w:r>
        <w:rPr>
          <w:i/>
          <w:color w:val="231F20"/>
          <w:spacing w:val="27"/>
          <w:sz w:val="16"/>
        </w:rPr>
        <w:t> </w:t>
      </w:r>
      <w:r>
        <w:rPr>
          <w:i/>
          <w:color w:val="231F20"/>
          <w:sz w:val="16"/>
        </w:rPr>
        <w:t>RET</w:t>
        <w:tab/>
        <w:t>ß</w:t>
      </w:r>
      <w:r>
        <w:rPr>
          <w:i/>
          <w:color w:val="231F20"/>
          <w:position w:val="-1"/>
          <w:sz w:val="9"/>
        </w:rPr>
        <w:t>3     </w:t>
      </w:r>
      <w:r>
        <w:rPr>
          <w:i/>
          <w:color w:val="231F20"/>
          <w:spacing w:val="20"/>
          <w:position w:val="-1"/>
          <w:sz w:val="9"/>
        </w:rPr>
        <w:t> </w:t>
      </w:r>
      <w:r>
        <w:rPr>
          <w:color w:val="231F20"/>
          <w:sz w:val="16"/>
        </w:rPr>
        <w:t>0.223</w:t>
      </w:r>
      <w:r>
        <w:rPr>
          <w:rFonts w:ascii="Lucida Sans Unicode" w:hAnsi="Lucida Sans Unicode"/>
          <w:color w:val="231F20"/>
          <w:position w:val="6"/>
          <w:sz w:val="9"/>
        </w:rPr>
        <w:t>∗∗∗   </w:t>
      </w:r>
      <w:r>
        <w:rPr>
          <w:rFonts w:ascii="Lucida Sans Unicode" w:hAnsi="Lucida Sans Unicode"/>
          <w:color w:val="231F20"/>
          <w:spacing w:val="17"/>
          <w:position w:val="6"/>
          <w:sz w:val="9"/>
        </w:rPr>
        <w:t> </w:t>
      </w:r>
      <w:r>
        <w:rPr>
          <w:color w:val="231F20"/>
          <w:sz w:val="16"/>
        </w:rPr>
        <w:t>3.59</w:t>
        <w:tab/>
        <w:t>0.235</w:t>
      </w:r>
      <w:r>
        <w:rPr>
          <w:rFonts w:ascii="Lucida Sans Unicode" w:hAnsi="Lucida Sans Unicode"/>
          <w:color w:val="231F20"/>
          <w:position w:val="6"/>
          <w:sz w:val="9"/>
        </w:rPr>
        <w:t>∗∗    </w:t>
      </w:r>
      <w:r>
        <w:rPr>
          <w:rFonts w:ascii="Lucida Sans Unicode" w:hAnsi="Lucida Sans Unicode"/>
          <w:color w:val="231F20"/>
          <w:spacing w:val="18"/>
          <w:position w:val="6"/>
          <w:sz w:val="9"/>
        </w:rPr>
        <w:t> </w:t>
      </w:r>
      <w:r>
        <w:rPr>
          <w:color w:val="231F20"/>
          <w:sz w:val="16"/>
        </w:rPr>
        <w:t>2.35</w:t>
        <w:tab/>
        <w:t>0.186</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4.24</w:t>
      </w:r>
    </w:p>
    <w:p>
      <w:pPr>
        <w:tabs>
          <w:tab w:pos="2802" w:val="left" w:leader="none"/>
          <w:tab w:pos="4576" w:val="left" w:leader="none"/>
          <w:tab w:pos="5912" w:val="left" w:leader="none"/>
          <w:tab w:pos="6988" w:val="right" w:leader="none"/>
        </w:tabs>
        <w:spacing w:line="199" w:lineRule="exact" w:before="0"/>
        <w:ind w:left="532" w:right="0" w:firstLine="0"/>
        <w:jc w:val="left"/>
        <w:rPr>
          <w:sz w:val="16"/>
        </w:rPr>
      </w:pPr>
      <w:r>
        <w:rPr>
          <w:i/>
          <w:color w:val="231F20"/>
          <w:sz w:val="16"/>
        </w:rPr>
        <w:t>POST</w:t>
        <w:tab/>
        <w:t>ß</w:t>
      </w:r>
      <w:r>
        <w:rPr>
          <w:i/>
          <w:color w:val="231F20"/>
          <w:position w:val="-1"/>
          <w:sz w:val="9"/>
        </w:rPr>
        <w:t>4      </w:t>
      </w:r>
      <w:r>
        <w:rPr>
          <w:i/>
          <w:color w:val="231F20"/>
          <w:spacing w:val="7"/>
          <w:position w:val="-1"/>
          <w:sz w:val="9"/>
        </w:rPr>
        <w:t> </w:t>
      </w:r>
      <w:r>
        <w:rPr>
          <w:color w:val="231F20"/>
          <w:sz w:val="16"/>
        </w:rPr>
        <w:t>0.010</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2.42</w:t>
        <w:tab/>
        <w:t>0.049</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3.64</w:t>
        <w:tab/>
        <w:t>0.007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2.10</w:t>
      </w:r>
    </w:p>
    <w:p>
      <w:pPr>
        <w:tabs>
          <w:tab w:pos="2802" w:val="left" w:leader="none"/>
          <w:tab w:pos="4025" w:val="left" w:leader="none"/>
          <w:tab w:pos="4576" w:val="left" w:leader="none"/>
          <w:tab w:pos="5361" w:val="left" w:leader="none"/>
          <w:tab w:pos="5913" w:val="left" w:leader="none"/>
          <w:tab w:pos="6988" w:val="right" w:leader="none"/>
        </w:tabs>
        <w:spacing w:line="199" w:lineRule="exact" w:before="0"/>
        <w:ind w:left="532" w:right="0" w:firstLine="0"/>
        <w:jc w:val="left"/>
        <w:rPr>
          <w:sz w:val="16"/>
        </w:rPr>
      </w:pPr>
      <w:r>
        <w:rPr/>
        <w:pict>
          <v:shape style="position:absolute;margin-left:109.626556pt;margin-top:1.467194pt;width:289.3pt;height:14pt;mso-position-horizontal-relative:page;mso-position-vertical-relative:paragraph;z-index:-66736" type="#_x0000_t202" filled="false" stroked="false">
            <v:textbox inset="0,0,0,0">
              <w:txbxContent>
                <w:p>
                  <w:pPr>
                    <w:tabs>
                      <w:tab w:pos="2203" w:val="left" w:leader="none"/>
                      <w:tab w:pos="2988" w:val="left" w:leader="none"/>
                      <w:tab w:pos="3539" w:val="left" w:leader="none"/>
                      <w:tab w:pos="4324" w:val="left" w:leader="none"/>
                      <w:tab w:pos="4876" w:val="left" w:leader="none"/>
                      <w:tab w:pos="566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22"/>
          <w:sz w:val="16"/>
        </w:rPr>
        <w:t> </w:t>
      </w:r>
      <w:r>
        <w:rPr>
          <w:i/>
          <w:color w:val="231F20"/>
          <w:sz w:val="16"/>
        </w:rPr>
        <w:t>RET</w:t>
        <w:tab/>
        <w:t>ß</w:t>
      </w:r>
      <w:r>
        <w:rPr>
          <w:i/>
          <w:color w:val="231F20"/>
          <w:position w:val="-1"/>
          <w:sz w:val="9"/>
        </w:rPr>
        <w:t>5      </w:t>
      </w:r>
      <w:r>
        <w:rPr>
          <w:i/>
          <w:color w:val="231F20"/>
          <w:spacing w:val="10"/>
          <w:position w:val="-1"/>
          <w:sz w:val="9"/>
        </w:rPr>
        <w:t> </w:t>
      </w:r>
      <w:r>
        <w:rPr>
          <w:color w:val="231F20"/>
          <w:sz w:val="16"/>
        </w:rPr>
        <w:t>0.010</w:t>
      </w:r>
      <w:r>
        <w:rPr>
          <w:rFonts w:ascii="Lucida Sans Unicode" w:hAnsi="Lucida Sans Unicode"/>
          <w:color w:val="231F20"/>
          <w:position w:val="6"/>
          <w:sz w:val="9"/>
        </w:rPr>
        <w:t>∗</w:t>
        <w:tab/>
      </w:r>
      <w:r>
        <w:rPr>
          <w:color w:val="231F20"/>
          <w:sz w:val="16"/>
        </w:rPr>
        <w:t>1.73</w:t>
        <w:tab/>
        <w:t>0.027</w:t>
        <w:tab/>
        <w:t>1.46</w:t>
        <w:tab/>
        <w:t>0.010</w:t>
        <w:tab/>
        <w:t>1.55</w:t>
      </w:r>
    </w:p>
    <w:p>
      <w:pPr>
        <w:tabs>
          <w:tab w:pos="2802" w:val="left" w:leader="none"/>
          <w:tab w:pos="4025"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9.627388pt;margin-top:1.467081pt;width:222.5pt;height:14pt;mso-position-horizontal-relative:page;mso-position-vertical-relative:paragraph;z-index:-66760" type="#_x0000_t202" filled="false" stroked="false">
            <v:textbox inset="0,0,0,0">
              <w:txbxContent>
                <w:p>
                  <w:pPr>
                    <w:tabs>
                      <w:tab w:pos="3539" w:val="left" w:leader="none"/>
                      <w:tab w:pos="432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7"/>
          <w:sz w:val="16"/>
        </w:rPr>
        <w:t> </w:t>
      </w:r>
      <w:r>
        <w:rPr>
          <w:i/>
          <w:color w:val="231F20"/>
          <w:sz w:val="16"/>
        </w:rPr>
        <w:t>D</w:t>
        <w:tab/>
        <w:t>ß</w:t>
      </w:r>
      <w:r>
        <w:rPr>
          <w:i/>
          <w:color w:val="231F20"/>
          <w:position w:val="-1"/>
          <w:sz w:val="9"/>
        </w:rPr>
        <w:t>6       </w:t>
      </w:r>
      <w:r>
        <w:rPr>
          <w:i/>
          <w:color w:val="231F20"/>
          <w:spacing w:val="2"/>
          <w:position w:val="-1"/>
          <w:sz w:val="9"/>
        </w:rPr>
        <w:t> </w:t>
      </w:r>
      <w:r>
        <w:rPr>
          <w:color w:val="231F20"/>
          <w:sz w:val="16"/>
        </w:rPr>
        <w:t>0.007</w:t>
        <w:tab/>
        <w:t>1.34</w:t>
        <w:tab/>
        <w:t>0.039</w:t>
      </w:r>
      <w:r>
        <w:rPr>
          <w:rFonts w:ascii="Lucida Sans Unicode" w:hAnsi="Lucida Sans Unicode"/>
          <w:color w:val="231F20"/>
          <w:position w:val="6"/>
          <w:sz w:val="9"/>
        </w:rPr>
        <w:t>∗</w:t>
        <w:tab/>
      </w:r>
      <w:r>
        <w:rPr>
          <w:color w:val="231F20"/>
          <w:sz w:val="16"/>
        </w:rPr>
        <w:t>1.91</w:t>
        <w:tab/>
        <w:t>0.014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2.92</w:t>
      </w:r>
    </w:p>
    <w:p>
      <w:pPr>
        <w:tabs>
          <w:tab w:pos="2802"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9.626556pt;margin-top:1.467145pt;width:222.5pt;height:14pt;mso-position-horizontal-relative:page;mso-position-vertical-relative:paragraph;z-index:-66784" type="#_x0000_t202" filled="false" stroked="false">
            <v:textbox inset="0,0,0,0">
              <w:txbxContent>
                <w:p>
                  <w:pPr>
                    <w:tabs>
                      <w:tab w:pos="3539" w:val="left" w:leader="none"/>
                      <w:tab w:pos="432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23"/>
          <w:sz w:val="16"/>
        </w:rPr>
        <w:t> </w:t>
      </w:r>
      <w:r>
        <w:rPr>
          <w:i/>
          <w:color w:val="231F20"/>
          <w:sz w:val="16"/>
        </w:rPr>
        <w:t>D </w:t>
      </w:r>
      <w:r>
        <w:rPr>
          <w:i/>
          <w:color w:val="231F20"/>
          <w:spacing w:val="23"/>
          <w:sz w:val="16"/>
        </w:rPr>
        <w:t> </w:t>
      </w:r>
      <w:r>
        <w:rPr>
          <w:i/>
          <w:color w:val="231F20"/>
          <w:sz w:val="16"/>
        </w:rPr>
        <w:t>RET</w:t>
        <w:tab/>
        <w:t>ß</w:t>
      </w:r>
      <w:r>
        <w:rPr>
          <w:i/>
          <w:color w:val="231F20"/>
          <w:position w:val="-1"/>
          <w:sz w:val="9"/>
        </w:rPr>
        <w:t>7      </w:t>
      </w:r>
      <w:r>
        <w:rPr>
          <w:i/>
          <w:color w:val="231F20"/>
          <w:spacing w:val="7"/>
          <w:position w:val="-1"/>
          <w:sz w:val="9"/>
        </w:rPr>
        <w:t> </w:t>
      </w:r>
      <w:r>
        <w:rPr>
          <w:color w:val="231F20"/>
          <w:sz w:val="16"/>
        </w:rPr>
        <w:t>0.047</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2.31</w:t>
        <w:tab/>
        <w:t>0.010</w:t>
        <w:tab/>
        <w:t>0.18</w:t>
        <w:tab/>
        <w:t>0.050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2.52</w:t>
      </w:r>
    </w:p>
    <w:p>
      <w:pPr>
        <w:tabs>
          <w:tab w:pos="2802" w:val="left" w:leader="none"/>
          <w:tab w:pos="4025" w:val="left" w:leader="none"/>
          <w:tab w:pos="5913" w:val="left" w:leader="none"/>
          <w:tab w:pos="6988" w:val="right" w:leader="none"/>
        </w:tabs>
        <w:spacing w:line="202" w:lineRule="exact" w:before="0"/>
        <w:ind w:left="532" w:right="0" w:firstLine="0"/>
        <w:jc w:val="left"/>
        <w:rPr>
          <w:sz w:val="16"/>
        </w:rPr>
      </w:pPr>
      <w:r>
        <w:rPr/>
        <w:pict>
          <v:shape style="position:absolute;margin-left:219.807007pt;margin-top:1.467308pt;width:179.1pt;height:14pt;mso-position-horizontal-relative:page;mso-position-vertical-relative:paragraph;z-index:-66808" type="#_x0000_t202" filled="false" stroked="false">
            <v:textbox inset="0,0,0,0">
              <w:txbxContent>
                <w:p>
                  <w:pPr>
                    <w:tabs>
                      <w:tab w:pos="784" w:val="left" w:leader="none"/>
                      <w:tab w:pos="2672" w:val="left" w:leader="none"/>
                      <w:tab w:pos="345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w:t>
        <w:tab/>
        <w:t>ß</w:t>
      </w:r>
      <w:r>
        <w:rPr>
          <w:i/>
          <w:color w:val="231F20"/>
          <w:position w:val="-1"/>
          <w:sz w:val="9"/>
        </w:rPr>
        <w:t>8       </w:t>
      </w:r>
      <w:r>
        <w:rPr>
          <w:i/>
          <w:color w:val="231F20"/>
          <w:spacing w:val="2"/>
          <w:position w:val="-1"/>
          <w:sz w:val="9"/>
        </w:rPr>
        <w:t> </w:t>
      </w:r>
      <w:r>
        <w:rPr>
          <w:color w:val="231F20"/>
          <w:sz w:val="16"/>
        </w:rPr>
        <w:t>0.007</w:t>
        <w:tab/>
        <w:t>0.81</w:t>
        <w:tab/>
        <w:t>0.024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2.89</w:t>
      </w:r>
    </w:p>
    <w:p>
      <w:pPr>
        <w:tabs>
          <w:tab w:pos="2802" w:val="left" w:leader="none"/>
          <w:tab w:pos="4025" w:val="left" w:leader="none"/>
          <w:tab w:pos="5912" w:val="left" w:leader="none"/>
          <w:tab w:pos="6988" w:val="right" w:leader="none"/>
        </w:tabs>
        <w:spacing w:before="0"/>
        <w:ind w:left="532" w:right="0" w:firstLine="0"/>
        <w:jc w:val="left"/>
        <w:rPr>
          <w:sz w:val="16"/>
        </w:rPr>
      </w:pPr>
      <w:r>
        <w:rPr/>
        <w:pict>
          <v:shape style="position:absolute;margin-left:118.725937pt;margin-top:1.331448pt;width:6.3pt;height:14pt;mso-position-horizontal-relative:page;mso-position-vertical-relative:paragraph;z-index:-6683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20"/>
          <w:sz w:val="16"/>
        </w:rPr>
        <w:t> </w:t>
      </w:r>
      <w:r>
        <w:rPr>
          <w:i/>
          <w:color w:val="231F20"/>
          <w:sz w:val="16"/>
        </w:rPr>
        <w:t>RET</w:t>
        <w:tab/>
        <w:t>ß</w:t>
      </w:r>
      <w:r>
        <w:rPr>
          <w:i/>
          <w:color w:val="231F20"/>
          <w:position w:val="-1"/>
          <w:sz w:val="9"/>
        </w:rPr>
        <w:t>9       </w:t>
      </w:r>
      <w:r>
        <w:rPr>
          <w:i/>
          <w:color w:val="231F20"/>
          <w:spacing w:val="2"/>
          <w:position w:val="-1"/>
          <w:sz w:val="9"/>
        </w:rPr>
        <w:t> </w:t>
      </w:r>
      <w:r>
        <w:rPr>
          <w:color w:val="231F20"/>
          <w:sz w:val="16"/>
        </w:rPr>
        <w:t>0.003</w:t>
        <w:tab/>
        <w:t>0.31</w:t>
        <w:tab/>
        <w:t>0.016</w:t>
        <w:tab/>
        <w:t>1.08</w:t>
      </w:r>
    </w:p>
    <w:p>
      <w:pPr>
        <w:tabs>
          <w:tab w:pos="2802" w:val="left" w:leader="none"/>
          <w:tab w:pos="4025" w:val="left" w:leader="none"/>
          <w:tab w:pos="5912" w:val="left" w:leader="none"/>
          <w:tab w:pos="6988" w:val="right" w:leader="none"/>
        </w:tabs>
        <w:spacing w:before="1"/>
        <w:ind w:left="532" w:right="0" w:firstLine="0"/>
        <w:jc w:val="left"/>
        <w:rPr>
          <w:sz w:val="16"/>
        </w:rPr>
      </w:pPr>
      <w:r>
        <w:rPr/>
        <w:pict>
          <v:shape style="position:absolute;margin-left:118.726601pt;margin-top:1.381391pt;width:146.550pt;height:14pt;mso-position-horizontal-relative:page;mso-position-vertical-relative:paragraph;z-index:-66856" type="#_x0000_t202" filled="false" stroked="false">
            <v:textbox inset="0,0,0,0">
              <w:txbxContent>
                <w:p>
                  <w:pPr>
                    <w:tabs>
                      <w:tab w:pos="2021" w:val="left" w:leader="none"/>
                      <w:tab w:pos="280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w:t>
        <w:tab/>
        <w:t>ß</w:t>
      </w:r>
      <w:r>
        <w:rPr>
          <w:i/>
          <w:color w:val="231F20"/>
          <w:position w:val="-1"/>
          <w:sz w:val="9"/>
        </w:rPr>
        <w:t>10     </w:t>
      </w:r>
      <w:r>
        <w:rPr>
          <w:i/>
          <w:color w:val="231F20"/>
          <w:spacing w:val="21"/>
          <w:position w:val="-1"/>
          <w:sz w:val="9"/>
        </w:rPr>
        <w:t> </w:t>
      </w:r>
      <w:r>
        <w:rPr>
          <w:color w:val="231F20"/>
          <w:sz w:val="16"/>
        </w:rPr>
        <w:t>0.014</w:t>
        <w:tab/>
        <w:t>0.97</w:t>
        <w:tab/>
        <w:t>0.018</w:t>
        <w:tab/>
        <w:t>1.48</w:t>
      </w:r>
    </w:p>
    <w:p>
      <w:pPr>
        <w:tabs>
          <w:tab w:pos="2802" w:val="left" w:leader="none"/>
          <w:tab w:pos="4025" w:val="left" w:leader="none"/>
          <w:tab w:pos="5912" w:val="left" w:leader="none"/>
          <w:tab w:pos="6988" w:val="right" w:leader="none"/>
        </w:tabs>
        <w:spacing w:line="197" w:lineRule="exact" w:before="0"/>
        <w:ind w:left="532" w:right="0" w:firstLine="0"/>
        <w:jc w:val="left"/>
        <w:rPr>
          <w:sz w:val="16"/>
        </w:rPr>
      </w:pPr>
      <w:r>
        <w:rPr/>
        <w:pict>
          <v:shape style="position:absolute;margin-left:118.726273pt;margin-top:1.331287pt;width:146.550pt;height:14pt;mso-position-horizontal-relative:page;mso-position-vertical-relative:paragraph;z-index:-66880" type="#_x0000_t202" filled="false" stroked="false">
            <v:textbox inset="0,0,0,0">
              <w:txbxContent>
                <w:p>
                  <w:pPr>
                    <w:tabs>
                      <w:tab w:pos="2021" w:val="left" w:leader="none"/>
                      <w:tab w:pos="280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21"/>
          <w:sz w:val="16"/>
        </w:rPr>
        <w:t> </w:t>
      </w:r>
      <w:r>
        <w:rPr>
          <w:i/>
          <w:color w:val="231F20"/>
          <w:sz w:val="16"/>
        </w:rPr>
        <w:t>D </w:t>
      </w:r>
      <w:r>
        <w:rPr>
          <w:i/>
          <w:color w:val="231F20"/>
          <w:spacing w:val="21"/>
          <w:sz w:val="16"/>
        </w:rPr>
        <w:t> </w:t>
      </w:r>
      <w:r>
        <w:rPr>
          <w:i/>
          <w:color w:val="231F20"/>
          <w:sz w:val="16"/>
        </w:rPr>
        <w:t>RET</w:t>
        <w:tab/>
        <w:t>ß</w:t>
      </w:r>
      <w:r>
        <w:rPr>
          <w:i/>
          <w:color w:val="231F20"/>
          <w:position w:val="-1"/>
          <w:sz w:val="9"/>
        </w:rPr>
        <w:t>11     </w:t>
      </w:r>
      <w:r>
        <w:rPr>
          <w:i/>
          <w:color w:val="231F20"/>
          <w:spacing w:val="21"/>
          <w:position w:val="-1"/>
          <w:sz w:val="9"/>
        </w:rPr>
        <w:t> </w:t>
      </w:r>
      <w:r>
        <w:rPr>
          <w:color w:val="231F20"/>
          <w:sz w:val="16"/>
        </w:rPr>
        <w:t>0.030</w:t>
        <w:tab/>
        <w:t>0.89</w:t>
        <w:tab/>
        <w:t>0.040</w:t>
        <w:tab/>
        <w:t>1.27</w:t>
      </w:r>
    </w:p>
    <w:p>
      <w:pPr>
        <w:tabs>
          <w:tab w:pos="2802" w:val="left" w:leader="none"/>
          <w:tab w:pos="4025" w:val="left" w:leader="none"/>
          <w:tab w:pos="5912" w:val="left" w:leader="none"/>
          <w:tab w:pos="6988" w:val="right" w:leader="none"/>
        </w:tabs>
        <w:spacing w:line="202" w:lineRule="exact" w:before="0"/>
        <w:ind w:left="532" w:right="0" w:firstLine="0"/>
        <w:jc w:val="left"/>
        <w:rPr>
          <w:sz w:val="16"/>
        </w:rPr>
      </w:pPr>
      <w:r>
        <w:rPr/>
        <w:pict>
          <v:shape style="position:absolute;margin-left:118.726273pt;margin-top:1.467349pt;width:6.3pt;height:14pt;mso-position-horizontal-relative:page;mso-position-vertical-relative:paragraph;z-index:-6690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0"/>
          <w:sz w:val="16"/>
        </w:rPr>
        <w:t> </w:t>
      </w:r>
      <w:r>
        <w:rPr>
          <w:i/>
          <w:color w:val="231F20"/>
          <w:sz w:val="16"/>
        </w:rPr>
        <w:t>POST</w:t>
        <w:tab/>
        <w:t>ß</w:t>
      </w:r>
      <w:r>
        <w:rPr>
          <w:i/>
          <w:color w:val="231F20"/>
          <w:position w:val="-1"/>
          <w:sz w:val="9"/>
        </w:rPr>
        <w:t>12     </w:t>
      </w:r>
      <w:r>
        <w:rPr>
          <w:i/>
          <w:color w:val="231F20"/>
          <w:spacing w:val="20"/>
          <w:position w:val="-1"/>
          <w:sz w:val="9"/>
        </w:rPr>
        <w:t> </w:t>
      </w:r>
      <w:r>
        <w:rPr>
          <w:color w:val="231F20"/>
          <w:sz w:val="16"/>
        </w:rPr>
        <w:t>0.010</w:t>
        <w:tab/>
        <w:t>0.86</w:t>
        <w:tab/>
        <w:t>0.022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2.01</w:t>
      </w:r>
    </w:p>
    <w:p>
      <w:pPr>
        <w:tabs>
          <w:tab w:pos="2802" w:val="left" w:leader="none"/>
          <w:tab w:pos="4025" w:val="left" w:leader="none"/>
          <w:tab w:pos="5913" w:val="left" w:leader="none"/>
          <w:tab w:pos="6988" w:val="right" w:leader="none"/>
        </w:tabs>
        <w:spacing w:line="197" w:lineRule="exact" w:before="0"/>
        <w:ind w:left="532" w:right="0" w:firstLine="0"/>
        <w:jc w:val="left"/>
        <w:rPr>
          <w:sz w:val="16"/>
        </w:rPr>
      </w:pPr>
      <w:r>
        <w:rPr/>
        <w:pict>
          <v:shape style="position:absolute;margin-left:118.725471pt;margin-top:1.331292pt;width:280.2pt;height:14pt;mso-position-horizontal-relative:page;mso-position-vertical-relative:paragraph;z-index:-66928" type="#_x0000_t202" filled="false" stroked="false">
            <v:textbox inset="0,0,0,0">
              <w:txbxContent>
                <w:p>
                  <w:pPr>
                    <w:tabs>
                      <w:tab w:pos="504" w:val="left" w:leader="none"/>
                      <w:tab w:pos="2021" w:val="left" w:leader="none"/>
                      <w:tab w:pos="2806"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POST </w:t>
      </w:r>
      <w:r>
        <w:rPr>
          <w:i/>
          <w:color w:val="231F20"/>
          <w:spacing w:val="17"/>
          <w:sz w:val="16"/>
        </w:rPr>
        <w:t> </w:t>
      </w:r>
      <w:r>
        <w:rPr>
          <w:i/>
          <w:color w:val="231F20"/>
          <w:sz w:val="16"/>
        </w:rPr>
        <w:t>RET</w:t>
        <w:tab/>
        <w:t>ß</w:t>
      </w:r>
      <w:r>
        <w:rPr>
          <w:i/>
          <w:color w:val="231F20"/>
          <w:position w:val="-1"/>
          <w:sz w:val="9"/>
        </w:rPr>
        <w:t>13     </w:t>
      </w:r>
      <w:r>
        <w:rPr>
          <w:i/>
          <w:color w:val="231F20"/>
          <w:spacing w:val="21"/>
          <w:position w:val="-1"/>
          <w:sz w:val="9"/>
        </w:rPr>
        <w:t> </w:t>
      </w:r>
      <w:r>
        <w:rPr>
          <w:color w:val="231F20"/>
          <w:sz w:val="16"/>
        </w:rPr>
        <w:t>0.014</w:t>
        <w:tab/>
        <w:t>0.81</w:t>
        <w:tab/>
        <w:t>0.014</w:t>
        <w:tab/>
        <w:t>0.71</w:t>
      </w:r>
    </w:p>
    <w:p>
      <w:pPr>
        <w:tabs>
          <w:tab w:pos="2802" w:val="left" w:leader="none"/>
          <w:tab w:pos="4025" w:val="left" w:leader="none"/>
          <w:tab w:pos="5913" w:val="left" w:leader="none"/>
          <w:tab w:pos="6988" w:val="right" w:leader="none"/>
        </w:tabs>
        <w:spacing w:line="199" w:lineRule="exact" w:before="0"/>
        <w:ind w:left="532" w:right="0" w:firstLine="0"/>
        <w:jc w:val="left"/>
        <w:rPr>
          <w:sz w:val="16"/>
        </w:rPr>
      </w:pPr>
      <w:r>
        <w:rPr/>
        <w:pict>
          <v:shape style="position:absolute;margin-left:118.726273pt;margin-top:1.467104pt;width:280.2pt;height:14pt;mso-position-horizontal-relative:page;mso-position-vertical-relative:paragraph;z-index:-66976" type="#_x0000_t202" filled="false" stroked="false">
            <v:textbox inset="0,0,0,0">
              <w:txbxContent>
                <w:p>
                  <w:pPr>
                    <w:tabs>
                      <w:tab w:pos="504"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POST </w:t>
      </w:r>
      <w:r>
        <w:rPr>
          <w:i/>
          <w:color w:val="231F20"/>
          <w:spacing w:val="15"/>
          <w:sz w:val="16"/>
        </w:rPr>
        <w:t> </w:t>
      </w:r>
      <w:r>
        <w:rPr>
          <w:i/>
          <w:color w:val="231F20"/>
          <w:sz w:val="16"/>
        </w:rPr>
        <w:t>D</w:t>
        <w:tab/>
        <w:t>ß</w:t>
      </w:r>
      <w:r>
        <w:rPr>
          <w:i/>
          <w:color w:val="231F20"/>
          <w:position w:val="-1"/>
          <w:sz w:val="9"/>
        </w:rPr>
        <w:t>14     </w:t>
      </w:r>
      <w:r>
        <w:rPr>
          <w:i/>
          <w:color w:val="231F20"/>
          <w:spacing w:val="20"/>
          <w:position w:val="-1"/>
          <w:sz w:val="9"/>
        </w:rPr>
        <w:t> </w:t>
      </w:r>
      <w:r>
        <w:rPr>
          <w:color w:val="231F20"/>
          <w:sz w:val="16"/>
        </w:rPr>
        <w:t>0.028</w:t>
        <w:tab/>
        <w:t>1.34</w:t>
        <w:tab/>
        <w:t>0.047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2.38</w:t>
      </w:r>
    </w:p>
    <w:p>
      <w:pPr>
        <w:tabs>
          <w:tab w:pos="2802" w:val="left" w:leader="none"/>
          <w:tab w:pos="5913" w:val="left" w:leader="none"/>
          <w:tab w:pos="6988" w:val="right" w:leader="none"/>
        </w:tabs>
        <w:spacing w:line="199" w:lineRule="exact" w:before="0"/>
        <w:ind w:left="532" w:right="0" w:firstLine="0"/>
        <w:jc w:val="left"/>
        <w:rPr>
          <w:sz w:val="16"/>
        </w:rPr>
      </w:pPr>
      <w:r>
        <w:rPr/>
        <w:pict>
          <v:shape style="position:absolute;margin-left:118.725937pt;margin-top:1.467253pt;width:280.2pt;height:14pt;mso-position-horizontal-relative:page;mso-position-vertical-relative:paragraph;z-index:-67000" type="#_x0000_t202" filled="false" stroked="false">
            <v:textbox inset="0,0,0,0">
              <w:txbxContent>
                <w:p>
                  <w:pPr>
                    <w:tabs>
                      <w:tab w:pos="504"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POST </w:t>
      </w:r>
      <w:r>
        <w:rPr>
          <w:i/>
          <w:color w:val="231F20"/>
          <w:spacing w:val="0"/>
          <w:sz w:val="16"/>
        </w:rPr>
        <w:t> </w:t>
      </w:r>
      <w:r>
        <w:rPr>
          <w:i/>
          <w:color w:val="231F20"/>
          <w:sz w:val="16"/>
        </w:rPr>
        <w:t>D </w:t>
      </w:r>
      <w:r>
        <w:rPr>
          <w:i/>
          <w:color w:val="231F20"/>
          <w:spacing w:val="20"/>
          <w:sz w:val="16"/>
        </w:rPr>
        <w:t> </w:t>
      </w:r>
      <w:r>
        <w:rPr>
          <w:i/>
          <w:color w:val="231F20"/>
          <w:sz w:val="16"/>
        </w:rPr>
        <w:t>RET</w:t>
        <w:tab/>
        <w:t>ß</w:t>
      </w:r>
      <w:r>
        <w:rPr>
          <w:i/>
          <w:color w:val="231F20"/>
          <w:position w:val="-1"/>
          <w:sz w:val="9"/>
        </w:rPr>
        <w:t>15     </w:t>
      </w:r>
      <w:r>
        <w:rPr>
          <w:i/>
          <w:color w:val="231F20"/>
          <w:spacing w:val="5"/>
          <w:position w:val="-1"/>
          <w:sz w:val="9"/>
        </w:rPr>
        <w:t> </w:t>
      </w:r>
      <w:r>
        <w:rPr>
          <w:color w:val="231F20"/>
          <w:sz w:val="16"/>
        </w:rPr>
        <w:t>0.143</w:t>
      </w:r>
      <w:r>
        <w:rPr>
          <w:rFonts w:ascii="Lucida Sans Unicode" w:hAnsi="Lucida Sans Unicode"/>
          <w:color w:val="231F20"/>
          <w:position w:val="6"/>
          <w:sz w:val="9"/>
        </w:rPr>
        <w:t>∗∗    </w:t>
      </w:r>
      <w:r>
        <w:rPr>
          <w:rFonts w:ascii="Lucida Sans Unicode" w:hAnsi="Lucida Sans Unicode"/>
          <w:color w:val="231F20"/>
          <w:spacing w:val="22"/>
          <w:position w:val="6"/>
          <w:sz w:val="9"/>
        </w:rPr>
        <w:t> </w:t>
      </w:r>
      <w:r>
        <w:rPr>
          <w:color w:val="231F20"/>
          <w:sz w:val="16"/>
        </w:rPr>
        <w:t>2.49</w:t>
        <w:tab/>
        <w:t>0.039</w:t>
        <w:tab/>
        <w:t>0.71</w:t>
      </w:r>
    </w:p>
    <w:p>
      <w:pPr>
        <w:tabs>
          <w:tab w:pos="2802" w:val="left" w:leader="none"/>
          <w:tab w:pos="4576" w:val="left" w:leader="none"/>
          <w:tab w:pos="5361" w:val="left" w:leader="none"/>
          <w:tab w:pos="5913" w:val="left" w:leader="none"/>
          <w:tab w:pos="6988" w:val="right" w:leader="none"/>
        </w:tabs>
        <w:spacing w:line="202" w:lineRule="exact" w:before="0"/>
        <w:ind w:left="532" w:right="0" w:firstLine="0"/>
        <w:jc w:val="left"/>
        <w:rPr>
          <w:sz w:val="16"/>
        </w:rPr>
      </w:pPr>
      <w:r>
        <w:rPr/>
        <w:pict>
          <v:shape style="position:absolute;margin-left:353.43808pt;margin-top:1.467255pt;width:45.5pt;height:14pt;mso-position-horizontal-relative:page;mso-position-vertical-relative:paragraph;z-index:-67024" type="#_x0000_t202" filled="false" stroked="false">
            <v:textbox inset="0,0,0,0">
              <w:txbxContent>
                <w:p>
                  <w:pPr>
                    <w:tabs>
                      <w:tab w:pos="78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16</w:t>
        <w:tab/>
      </w:r>
      <w:r>
        <w:rPr>
          <w:color w:val="231F20"/>
          <w:sz w:val="16"/>
        </w:rPr>
        <w:t>0.012</w:t>
        <w:tab/>
        <w:t>0.96</w:t>
        <w:tab/>
        <w:t>0.007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2.56</w:t>
      </w:r>
    </w:p>
    <w:p>
      <w:pPr>
        <w:tabs>
          <w:tab w:pos="2802" w:val="left" w:leader="none"/>
          <w:tab w:pos="4576" w:val="left" w:leader="none"/>
          <w:tab w:pos="5361" w:val="left" w:leader="none"/>
          <w:tab w:pos="5912" w:val="left" w:leader="none"/>
          <w:tab w:pos="6988" w:val="right" w:leader="none"/>
        </w:tabs>
        <w:spacing w:line="197" w:lineRule="exact" w:before="1"/>
        <w:ind w:left="532" w:right="0" w:firstLine="0"/>
        <w:jc w:val="left"/>
        <w:rPr>
          <w:sz w:val="16"/>
        </w:rPr>
      </w:pPr>
      <w:r>
        <w:rPr/>
        <w:pict>
          <v:shape style="position:absolute;margin-left:105.154182pt;margin-top:1.381171pt;width:226.95pt;height:14pt;mso-position-horizontal-relative:page;mso-position-vertical-relative:paragraph;z-index:-67048"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6"/>
          <w:sz w:val="16"/>
        </w:rPr>
        <w:t> </w:t>
      </w:r>
      <w:r>
        <w:rPr>
          <w:i/>
          <w:color w:val="231F20"/>
          <w:sz w:val="16"/>
        </w:rPr>
        <w:t>RET</w:t>
        <w:tab/>
        <w:t>ß</w:t>
      </w:r>
      <w:r>
        <w:rPr>
          <w:i/>
          <w:color w:val="231F20"/>
          <w:position w:val="-1"/>
          <w:sz w:val="9"/>
        </w:rPr>
        <w:t>17</w:t>
        <w:tab/>
      </w:r>
      <w:r>
        <w:rPr>
          <w:color w:val="231F20"/>
          <w:sz w:val="16"/>
        </w:rPr>
        <w:t>0.007</w:t>
        <w:tab/>
        <w:t>0.40</w:t>
        <w:tab/>
        <w:t>0.006</w:t>
        <w:tab/>
        <w:t>1.06</w:t>
      </w:r>
    </w:p>
    <w:p>
      <w:pPr>
        <w:tabs>
          <w:tab w:pos="2802" w:val="left" w:leader="none"/>
          <w:tab w:pos="4576" w:val="left" w:leader="none"/>
          <w:tab w:pos="5361" w:val="left" w:leader="none"/>
          <w:tab w:pos="5912" w:val="left" w:leader="none"/>
          <w:tab w:pos="6988" w:val="right" w:leader="none"/>
        </w:tabs>
        <w:spacing w:line="199" w:lineRule="exact" w:before="0"/>
        <w:ind w:left="532" w:right="0" w:firstLine="0"/>
        <w:jc w:val="left"/>
        <w:rPr>
          <w:sz w:val="16"/>
        </w:rPr>
      </w:pPr>
      <w:r>
        <w:rPr/>
        <w:pict>
          <v:shape style="position:absolute;margin-left:105.154732pt;margin-top:1.467245pt;width:226.95pt;height:14pt;mso-position-horizontal-relative:page;mso-position-vertical-relative:paragraph;z-index:-67072"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2"/>
          <w:sz w:val="16"/>
        </w:rPr>
        <w:t> </w:t>
      </w:r>
      <w:r>
        <w:rPr>
          <w:i/>
          <w:color w:val="231F20"/>
          <w:sz w:val="16"/>
        </w:rPr>
        <w:t>D</w:t>
        <w:tab/>
        <w:t>ß</w:t>
      </w:r>
      <w:r>
        <w:rPr>
          <w:i/>
          <w:color w:val="231F20"/>
          <w:position w:val="-1"/>
          <w:sz w:val="9"/>
        </w:rPr>
        <w:t>18</w:t>
        <w:tab/>
      </w:r>
      <w:r>
        <w:rPr>
          <w:color w:val="231F20"/>
          <w:sz w:val="16"/>
        </w:rPr>
        <w:t>0.033</w:t>
      </w:r>
      <w:r>
        <w:rPr>
          <w:rFonts w:ascii="Lucida Sans Unicode" w:hAnsi="Lucida Sans Unicode"/>
          <w:color w:val="231F20"/>
          <w:position w:val="6"/>
          <w:sz w:val="9"/>
        </w:rPr>
        <w:t>∗</w:t>
        <w:tab/>
      </w:r>
      <w:r>
        <w:rPr>
          <w:color w:val="231F20"/>
          <w:sz w:val="16"/>
        </w:rPr>
        <w:t>1.78</w:t>
        <w:tab/>
        <w:t>0.004</w:t>
        <w:tab/>
        <w:t>0.77</w:t>
      </w:r>
    </w:p>
    <w:p>
      <w:pPr>
        <w:tabs>
          <w:tab w:pos="2802" w:val="left" w:leader="none"/>
          <w:tab w:pos="4576" w:val="left" w:leader="none"/>
          <w:tab w:pos="5361" w:val="left" w:leader="none"/>
          <w:tab w:pos="5912" w:val="left" w:leader="none"/>
          <w:tab w:pos="6988" w:val="right" w:leader="none"/>
        </w:tabs>
        <w:spacing w:line="202" w:lineRule="exact" w:before="0"/>
        <w:ind w:left="532" w:right="0" w:firstLine="0"/>
        <w:jc w:val="left"/>
        <w:rPr>
          <w:sz w:val="16"/>
        </w:rPr>
      </w:pPr>
      <w:r>
        <w:rPr/>
        <w:pict>
          <v:shape style="position:absolute;margin-left:105.153961pt;margin-top:1.467148pt;width:226.95pt;height:14pt;mso-position-horizontal-relative:page;mso-position-vertical-relative:paragraph;z-index:-67096"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6"/>
          <w:sz w:val="16"/>
        </w:rPr>
        <w:t> </w:t>
      </w:r>
      <w:r>
        <w:rPr>
          <w:i/>
          <w:color w:val="231F20"/>
          <w:sz w:val="16"/>
        </w:rPr>
        <w:t>D </w:t>
      </w:r>
      <w:r>
        <w:rPr>
          <w:i/>
          <w:color w:val="231F20"/>
          <w:spacing w:val="26"/>
          <w:sz w:val="16"/>
        </w:rPr>
        <w:t> </w:t>
      </w:r>
      <w:r>
        <w:rPr>
          <w:i/>
          <w:color w:val="231F20"/>
          <w:sz w:val="16"/>
        </w:rPr>
        <w:t>RET</w:t>
        <w:tab/>
        <w:t>ß</w:t>
      </w:r>
      <w:r>
        <w:rPr>
          <w:i/>
          <w:color w:val="231F20"/>
          <w:position w:val="-1"/>
          <w:sz w:val="9"/>
        </w:rPr>
        <w:t>19</w:t>
        <w:tab/>
      </w:r>
      <w:r>
        <w:rPr>
          <w:color w:val="231F20"/>
          <w:sz w:val="16"/>
        </w:rPr>
        <w:t>0.083</w:t>
      </w:r>
      <w:r>
        <w:rPr>
          <w:rFonts w:ascii="Lucida Sans Unicode" w:hAnsi="Lucida Sans Unicode"/>
          <w:color w:val="231F20"/>
          <w:position w:val="6"/>
          <w:sz w:val="9"/>
        </w:rPr>
        <w:t>∗</w:t>
        <w:tab/>
      </w:r>
      <w:r>
        <w:rPr>
          <w:color w:val="231F20"/>
          <w:sz w:val="16"/>
        </w:rPr>
        <w:t>1.91</w:t>
        <w:tab/>
        <w:t>0.008</w:t>
        <w:tab/>
        <w:t>0.43</w:t>
      </w:r>
    </w:p>
    <w:p>
      <w:pPr>
        <w:tabs>
          <w:tab w:pos="2802" w:val="left" w:leader="none"/>
          <w:tab w:pos="4576" w:val="left" w:leader="none"/>
          <w:tab w:pos="5361" w:val="left" w:leader="none"/>
          <w:tab w:pos="5912" w:val="left" w:leader="none"/>
          <w:tab w:pos="6988" w:val="right" w:leader="none"/>
        </w:tabs>
        <w:spacing w:before="0"/>
        <w:ind w:left="532" w:right="0" w:firstLine="0"/>
        <w:jc w:val="left"/>
        <w:rPr>
          <w:sz w:val="16"/>
        </w:rPr>
      </w:pPr>
      <w:r>
        <w:rPr/>
        <w:pict>
          <v:shape style="position:absolute;margin-left:105.153961pt;margin-top:1.331386pt;width:226.95pt;height:14pt;mso-position-horizontal-relative:page;mso-position-vertical-relative:paragraph;z-index:-67120" type="#_x0000_t202" filled="false" stroked="false">
            <v:textbox inset="0,0,0,0">
              <w:txbxContent>
                <w:p>
                  <w:pPr>
                    <w:tabs>
                      <w:tab w:pos="3629" w:val="left" w:leader="none"/>
                      <w:tab w:pos="441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6"/>
          <w:sz w:val="16"/>
        </w:rPr>
        <w:t> </w:t>
      </w:r>
      <w:r>
        <w:rPr>
          <w:i/>
          <w:color w:val="231F20"/>
          <w:sz w:val="16"/>
        </w:rPr>
        <w:t>POST</w:t>
        <w:tab/>
        <w:t>ß</w:t>
      </w:r>
      <w:r>
        <w:rPr>
          <w:i/>
          <w:color w:val="231F20"/>
          <w:position w:val="-1"/>
          <w:sz w:val="9"/>
        </w:rPr>
        <w:t>20</w:t>
        <w:tab/>
      </w:r>
      <w:r>
        <w:rPr>
          <w:color w:val="231F20"/>
          <w:sz w:val="16"/>
        </w:rPr>
        <w:t>0.018</w:t>
        <w:tab/>
        <w:t>1.13</w:t>
        <w:tab/>
        <w:t>0.003</w:t>
        <w:tab/>
        <w:t>0.67</w:t>
      </w:r>
    </w:p>
    <w:p>
      <w:pPr>
        <w:tabs>
          <w:tab w:pos="2802" w:val="left" w:leader="none"/>
          <w:tab w:pos="4576" w:val="left" w:leader="none"/>
          <w:tab w:pos="5361" w:val="left" w:leader="none"/>
          <w:tab w:pos="5913" w:val="left" w:leader="none"/>
          <w:tab w:pos="6988" w:val="right" w:leader="none"/>
        </w:tabs>
        <w:spacing w:line="197" w:lineRule="exact" w:before="1"/>
        <w:ind w:left="532" w:right="0" w:firstLine="0"/>
        <w:jc w:val="left"/>
        <w:rPr>
          <w:sz w:val="16"/>
        </w:rPr>
      </w:pPr>
      <w:r>
        <w:rPr/>
        <w:pict>
          <v:shape style="position:absolute;margin-left:105.154732pt;margin-top:1.381182pt;width:293.75pt;height:14pt;mso-position-horizontal-relative:page;mso-position-vertical-relative:paragraph;z-index:-67144" type="#_x0000_t202" filled="false" stroked="false">
            <v:textbox inset="0,0,0,0">
              <w:txbxContent>
                <w:p>
                  <w:pPr>
                    <w:tabs>
                      <w:tab w:pos="504" w:val="left" w:leader="none"/>
                      <w:tab w:pos="4965"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2"/>
          <w:sz w:val="16"/>
        </w:rPr>
        <w:t> </w:t>
      </w:r>
      <w:r>
        <w:rPr>
          <w:i/>
          <w:color w:val="231F20"/>
          <w:sz w:val="16"/>
        </w:rPr>
        <w:t>POST </w:t>
      </w:r>
      <w:r>
        <w:rPr>
          <w:i/>
          <w:color w:val="231F20"/>
          <w:spacing w:val="22"/>
          <w:sz w:val="16"/>
        </w:rPr>
        <w:t> </w:t>
      </w:r>
      <w:r>
        <w:rPr>
          <w:i/>
          <w:color w:val="231F20"/>
          <w:sz w:val="16"/>
        </w:rPr>
        <w:t>RET</w:t>
        <w:tab/>
        <w:t>ß</w:t>
      </w:r>
      <w:r>
        <w:rPr>
          <w:i/>
          <w:color w:val="231F20"/>
          <w:position w:val="-1"/>
          <w:sz w:val="9"/>
        </w:rPr>
        <w:t>21</w:t>
        <w:tab/>
      </w:r>
      <w:r>
        <w:rPr>
          <w:color w:val="231F20"/>
          <w:sz w:val="16"/>
        </w:rPr>
        <w:t>0.010</w:t>
        <w:tab/>
        <w:t>0.41</w:t>
        <w:tab/>
        <w:t>0.001</w:t>
        <w:tab/>
        <w:t>0.16</w:t>
      </w:r>
    </w:p>
    <w:p>
      <w:pPr>
        <w:tabs>
          <w:tab w:pos="2802" w:val="left" w:leader="none"/>
          <w:tab w:pos="4576" w:val="left" w:leader="none"/>
          <w:tab w:pos="5913" w:val="left" w:leader="none"/>
          <w:tab w:pos="6988" w:val="right" w:leader="none"/>
        </w:tabs>
        <w:spacing w:line="199" w:lineRule="exact" w:before="0"/>
        <w:ind w:left="532" w:right="0" w:firstLine="0"/>
        <w:jc w:val="left"/>
        <w:rPr>
          <w:sz w:val="16"/>
        </w:rPr>
      </w:pPr>
      <w:r>
        <w:rPr/>
        <w:pict>
          <v:shape style="position:absolute;margin-left:105.154839pt;margin-top:1.467255pt;width:293.75pt;height:14pt;mso-position-horizontal-relative:page;mso-position-vertical-relative:paragraph;z-index:-67168" type="#_x0000_t202" filled="false" stroked="false">
            <v:textbox inset="0,0,0,0">
              <w:txbxContent>
                <w:p>
                  <w:pPr>
                    <w:tabs>
                      <w:tab w:pos="504" w:val="left" w:leader="none"/>
                      <w:tab w:pos="4965"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0"/>
          <w:sz w:val="16"/>
        </w:rPr>
        <w:t> </w:t>
      </w:r>
      <w:r>
        <w:rPr>
          <w:i/>
          <w:color w:val="231F20"/>
          <w:sz w:val="16"/>
        </w:rPr>
        <w:t>POST </w:t>
      </w:r>
      <w:r>
        <w:rPr>
          <w:i/>
          <w:color w:val="231F20"/>
          <w:spacing w:val="20"/>
          <w:sz w:val="16"/>
        </w:rPr>
        <w:t> </w:t>
      </w:r>
      <w:r>
        <w:rPr>
          <w:i/>
          <w:color w:val="231F20"/>
          <w:sz w:val="16"/>
        </w:rPr>
        <w:t>D</w:t>
        <w:tab/>
        <w:t>ß</w:t>
      </w:r>
      <w:r>
        <w:rPr>
          <w:i/>
          <w:color w:val="231F20"/>
          <w:position w:val="-1"/>
          <w:sz w:val="9"/>
        </w:rPr>
        <w:t>22</w:t>
        <w:tab/>
      </w:r>
      <w:r>
        <w:rPr>
          <w:color w:val="231F20"/>
          <w:sz w:val="16"/>
        </w:rPr>
        <w:t>0.087</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3.12</w:t>
        <w:tab/>
        <w:t>0.007</w:t>
        <w:tab/>
        <w:t>0.99</w:t>
      </w:r>
    </w:p>
    <w:p>
      <w:pPr>
        <w:tabs>
          <w:tab w:pos="2802" w:val="left" w:leader="none"/>
          <w:tab w:pos="4576" w:val="left" w:leader="none"/>
          <w:tab w:pos="5912" w:val="left" w:leader="none"/>
          <w:tab w:pos="6988" w:val="right" w:leader="none"/>
        </w:tabs>
        <w:spacing w:line="202" w:lineRule="exact" w:before="0"/>
        <w:ind w:left="532" w:right="0" w:firstLine="0"/>
        <w:jc w:val="left"/>
        <w:rPr>
          <w:sz w:val="16"/>
        </w:rPr>
      </w:pPr>
      <w:r>
        <w:rPr/>
        <w:pict>
          <v:shape style="position:absolute;margin-left:105.154289pt;margin-top:1.467258pt;width:293.75pt;height:14pt;mso-position-horizontal-relative:page;mso-position-vertical-relative:paragraph;z-index:-67192" type="#_x0000_t202" filled="false" stroked="false">
            <v:textbox inset="0,0,0,0">
              <w:txbxContent>
                <w:p>
                  <w:pPr>
                    <w:tabs>
                      <w:tab w:pos="504" w:val="left" w:leader="none"/>
                      <w:tab w:pos="575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   POST </w:t>
      </w:r>
      <w:r>
        <w:rPr>
          <w:i/>
          <w:color w:val="231F20"/>
          <w:spacing w:val="7"/>
          <w:sz w:val="16"/>
        </w:rPr>
        <w:t> </w:t>
      </w:r>
      <w:r>
        <w:rPr>
          <w:i/>
          <w:color w:val="231F20"/>
          <w:sz w:val="16"/>
        </w:rPr>
        <w:t>D </w:t>
      </w:r>
      <w:r>
        <w:rPr>
          <w:i/>
          <w:color w:val="231F20"/>
          <w:spacing w:val="23"/>
          <w:sz w:val="16"/>
        </w:rPr>
        <w:t> </w:t>
      </w:r>
      <w:r>
        <w:rPr>
          <w:i/>
          <w:color w:val="231F20"/>
          <w:sz w:val="16"/>
        </w:rPr>
        <w:t>RET</w:t>
        <w:tab/>
        <w:t>ß</w:t>
      </w:r>
      <w:r>
        <w:rPr>
          <w:i/>
          <w:color w:val="231F20"/>
          <w:position w:val="-1"/>
          <w:sz w:val="9"/>
        </w:rPr>
        <w:t>23</w:t>
        <w:tab/>
      </w:r>
      <w:r>
        <w:rPr>
          <w:color w:val="231F20"/>
          <w:sz w:val="16"/>
        </w:rPr>
        <w:t>0.214</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2.92</w:t>
        <w:tab/>
        <w:t>0.000</w:t>
        <w:tab/>
        <w:t>0.01</w:t>
      </w:r>
    </w:p>
    <w:p>
      <w:pPr>
        <w:tabs>
          <w:tab w:pos="2802" w:val="left" w:leader="none"/>
          <w:tab w:pos="5913" w:val="left" w:leader="none"/>
          <w:tab w:pos="6988" w:val="right" w:leader="none"/>
        </w:tabs>
        <w:spacing w:before="0"/>
        <w:ind w:left="532" w:right="0" w:firstLine="0"/>
        <w:jc w:val="left"/>
        <w:rPr>
          <w:sz w:val="16"/>
        </w:rPr>
      </w:pPr>
      <w:r>
        <w:rPr/>
        <w:pict>
          <v:shape style="position:absolute;margin-left:118.72525pt;margin-top:1.331424pt;width:6.3pt;height:14pt;mso-position-horizontal-relative:page;mso-position-vertical-relative:paragraph;z-index:-672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3"/>
          <w:sz w:val="16"/>
        </w:rPr>
        <w:t> </w:t>
      </w:r>
      <w:r>
        <w:rPr>
          <w:i/>
          <w:color w:val="231F20"/>
          <w:sz w:val="16"/>
        </w:rPr>
        <w:t>DEL</w:t>
        <w:tab/>
        <w:t>ß</w:t>
      </w:r>
      <w:r>
        <w:rPr>
          <w:i/>
          <w:color w:val="231F20"/>
          <w:position w:val="-1"/>
          <w:sz w:val="9"/>
        </w:rPr>
        <w:t>24</w:t>
        <w:tab/>
      </w:r>
      <w:r>
        <w:rPr>
          <w:color w:val="231F20"/>
          <w:sz w:val="16"/>
        </w:rPr>
        <w:t>0.016</w:t>
        <w:tab/>
        <w:t>1.34</w:t>
      </w:r>
    </w:p>
    <w:p>
      <w:pPr>
        <w:tabs>
          <w:tab w:pos="2802" w:val="left" w:leader="none"/>
          <w:tab w:pos="5913" w:val="left" w:leader="none"/>
          <w:tab w:pos="6988" w:val="right" w:leader="none"/>
        </w:tabs>
        <w:spacing w:line="197" w:lineRule="exact" w:before="0"/>
        <w:ind w:left="532" w:right="0" w:firstLine="0"/>
        <w:jc w:val="left"/>
        <w:rPr>
          <w:sz w:val="16"/>
        </w:rPr>
      </w:pPr>
      <w:r>
        <w:rPr/>
        <w:pict>
          <v:shape style="position:absolute;margin-left:118.726013pt;margin-top:1.331383pt;width:280.2pt;height:14pt;mso-position-horizontal-relative:page;mso-position-vertical-relative:paragraph;z-index:-67240"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20"/>
          <w:sz w:val="16"/>
        </w:rPr>
        <w:t> </w:t>
      </w:r>
      <w:r>
        <w:rPr>
          <w:i/>
          <w:color w:val="231F20"/>
          <w:sz w:val="16"/>
        </w:rPr>
        <w:t>DEL </w:t>
      </w:r>
      <w:r>
        <w:rPr>
          <w:i/>
          <w:color w:val="231F20"/>
          <w:spacing w:val="20"/>
          <w:sz w:val="16"/>
        </w:rPr>
        <w:t> </w:t>
      </w:r>
      <w:r>
        <w:rPr>
          <w:i/>
          <w:color w:val="231F20"/>
          <w:sz w:val="16"/>
        </w:rPr>
        <w:t>RET</w:t>
        <w:tab/>
        <w:t>ß</w:t>
      </w:r>
      <w:r>
        <w:rPr>
          <w:i/>
          <w:color w:val="231F20"/>
          <w:position w:val="-1"/>
          <w:sz w:val="9"/>
        </w:rPr>
        <w:t>25</w:t>
        <w:tab/>
      </w:r>
      <w:r>
        <w:rPr>
          <w:color w:val="231F20"/>
          <w:sz w:val="16"/>
        </w:rPr>
        <w:t>0.011</w:t>
        <w:tab/>
        <w:t>0.64</w:t>
      </w:r>
    </w:p>
    <w:p>
      <w:pPr>
        <w:tabs>
          <w:tab w:pos="2802" w:val="left" w:leader="none"/>
          <w:tab w:pos="5913" w:val="left" w:leader="none"/>
          <w:tab w:pos="6988" w:val="right" w:leader="none"/>
        </w:tabs>
        <w:spacing w:line="202" w:lineRule="exact" w:before="0"/>
        <w:ind w:left="532" w:right="0" w:firstLine="0"/>
        <w:jc w:val="left"/>
        <w:rPr>
          <w:sz w:val="16"/>
        </w:rPr>
      </w:pPr>
      <w:r>
        <w:rPr/>
        <w:pict>
          <v:shape style="position:absolute;margin-left:118.725899pt;margin-top:1.46715pt;width:280.2pt;height:14pt;mso-position-horizontal-relative:page;mso-position-vertical-relative:paragraph;z-index:-67264"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DEL </w:t>
      </w:r>
      <w:r>
        <w:rPr>
          <w:i/>
          <w:color w:val="231F20"/>
          <w:spacing w:val="17"/>
          <w:sz w:val="16"/>
        </w:rPr>
        <w:t> </w:t>
      </w:r>
      <w:r>
        <w:rPr>
          <w:i/>
          <w:color w:val="231F20"/>
          <w:sz w:val="16"/>
        </w:rPr>
        <w:t>D</w:t>
        <w:tab/>
        <w:t>ß</w:t>
      </w:r>
      <w:r>
        <w:rPr>
          <w:i/>
          <w:color w:val="231F20"/>
          <w:position w:val="-1"/>
          <w:sz w:val="9"/>
        </w:rPr>
        <w:t>26</w:t>
        <w:tab/>
      </w:r>
      <w:r>
        <w:rPr>
          <w:color w:val="231F20"/>
          <w:sz w:val="16"/>
        </w:rPr>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1.67</w:t>
      </w:r>
    </w:p>
    <w:p>
      <w:pPr>
        <w:tabs>
          <w:tab w:pos="2802" w:val="left" w:leader="none"/>
          <w:tab w:pos="5913" w:val="left" w:leader="none"/>
          <w:tab w:pos="6988" w:val="right" w:leader="none"/>
        </w:tabs>
        <w:spacing w:before="1"/>
        <w:ind w:left="532" w:right="0" w:firstLine="0"/>
        <w:jc w:val="left"/>
        <w:rPr>
          <w:sz w:val="16"/>
        </w:rPr>
      </w:pPr>
      <w:r>
        <w:rPr/>
        <w:pict>
          <v:shape style="position:absolute;margin-left:118.725937pt;margin-top:1.381289pt;width:280.2pt;height:14pt;mso-position-horizontal-relative:page;mso-position-vertical-relative:paragraph;z-index:-67288"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 </w:t>
                  </w:r>
                  <w:r>
                    <w:rPr>
                      <w:rFonts w:ascii="Lucida Sans Unicode" w:hAnsi="Lucida Sans Unicode"/>
                      <w:color w:val="231F20"/>
                      <w:spacing w:val="1"/>
                      <w:sz w:val="16"/>
                    </w:rPr>
                    <w:t> </w:t>
                  </w: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 </w:t>
      </w:r>
      <w:r>
        <w:rPr>
          <w:i/>
          <w:color w:val="231F20"/>
          <w:spacing w:val="5"/>
          <w:sz w:val="16"/>
        </w:rPr>
        <w:t> </w:t>
      </w:r>
      <w:r>
        <w:rPr>
          <w:i/>
          <w:color w:val="231F20"/>
          <w:sz w:val="16"/>
        </w:rPr>
        <w:t>D </w:t>
      </w:r>
      <w:r>
        <w:rPr>
          <w:i/>
          <w:color w:val="231F20"/>
          <w:spacing w:val="21"/>
          <w:sz w:val="16"/>
        </w:rPr>
        <w:t> </w:t>
      </w:r>
      <w:r>
        <w:rPr>
          <w:i/>
          <w:color w:val="231F20"/>
          <w:sz w:val="16"/>
        </w:rPr>
        <w:t>RET</w:t>
        <w:tab/>
        <w:t>ß</w:t>
      </w:r>
      <w:r>
        <w:rPr>
          <w:i/>
          <w:color w:val="231F20"/>
          <w:position w:val="-1"/>
          <w:sz w:val="9"/>
        </w:rPr>
        <w:t>27</w:t>
        <w:tab/>
      </w:r>
      <w:r>
        <w:rPr>
          <w:color w:val="231F20"/>
          <w:sz w:val="16"/>
        </w:rPr>
        <w:t>0.069</w:t>
        <w:tab/>
        <w:t>1.53</w:t>
      </w:r>
    </w:p>
    <w:p>
      <w:pPr>
        <w:tabs>
          <w:tab w:pos="2802" w:val="left" w:leader="none"/>
          <w:tab w:pos="5913" w:val="left" w:leader="none"/>
          <w:tab w:pos="6988" w:val="right" w:leader="none"/>
        </w:tabs>
        <w:spacing w:before="0"/>
        <w:ind w:left="532" w:right="0" w:firstLine="0"/>
        <w:jc w:val="left"/>
        <w:rPr>
          <w:sz w:val="16"/>
        </w:rPr>
      </w:pPr>
      <w:r>
        <w:rPr/>
        <w:pict>
          <v:shape style="position:absolute;margin-left:118.725899pt;margin-top:1.331376pt;width:280.2pt;height:14pt;mso-position-horizontal-relative:page;mso-position-vertical-relative:paragraph;z-index:-67312" type="#_x0000_t202" filled="false" stroked="false">
            <v:textbox inset="0,0,0,0">
              <w:txbxContent>
                <w:p>
                  <w:pPr>
                    <w:tabs>
                      <w:tab w:pos="415" w:val="left" w:leader="none"/>
                      <w:tab w:pos="4694" w:val="left" w:leader="none"/>
                      <w:tab w:pos="5478"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DEL </w:t>
      </w:r>
      <w:r>
        <w:rPr>
          <w:i/>
          <w:color w:val="231F20"/>
          <w:spacing w:val="15"/>
          <w:sz w:val="16"/>
        </w:rPr>
        <w:t> </w:t>
      </w:r>
      <w:r>
        <w:rPr>
          <w:i/>
          <w:color w:val="231F20"/>
          <w:sz w:val="16"/>
        </w:rPr>
        <w:t>POST</w:t>
        <w:tab/>
        <w:t>ß</w:t>
      </w:r>
      <w:r>
        <w:rPr>
          <w:i/>
          <w:color w:val="231F20"/>
          <w:position w:val="-1"/>
          <w:sz w:val="9"/>
        </w:rPr>
        <w:t>28</w:t>
        <w:tab/>
      </w:r>
      <w:r>
        <w:rPr>
          <w:color w:val="231F20"/>
          <w:sz w:val="16"/>
        </w:rPr>
        <w:t>0.018</w:t>
        <w:tab/>
        <w:t>1.08</w:t>
      </w:r>
    </w:p>
    <w:p>
      <w:pPr>
        <w:tabs>
          <w:tab w:pos="2802" w:val="left" w:leader="none"/>
          <w:tab w:pos="5913" w:val="left" w:leader="none"/>
          <w:tab w:pos="6988" w:val="right" w:leader="none"/>
        </w:tabs>
        <w:spacing w:line="197" w:lineRule="exact" w:before="1"/>
        <w:ind w:left="532" w:right="0" w:firstLine="0"/>
        <w:jc w:val="left"/>
        <w:rPr>
          <w:sz w:val="16"/>
        </w:rPr>
      </w:pPr>
      <w:r>
        <w:rPr/>
        <w:pict>
          <v:shape style="position:absolute;margin-left:118.725899pt;margin-top:1.381422pt;width:52.3pt;height:14pt;mso-position-horizontal-relative:page;mso-position-vertical-relative:paragraph;z-index:-67336"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  POST </w:t>
      </w:r>
      <w:r>
        <w:rPr>
          <w:i/>
          <w:color w:val="231F20"/>
          <w:spacing w:val="20"/>
          <w:sz w:val="16"/>
        </w:rPr>
        <w:t> </w:t>
      </w:r>
      <w:r>
        <w:rPr>
          <w:i/>
          <w:color w:val="231F20"/>
          <w:sz w:val="16"/>
        </w:rPr>
        <w:t>RET</w:t>
        <w:tab/>
        <w:t>ß</w:t>
      </w:r>
      <w:r>
        <w:rPr>
          <w:i/>
          <w:color w:val="231F20"/>
          <w:position w:val="-1"/>
          <w:sz w:val="9"/>
        </w:rPr>
        <w:t>29</w:t>
        <w:tab/>
      </w:r>
      <w:r>
        <w:rPr>
          <w:color w:val="231F20"/>
          <w:sz w:val="16"/>
        </w:rPr>
        <w:t>0.006</w:t>
        <w:tab/>
        <w:t>0.22</w:t>
      </w:r>
    </w:p>
    <w:p>
      <w:pPr>
        <w:tabs>
          <w:tab w:pos="2802" w:val="left" w:leader="none"/>
          <w:tab w:pos="5913" w:val="left" w:leader="none"/>
          <w:tab w:pos="6988" w:val="right" w:leader="none"/>
        </w:tabs>
        <w:spacing w:line="199" w:lineRule="exact" w:before="0"/>
        <w:ind w:left="532" w:right="0" w:firstLine="0"/>
        <w:jc w:val="left"/>
        <w:rPr>
          <w:sz w:val="16"/>
        </w:rPr>
      </w:pPr>
      <w:r>
        <w:rPr/>
        <w:pict>
          <v:shape style="position:absolute;margin-left:118.726013pt;margin-top:1.467295pt;width:52.3pt;height:14pt;mso-position-horizontal-relative:page;mso-position-vertical-relative:paragraph;z-index:-67360"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5"/>
          <w:sz w:val="16"/>
        </w:rPr>
        <w:t> </w:t>
      </w:r>
      <w:r>
        <w:rPr>
          <w:i/>
          <w:color w:val="231F20"/>
          <w:sz w:val="16"/>
        </w:rPr>
        <w:t>POST </w:t>
      </w:r>
      <w:r>
        <w:rPr>
          <w:i/>
          <w:color w:val="231F20"/>
          <w:spacing w:val="17"/>
          <w:sz w:val="16"/>
        </w:rPr>
        <w:t> </w:t>
      </w:r>
      <w:r>
        <w:rPr>
          <w:i/>
          <w:color w:val="231F20"/>
          <w:sz w:val="16"/>
        </w:rPr>
        <w:t>D</w:t>
        <w:tab/>
        <w:t>ß</w:t>
      </w:r>
      <w:r>
        <w:rPr>
          <w:i/>
          <w:color w:val="231F20"/>
          <w:position w:val="-1"/>
          <w:sz w:val="9"/>
        </w:rPr>
        <w:t>30</w:t>
        <w:tab/>
      </w:r>
      <w:r>
        <w:rPr>
          <w:color w:val="231F20"/>
          <w:sz w:val="16"/>
        </w:rPr>
        <w:t>0.080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2.81</w:t>
      </w:r>
    </w:p>
    <w:p>
      <w:pPr>
        <w:tabs>
          <w:tab w:pos="5913" w:val="left" w:leader="none"/>
          <w:tab w:pos="6988" w:val="right" w:leader="none"/>
        </w:tabs>
        <w:spacing w:line="202" w:lineRule="exact" w:before="0"/>
        <w:ind w:left="532" w:right="0" w:firstLine="0"/>
        <w:jc w:val="left"/>
        <w:rPr>
          <w:sz w:val="16"/>
        </w:rPr>
      </w:pPr>
      <w:r>
        <w:rPr/>
        <w:pict>
          <v:shape style="position:absolute;margin-left:118.725471pt;margin-top:1.467398pt;width:63.85pt;height:14pt;mso-position-horizontal-relative:page;mso-position-vertical-relative:paragraph;z-index:-67384"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r>
                  <w:r>
                    <w:rPr>
                      <w:rFonts w:ascii="Lucida Sans Unicode" w:hAnsi="Lucida Sans Unicode"/>
                      <w:color w:val="231F20"/>
                      <w:spacing w:val="50"/>
                      <w:sz w:val="16"/>
                    </w:rPr>
                    <w:t> </w:t>
                  </w:r>
                  <w:r>
                    <w:rPr>
                      <w:rFonts w:ascii="Lucida Sans Unicode" w:hAnsi="Lucida Sans Unicode"/>
                      <w:color w:val="231F20"/>
                      <w:sz w:val="16"/>
                    </w:rPr>
                    <w:t>×</w:t>
                  </w:r>
                </w:p>
              </w:txbxContent>
            </v:textbox>
            <w10:wrap type="none"/>
          </v:shape>
        </w:pict>
      </w:r>
      <w:r>
        <w:rPr>
          <w:i/>
          <w:color w:val="231F20"/>
          <w:sz w:val="16"/>
        </w:rPr>
        <w:t>HEDF93   DEL   POST   D</w:t>
      </w:r>
      <w:r>
        <w:rPr>
          <w:i/>
          <w:color w:val="231F20"/>
          <w:spacing w:val="20"/>
          <w:sz w:val="16"/>
        </w:rPr>
        <w:t> </w:t>
      </w:r>
      <w:r>
        <w:rPr>
          <w:i/>
          <w:color w:val="231F20"/>
          <w:sz w:val="16"/>
        </w:rPr>
        <w:t>RET </w:t>
      </w:r>
      <w:r>
        <w:rPr>
          <w:i/>
          <w:color w:val="231F20"/>
          <w:spacing w:val="35"/>
          <w:sz w:val="16"/>
        </w:rPr>
        <w:t> </w:t>
      </w:r>
      <w:r>
        <w:rPr>
          <w:i/>
          <w:color w:val="231F20"/>
          <w:sz w:val="16"/>
        </w:rPr>
        <w:t>ß</w:t>
      </w:r>
      <w:r>
        <w:rPr>
          <w:i/>
          <w:color w:val="231F20"/>
          <w:position w:val="-1"/>
          <w:sz w:val="9"/>
        </w:rPr>
        <w:t>31</w:t>
        <w:tab/>
      </w:r>
      <w:r>
        <w:rPr>
          <w:color w:val="231F20"/>
          <w:sz w:val="16"/>
        </w:rPr>
        <w:t>0.172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2.22</w:t>
      </w:r>
    </w:p>
    <w:p>
      <w:pPr>
        <w:tabs>
          <w:tab w:pos="3402" w:val="left" w:leader="none"/>
          <w:tab w:pos="4738" w:val="left" w:leader="none"/>
          <w:tab w:pos="6075" w:val="left" w:leader="none"/>
        </w:tabs>
        <w:spacing w:before="0"/>
        <w:ind w:left="532" w:right="0" w:firstLine="0"/>
        <w:jc w:val="left"/>
        <w:rPr>
          <w:sz w:val="16"/>
        </w:rPr>
      </w:pPr>
      <w:r>
        <w:rPr>
          <w:i/>
          <w:color w:val="231F20"/>
          <w:sz w:val="16"/>
        </w:rPr>
        <w:t>Controls</w:t>
        <w:tab/>
      </w:r>
      <w:r>
        <w:rPr>
          <w:color w:val="231F20"/>
          <w:sz w:val="16"/>
        </w:rPr>
        <w:t>Included</w:t>
        <w:tab/>
        <w:t>Included</w:t>
        <w:tab/>
        <w:t>Included</w:t>
      </w:r>
    </w:p>
    <w:p>
      <w:pPr>
        <w:tabs>
          <w:tab w:pos="3402" w:val="left" w:leader="none"/>
          <w:tab w:pos="4738" w:val="left" w:leader="none"/>
          <w:tab w:pos="6074" w:val="left" w:leader="none"/>
        </w:tabs>
        <w:spacing w:before="0"/>
        <w:ind w:left="532" w:right="0" w:firstLine="0"/>
        <w:jc w:val="left"/>
        <w:rPr>
          <w:sz w:val="16"/>
        </w:rPr>
      </w:pPr>
      <w:r>
        <w:rPr/>
        <w:pict>
          <v:shape style="position:absolute;margin-left:116.331444pt;margin-top:1.331431pt;width:6.3pt;height:14pt;mso-position-horizontal-relative:page;mso-position-vertical-relative:paragraph;z-index:-674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11"/>
          <w:sz w:val="16"/>
        </w:rPr>
        <w:t> </w:t>
      </w:r>
      <w:r>
        <w:rPr>
          <w:i/>
          <w:color w:val="231F20"/>
          <w:sz w:val="16"/>
        </w:rPr>
        <w:t>RET</w:t>
        <w:tab/>
      </w:r>
      <w:r>
        <w:rPr>
          <w:color w:val="231F20"/>
          <w:sz w:val="16"/>
        </w:rPr>
        <w:t>Included</w:t>
        <w:tab/>
        <w:t>Included</w:t>
        <w:tab/>
        <w:t>Included</w:t>
      </w:r>
    </w:p>
    <w:p>
      <w:pPr>
        <w:tabs>
          <w:tab w:pos="3402" w:val="left" w:leader="none"/>
          <w:tab w:pos="4738" w:val="left" w:leader="none"/>
          <w:tab w:pos="6074" w:val="left" w:leader="none"/>
        </w:tabs>
        <w:spacing w:before="1"/>
        <w:ind w:left="532" w:right="0" w:firstLine="0"/>
        <w:jc w:val="left"/>
        <w:rPr>
          <w:sz w:val="16"/>
        </w:rPr>
      </w:pPr>
      <w:r>
        <w:rPr/>
        <w:pict>
          <v:shape style="position:absolute;margin-left:116.331444pt;margin-top:1.381435pt;width:6.3pt;height:14pt;mso-position-horizontal-relative:page;mso-position-vertical-relative:paragraph;z-index:-6743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6"/>
          <w:sz w:val="16"/>
        </w:rPr>
        <w:t> </w:t>
      </w:r>
      <w:r>
        <w:rPr>
          <w:i/>
          <w:color w:val="231F20"/>
          <w:sz w:val="16"/>
        </w:rPr>
        <w:t>D</w:t>
        <w:tab/>
      </w:r>
      <w:r>
        <w:rPr>
          <w:color w:val="231F20"/>
          <w:sz w:val="16"/>
        </w:rPr>
        <w:t>Included</w:t>
        <w:tab/>
        <w:t>Included</w:t>
        <w:tab/>
        <w:t>Included</w:t>
      </w:r>
    </w:p>
    <w:p>
      <w:pPr>
        <w:tabs>
          <w:tab w:pos="3402" w:val="left" w:leader="none"/>
          <w:tab w:pos="4738" w:val="left" w:leader="none"/>
          <w:tab w:pos="6074" w:val="left" w:leader="none"/>
        </w:tabs>
        <w:spacing w:before="0"/>
        <w:ind w:left="532" w:right="0" w:firstLine="0"/>
        <w:jc w:val="left"/>
        <w:rPr>
          <w:sz w:val="16"/>
        </w:rPr>
      </w:pPr>
      <w:r>
        <w:rPr/>
        <w:pict>
          <v:shape style="position:absolute;margin-left:116.331444pt;margin-top:1.331435pt;width:17.8pt;height:14pt;mso-position-horizontal-relative:page;mso-position-vertical-relative:paragraph;z-index:-6745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i/>
          <w:color w:val="231F20"/>
          <w:sz w:val="16"/>
        </w:rPr>
        <w:t>Controls </w:t>
      </w:r>
      <w:r>
        <w:rPr>
          <w:i/>
          <w:color w:val="231F20"/>
          <w:spacing w:val="15"/>
          <w:sz w:val="16"/>
        </w:rPr>
        <w:t> </w:t>
      </w:r>
      <w:r>
        <w:rPr>
          <w:i/>
          <w:color w:val="231F20"/>
          <w:sz w:val="16"/>
        </w:rPr>
        <w:t>D </w:t>
      </w:r>
      <w:r>
        <w:rPr>
          <w:i/>
          <w:color w:val="231F20"/>
          <w:spacing w:val="16"/>
          <w:sz w:val="16"/>
        </w:rPr>
        <w:t> </w:t>
      </w:r>
      <w:r>
        <w:rPr>
          <w:i/>
          <w:color w:val="231F20"/>
          <w:sz w:val="16"/>
        </w:rPr>
        <w:t>RET</w:t>
        <w:tab/>
      </w:r>
      <w:r>
        <w:rPr>
          <w:color w:val="231F20"/>
          <w:sz w:val="16"/>
        </w:rPr>
        <w:t>Included</w:t>
        <w:tab/>
        <w:t>Included</w:t>
        <w:tab/>
        <w:t>Included</w:t>
      </w:r>
    </w:p>
    <w:p>
      <w:pPr>
        <w:tabs>
          <w:tab w:pos="3402" w:val="left" w:leader="none"/>
          <w:tab w:pos="4738" w:val="left" w:leader="none"/>
          <w:tab w:pos="6074" w:val="left" w:leader="none"/>
        </w:tabs>
        <w:spacing w:before="1"/>
        <w:ind w:left="532" w:right="0" w:firstLine="0"/>
        <w:jc w:val="left"/>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3402" w:val="left" w:leader="none"/>
          <w:tab w:pos="4738" w:val="left" w:leader="none"/>
          <w:tab w:pos="6075" w:val="left" w:leader="none"/>
        </w:tabs>
        <w:spacing w:before="0"/>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3529" w:val="left" w:leader="none"/>
          <w:tab w:pos="4866" w:val="left" w:leader="none"/>
          <w:tab w:pos="6160" w:val="left" w:leader="none"/>
        </w:tabs>
        <w:spacing w:before="0"/>
        <w:ind w:left="532" w:right="0" w:firstLine="0"/>
        <w:jc w:val="left"/>
        <w:rPr>
          <w:sz w:val="16"/>
        </w:rPr>
      </w:pPr>
      <w:r>
        <w:rPr>
          <w:color w:val="231F20"/>
          <w:sz w:val="16"/>
        </w:rPr>
        <w:t>No.</w:t>
      </w:r>
      <w:r>
        <w:rPr>
          <w:color w:val="231F20"/>
          <w:spacing w:val="-12"/>
          <w:sz w:val="16"/>
        </w:rPr>
        <w:t> </w:t>
      </w:r>
      <w:r>
        <w:rPr>
          <w:color w:val="231F20"/>
          <w:sz w:val="16"/>
        </w:rPr>
        <w:t>observations</w:t>
        <w:tab/>
        <w:t>8,857</w:t>
        <w:tab/>
        <w:t>2,937</w:t>
        <w:tab/>
        <w:t>17,533</w:t>
      </w:r>
    </w:p>
    <w:p>
      <w:pPr>
        <w:tabs>
          <w:tab w:pos="3499" w:val="left" w:leader="none"/>
          <w:tab w:pos="4836" w:val="left" w:leader="none"/>
          <w:tab w:pos="6172" w:val="left" w:leader="none"/>
        </w:tabs>
        <w:spacing w:before="1" w:after="21"/>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28.9%</w:t>
        <w:tab/>
        <w:t>31.0%</w:t>
        <w:tab/>
        <w:t>30.4%</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8" w:lineRule="auto" w:before="56"/>
        <w:ind w:left="532" w:right="148" w:firstLine="199"/>
        <w:jc w:val="both"/>
        <w:rPr>
          <w:sz w:val="14"/>
        </w:rPr>
      </w:pPr>
      <w:r>
        <w:rPr>
          <w:color w:val="231F20"/>
          <w:sz w:val="14"/>
        </w:rPr>
        <w:t>This table presents regression estimates to test the effect of the 1991 Delaware court ruling on condi- tional</w:t>
      </w:r>
      <w:r>
        <w:rPr>
          <w:color w:val="231F20"/>
          <w:spacing w:val="-7"/>
          <w:sz w:val="14"/>
        </w:rPr>
        <w:t> </w:t>
      </w:r>
      <w:r>
        <w:rPr>
          <w:color w:val="231F20"/>
          <w:sz w:val="14"/>
        </w:rPr>
        <w:t>conservatism</w:t>
      </w:r>
      <w:r>
        <w:rPr>
          <w:color w:val="231F20"/>
          <w:spacing w:val="-7"/>
          <w:sz w:val="14"/>
        </w:rPr>
        <w:t> </w:t>
      </w:r>
      <w:r>
        <w:rPr>
          <w:color w:val="231F20"/>
          <w:sz w:val="14"/>
        </w:rPr>
        <w:t>as</w:t>
      </w:r>
      <w:r>
        <w:rPr>
          <w:color w:val="231F20"/>
          <w:spacing w:val="-7"/>
          <w:sz w:val="14"/>
        </w:rPr>
        <w:t> </w:t>
      </w:r>
      <w:r>
        <w:rPr>
          <w:color w:val="231F20"/>
          <w:sz w:val="14"/>
        </w:rPr>
        <w:t>measured</w:t>
      </w:r>
      <w:r>
        <w:rPr>
          <w:color w:val="231F20"/>
          <w:spacing w:val="-7"/>
          <w:sz w:val="14"/>
        </w:rPr>
        <w:t> </w:t>
      </w:r>
      <w:r>
        <w:rPr>
          <w:color w:val="231F20"/>
          <w:sz w:val="14"/>
        </w:rPr>
        <w:t>by</w:t>
      </w:r>
      <w:r>
        <w:rPr>
          <w:color w:val="231F20"/>
          <w:spacing w:val="-7"/>
          <w:sz w:val="14"/>
        </w:rPr>
        <w:t> </w:t>
      </w:r>
      <w:r>
        <w:rPr>
          <w:color w:val="231F20"/>
          <w:sz w:val="14"/>
        </w:rPr>
        <w:t>asymmetric</w:t>
      </w:r>
      <w:r>
        <w:rPr>
          <w:color w:val="231F20"/>
          <w:spacing w:val="-7"/>
          <w:sz w:val="14"/>
        </w:rPr>
        <w:t> </w:t>
      </w:r>
      <w:r>
        <w:rPr>
          <w:color w:val="231F20"/>
          <w:sz w:val="14"/>
        </w:rPr>
        <w:t>timeliness</w:t>
      </w:r>
      <w:r>
        <w:rPr>
          <w:color w:val="231F20"/>
          <w:spacing w:val="-7"/>
          <w:sz w:val="14"/>
        </w:rPr>
        <w:t> </w:t>
      </w:r>
      <w:r>
        <w:rPr>
          <w:color w:val="231F20"/>
          <w:sz w:val="14"/>
        </w:rPr>
        <w:t>of</w:t>
      </w:r>
      <w:r>
        <w:rPr>
          <w:color w:val="231F20"/>
          <w:spacing w:val="-7"/>
          <w:sz w:val="14"/>
        </w:rPr>
        <w:t> </w:t>
      </w:r>
      <w:r>
        <w:rPr>
          <w:color w:val="231F20"/>
          <w:sz w:val="14"/>
        </w:rPr>
        <w:t>earnings</w:t>
      </w:r>
      <w:r>
        <w:rPr>
          <w:color w:val="231F20"/>
          <w:spacing w:val="-7"/>
          <w:sz w:val="14"/>
        </w:rPr>
        <w:t> </w:t>
      </w:r>
      <w:r>
        <w:rPr>
          <w:color w:val="231F20"/>
          <w:sz w:val="14"/>
        </w:rPr>
        <w:t>per</w:t>
      </w:r>
      <w:r>
        <w:rPr>
          <w:color w:val="231F20"/>
          <w:spacing w:val="-7"/>
          <w:sz w:val="14"/>
        </w:rPr>
        <w:t> </w:t>
      </w:r>
      <w:r>
        <w:rPr>
          <w:color w:val="231F20"/>
          <w:sz w:val="14"/>
        </w:rPr>
        <w:t>Basu</w:t>
      </w:r>
      <w:r>
        <w:rPr>
          <w:color w:val="231F20"/>
          <w:spacing w:val="-7"/>
          <w:sz w:val="14"/>
        </w:rPr>
        <w:t> </w:t>
      </w:r>
      <w:r>
        <w:rPr>
          <w:color w:val="231F20"/>
          <w:sz w:val="14"/>
        </w:rPr>
        <w:t>[1997]</w:t>
      </w:r>
      <w:r>
        <w:rPr>
          <w:color w:val="231F20"/>
          <w:spacing w:val="-7"/>
          <w:sz w:val="14"/>
        </w:rPr>
        <w:t> </w:t>
      </w:r>
      <w:r>
        <w:rPr>
          <w:color w:val="231F20"/>
          <w:sz w:val="14"/>
        </w:rPr>
        <w:t>as</w:t>
      </w:r>
      <w:r>
        <w:rPr>
          <w:color w:val="231F20"/>
          <w:spacing w:val="-7"/>
          <w:sz w:val="14"/>
        </w:rPr>
        <w:t> </w:t>
      </w:r>
      <w:r>
        <w:rPr>
          <w:color w:val="231F20"/>
          <w:sz w:val="14"/>
        </w:rPr>
        <w:t>in</w:t>
      </w:r>
      <w:r>
        <w:rPr>
          <w:color w:val="231F20"/>
          <w:spacing w:val="-7"/>
          <w:sz w:val="14"/>
        </w:rPr>
        <w:t> </w:t>
      </w:r>
      <w:r>
        <w:rPr>
          <w:color w:val="231F20"/>
          <w:sz w:val="14"/>
        </w:rPr>
        <w:t>model</w:t>
      </w:r>
      <w:r>
        <w:rPr>
          <w:color w:val="231F20"/>
          <w:spacing w:val="-7"/>
          <w:sz w:val="14"/>
        </w:rPr>
        <w:t> </w:t>
      </w:r>
      <w:r>
        <w:rPr>
          <w:color w:val="231F20"/>
          <w:sz w:val="14"/>
        </w:rPr>
        <w:t>3.</w:t>
      </w:r>
      <w:r>
        <w:rPr>
          <w:color w:val="231F20"/>
          <w:spacing w:val="-7"/>
          <w:sz w:val="14"/>
        </w:rPr>
        <w:t> </w:t>
      </w:r>
      <w:r>
        <w:rPr>
          <w:color w:val="231F20"/>
          <w:sz w:val="14"/>
        </w:rPr>
        <w:t>The sample includes 17,533 observations for 2,460 firms spanning calendar years 1988–1991 and 1993–1996. </w:t>
      </w:r>
      <w:r>
        <w:rPr>
          <w:i/>
          <w:color w:val="231F20"/>
          <w:sz w:val="14"/>
        </w:rPr>
        <w:t>X/P </w:t>
      </w:r>
      <w:r>
        <w:rPr>
          <w:color w:val="231F20"/>
          <w:sz w:val="14"/>
        </w:rPr>
        <w:t>is earnings per share scaled by year beginning price. </w:t>
      </w:r>
      <w:r>
        <w:rPr>
          <w:i/>
          <w:color w:val="231F20"/>
          <w:sz w:val="14"/>
        </w:rPr>
        <w:t>RET </w:t>
      </w:r>
      <w:r>
        <w:rPr>
          <w:color w:val="231F20"/>
          <w:sz w:val="14"/>
        </w:rPr>
        <w:t>is buy-and-hold stock returns for the </w:t>
      </w:r>
      <w:r>
        <w:rPr>
          <w:color w:val="231F20"/>
          <w:spacing w:val="-3"/>
          <w:sz w:val="14"/>
        </w:rPr>
        <w:t>year. </w:t>
      </w:r>
      <w:r>
        <w:rPr>
          <w:i/>
          <w:color w:val="231F20"/>
          <w:sz w:val="14"/>
        </w:rPr>
        <w:t>D </w:t>
      </w:r>
      <w:r>
        <w:rPr>
          <w:color w:val="231F20"/>
          <w:sz w:val="14"/>
        </w:rPr>
        <w:t>is a dichotomous variable equal to 1 if </w:t>
      </w:r>
      <w:r>
        <w:rPr>
          <w:i/>
          <w:color w:val="231F20"/>
          <w:sz w:val="14"/>
        </w:rPr>
        <w:t>RET </w:t>
      </w:r>
      <w:r>
        <w:rPr>
          <w:rFonts w:ascii="Verdana" w:hAnsi="Verdana"/>
          <w:i/>
          <w:color w:val="231F20"/>
          <w:sz w:val="14"/>
        </w:rPr>
        <w:t>&lt;</w:t>
      </w:r>
      <w:r>
        <w:rPr>
          <w:rFonts w:ascii="Verdana" w:hAnsi="Verdana"/>
          <w:i/>
          <w:color w:val="231F20"/>
          <w:spacing w:val="-25"/>
          <w:sz w:val="14"/>
        </w:rPr>
        <w:t> </w:t>
      </w:r>
      <w:r>
        <w:rPr>
          <w:color w:val="231F20"/>
          <w:sz w:val="14"/>
        </w:rPr>
        <w:t>0 and 0 otherwise. Controls include </w:t>
      </w:r>
      <w:r>
        <w:rPr>
          <w:i/>
          <w:color w:val="231F20"/>
          <w:sz w:val="14"/>
        </w:rPr>
        <w:t>LNMVE</w:t>
      </w:r>
      <w:r>
        <w:rPr>
          <w:color w:val="231F20"/>
          <w:sz w:val="14"/>
        </w:rPr>
        <w:t>, </w:t>
      </w:r>
      <w:r>
        <w:rPr>
          <w:i/>
          <w:color w:val="231F20"/>
          <w:sz w:val="14"/>
        </w:rPr>
        <w:t>LEV</w:t>
      </w:r>
      <w:r>
        <w:rPr>
          <w:color w:val="231F20"/>
          <w:sz w:val="14"/>
        </w:rPr>
        <w:t>, </w:t>
      </w:r>
      <w:r>
        <w:rPr>
          <w:i/>
          <w:color w:val="231F20"/>
          <w:sz w:val="14"/>
        </w:rPr>
        <w:t>BTM</w:t>
      </w:r>
      <w:r>
        <w:rPr>
          <w:color w:val="231F20"/>
          <w:sz w:val="14"/>
        </w:rPr>
        <w:t>, </w:t>
      </w:r>
      <w:r>
        <w:rPr>
          <w:i/>
          <w:color w:val="231F20"/>
          <w:sz w:val="14"/>
        </w:rPr>
        <w:t>GROWTH</w:t>
      </w:r>
      <w:r>
        <w:rPr>
          <w:color w:val="231F20"/>
          <w:sz w:val="14"/>
        </w:rPr>
        <w:t>,</w:t>
      </w:r>
      <w:r>
        <w:rPr>
          <w:color w:val="231F20"/>
          <w:spacing w:val="-12"/>
          <w:sz w:val="14"/>
        </w:rPr>
        <w:t> </w:t>
      </w:r>
      <w:r>
        <w:rPr>
          <w:i/>
          <w:color w:val="231F20"/>
          <w:sz w:val="14"/>
        </w:rPr>
        <w:t>LITIG</w:t>
      </w:r>
      <w:r>
        <w:rPr>
          <w:color w:val="231F20"/>
          <w:sz w:val="14"/>
        </w:rPr>
        <w:t>,</w:t>
      </w:r>
      <w:r>
        <w:rPr>
          <w:color w:val="231F20"/>
          <w:spacing w:val="-12"/>
          <w:sz w:val="14"/>
        </w:rPr>
        <w:t> </w:t>
      </w:r>
      <w:r>
        <w:rPr>
          <w:i/>
          <w:color w:val="231F20"/>
          <w:sz w:val="14"/>
        </w:rPr>
        <w:t>INSTOWN</w:t>
      </w:r>
      <w:r>
        <w:rPr>
          <w:color w:val="231F20"/>
          <w:sz w:val="14"/>
        </w:rPr>
        <w:t>,</w:t>
      </w:r>
      <w:r>
        <w:rPr>
          <w:color w:val="231F20"/>
          <w:spacing w:val="-12"/>
          <w:sz w:val="14"/>
        </w:rPr>
        <w:t> </w:t>
      </w:r>
      <w:r>
        <w:rPr>
          <w:i/>
          <w:color w:val="231F20"/>
          <w:sz w:val="14"/>
        </w:rPr>
        <w:t>STDRET</w:t>
      </w:r>
      <w:r>
        <w:rPr>
          <w:i/>
          <w:color w:val="231F20"/>
          <w:spacing w:val="-12"/>
          <w:sz w:val="14"/>
        </w:rPr>
        <w:t> </w:t>
      </w:r>
      <w:r>
        <w:rPr>
          <w:color w:val="231F20"/>
          <w:sz w:val="14"/>
        </w:rPr>
        <w:t>(which</w:t>
      </w:r>
      <w:r>
        <w:rPr>
          <w:color w:val="231F20"/>
          <w:spacing w:val="-12"/>
          <w:sz w:val="14"/>
        </w:rPr>
        <w:t> </w:t>
      </w:r>
      <w:r>
        <w:rPr>
          <w:color w:val="231F20"/>
          <w:sz w:val="14"/>
        </w:rPr>
        <w:t>is</w:t>
      </w:r>
      <w:r>
        <w:rPr>
          <w:color w:val="231F20"/>
          <w:spacing w:val="-12"/>
          <w:sz w:val="14"/>
        </w:rPr>
        <w:t> </w:t>
      </w:r>
      <w:r>
        <w:rPr>
          <w:color w:val="231F20"/>
          <w:sz w:val="14"/>
        </w:rPr>
        <w:t>the</w:t>
      </w:r>
      <w:r>
        <w:rPr>
          <w:color w:val="231F20"/>
          <w:spacing w:val="-12"/>
          <w:sz w:val="14"/>
        </w:rPr>
        <w:t> </w:t>
      </w:r>
      <w:r>
        <w:rPr>
          <w:color w:val="231F20"/>
          <w:sz w:val="14"/>
        </w:rPr>
        <w:t>daily</w:t>
      </w:r>
      <w:r>
        <w:rPr>
          <w:color w:val="231F20"/>
          <w:spacing w:val="-12"/>
          <w:sz w:val="14"/>
        </w:rPr>
        <w:t> </w:t>
      </w:r>
      <w:r>
        <w:rPr>
          <w:color w:val="231F20"/>
          <w:sz w:val="14"/>
        </w:rPr>
        <w:t>stock</w:t>
      </w:r>
      <w:r>
        <w:rPr>
          <w:color w:val="231F20"/>
          <w:spacing w:val="-12"/>
          <w:sz w:val="14"/>
        </w:rPr>
        <w:t> </w:t>
      </w:r>
      <w:r>
        <w:rPr>
          <w:color w:val="231F20"/>
          <w:sz w:val="14"/>
        </w:rPr>
        <w:t>return</w:t>
      </w:r>
      <w:r>
        <w:rPr>
          <w:color w:val="231F20"/>
          <w:spacing w:val="-12"/>
          <w:sz w:val="14"/>
        </w:rPr>
        <w:t> </w:t>
      </w:r>
      <w:r>
        <w:rPr>
          <w:color w:val="231F20"/>
          <w:sz w:val="14"/>
        </w:rPr>
        <w:t>volatility</w:t>
      </w:r>
      <w:r>
        <w:rPr>
          <w:color w:val="231F20"/>
          <w:spacing w:val="-12"/>
          <w:sz w:val="14"/>
        </w:rPr>
        <w:t> </w:t>
      </w:r>
      <w:r>
        <w:rPr>
          <w:color w:val="231F20"/>
          <w:sz w:val="14"/>
        </w:rPr>
        <w:t>during</w:t>
      </w:r>
      <w:r>
        <w:rPr>
          <w:color w:val="231F20"/>
          <w:spacing w:val="-12"/>
          <w:sz w:val="14"/>
        </w:rPr>
        <w:t> </w:t>
      </w:r>
      <w:r>
        <w:rPr>
          <w:color w:val="231F20"/>
          <w:sz w:val="14"/>
        </w:rPr>
        <w:t>the</w:t>
      </w:r>
      <w:r>
        <w:rPr>
          <w:color w:val="231F20"/>
          <w:spacing w:val="-12"/>
          <w:sz w:val="14"/>
        </w:rPr>
        <w:t> </w:t>
      </w:r>
      <w:r>
        <w:rPr>
          <w:color w:val="231F20"/>
          <w:sz w:val="14"/>
        </w:rPr>
        <w:t>prior</w:t>
      </w:r>
      <w:r>
        <w:rPr>
          <w:color w:val="231F20"/>
          <w:spacing w:val="-12"/>
          <w:sz w:val="14"/>
        </w:rPr>
        <w:t> </w:t>
      </w:r>
      <w:r>
        <w:rPr>
          <w:color w:val="231F20"/>
          <w:sz w:val="14"/>
        </w:rPr>
        <w:t>year)</w:t>
      </w:r>
      <w:r>
        <w:rPr>
          <w:color w:val="231F20"/>
          <w:spacing w:val="-12"/>
          <w:sz w:val="14"/>
        </w:rPr>
        <w:t> </w:t>
      </w:r>
      <w:r>
        <w:rPr>
          <w:color w:val="231F20"/>
          <w:sz w:val="14"/>
        </w:rPr>
        <w:t>and </w:t>
      </w:r>
      <w:r>
        <w:rPr>
          <w:i/>
          <w:color w:val="231F20"/>
          <w:sz w:val="14"/>
        </w:rPr>
        <w:t>LNPRC </w:t>
      </w:r>
      <w:r>
        <w:rPr>
          <w:color w:val="231F20"/>
          <w:sz w:val="14"/>
        </w:rPr>
        <w:t>(which is log of year-beginning stock price). All other variables are calculated as defined in the appendix.</w:t>
      </w:r>
      <w:r>
        <w:rPr>
          <w:color w:val="231F20"/>
          <w:spacing w:val="-8"/>
          <w:sz w:val="14"/>
        </w:rPr>
        <w:t> </w:t>
      </w:r>
      <w:r>
        <w:rPr>
          <w:color w:val="231F20"/>
          <w:sz w:val="14"/>
        </w:rPr>
        <w:t>All</w:t>
      </w:r>
      <w:r>
        <w:rPr>
          <w:color w:val="231F20"/>
          <w:spacing w:val="-9"/>
          <w:sz w:val="14"/>
        </w:rPr>
        <w:t> </w:t>
      </w:r>
      <w:r>
        <w:rPr>
          <w:color w:val="231F20"/>
          <w:sz w:val="14"/>
        </w:rPr>
        <w:t>continuous</w:t>
      </w:r>
      <w:r>
        <w:rPr>
          <w:color w:val="231F20"/>
          <w:spacing w:val="-8"/>
          <w:sz w:val="14"/>
        </w:rPr>
        <w:t> </w:t>
      </w:r>
      <w:r>
        <w:rPr>
          <w:color w:val="231F20"/>
          <w:sz w:val="14"/>
        </w:rPr>
        <w:t>variables</w:t>
      </w:r>
      <w:r>
        <w:rPr>
          <w:color w:val="231F20"/>
          <w:spacing w:val="-9"/>
          <w:sz w:val="14"/>
        </w:rPr>
        <w:t> </w:t>
      </w:r>
      <w:r>
        <w:rPr>
          <w:color w:val="231F20"/>
          <w:sz w:val="14"/>
        </w:rPr>
        <w:t>are</w:t>
      </w:r>
      <w:r>
        <w:rPr>
          <w:color w:val="231F20"/>
          <w:spacing w:val="-9"/>
          <w:sz w:val="14"/>
        </w:rPr>
        <w:t> </w:t>
      </w:r>
      <w:r>
        <w:rPr>
          <w:color w:val="231F20"/>
          <w:sz w:val="14"/>
        </w:rPr>
        <w:t>winsorized</w:t>
      </w:r>
      <w:r>
        <w:rPr>
          <w:color w:val="231F20"/>
          <w:spacing w:val="-8"/>
          <w:sz w:val="14"/>
        </w:rPr>
        <w:t> </w:t>
      </w:r>
      <w:r>
        <w:rPr>
          <w:color w:val="231F20"/>
          <w:sz w:val="14"/>
        </w:rPr>
        <w:t>at</w:t>
      </w:r>
      <w:r>
        <w:rPr>
          <w:color w:val="231F20"/>
          <w:spacing w:val="-9"/>
          <w:sz w:val="14"/>
        </w:rPr>
        <w:t> </w:t>
      </w:r>
      <w:r>
        <w:rPr>
          <w:color w:val="231F20"/>
          <w:sz w:val="14"/>
        </w:rPr>
        <w:t>the</w:t>
      </w:r>
      <w:r>
        <w:rPr>
          <w:color w:val="231F20"/>
          <w:spacing w:val="-9"/>
          <w:sz w:val="14"/>
        </w:rPr>
        <w:t> </w:t>
      </w:r>
      <w:r>
        <w:rPr>
          <w:color w:val="231F20"/>
          <w:sz w:val="14"/>
        </w:rPr>
        <w:t>1st</w:t>
      </w:r>
      <w:r>
        <w:rPr>
          <w:color w:val="231F20"/>
          <w:spacing w:val="-9"/>
          <w:sz w:val="14"/>
        </w:rPr>
        <w:t> </w:t>
      </w:r>
      <w:r>
        <w:rPr>
          <w:color w:val="231F20"/>
          <w:sz w:val="14"/>
        </w:rPr>
        <w:t>and</w:t>
      </w:r>
      <w:r>
        <w:rPr>
          <w:color w:val="231F20"/>
          <w:spacing w:val="-9"/>
          <w:sz w:val="14"/>
        </w:rPr>
        <w:t> </w:t>
      </w:r>
      <w:r>
        <w:rPr>
          <w:color w:val="231F20"/>
          <w:sz w:val="14"/>
        </w:rPr>
        <w:t>99th</w:t>
      </w:r>
      <w:r>
        <w:rPr>
          <w:color w:val="231F20"/>
          <w:spacing w:val="-9"/>
          <w:sz w:val="14"/>
        </w:rPr>
        <w:t> </w:t>
      </w:r>
      <w:r>
        <w:rPr>
          <w:color w:val="231F20"/>
          <w:sz w:val="14"/>
        </w:rPr>
        <w:t>percentiles.</w:t>
      </w:r>
      <w:r>
        <w:rPr>
          <w:color w:val="231F20"/>
          <w:spacing w:val="-8"/>
          <w:sz w:val="14"/>
        </w:rPr>
        <w:t> </w:t>
      </w:r>
      <w:r>
        <w:rPr>
          <w:color w:val="231F20"/>
          <w:sz w:val="14"/>
        </w:rPr>
        <w:t>Reported</w:t>
      </w:r>
      <w:r>
        <w:rPr>
          <w:color w:val="231F20"/>
          <w:spacing w:val="-8"/>
          <w:sz w:val="14"/>
        </w:rPr>
        <w:t> </w:t>
      </w:r>
      <w:r>
        <w:rPr>
          <w:i/>
          <w:color w:val="231F20"/>
          <w:sz w:val="14"/>
        </w:rPr>
        <w:t>t</w:t>
      </w:r>
      <w:r>
        <w:rPr>
          <w:color w:val="231F20"/>
          <w:sz w:val="14"/>
        </w:rPr>
        <w:t>-statistics</w:t>
      </w:r>
      <w:r>
        <w:rPr>
          <w:color w:val="231F20"/>
          <w:spacing w:val="-9"/>
          <w:sz w:val="14"/>
        </w:rPr>
        <w:t> </w:t>
      </w:r>
      <w:r>
        <w:rPr>
          <w:color w:val="231F20"/>
          <w:sz w:val="14"/>
        </w:rPr>
        <w:t>are adjusted for clustering by both firm and </w:t>
      </w:r>
      <w:r>
        <w:rPr>
          <w:color w:val="231F20"/>
          <w:spacing w:val="-3"/>
          <w:sz w:val="14"/>
        </w:rPr>
        <w:t>year.</w:t>
      </w:r>
    </w:p>
    <w:p>
      <w:pPr>
        <w:spacing w:line="165" w:lineRule="exact" w:before="0"/>
        <w:ind w:left="305" w:right="0"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5" w:lineRule="exact"/>
        <w:jc w:val="center"/>
        <w:rPr>
          <w:sz w:val="14"/>
        </w:rPr>
        <w:sectPr>
          <w:pgSz w:w="9720" w:h="14400"/>
          <w:pgMar w:header="1055" w:footer="0" w:top="1300" w:bottom="280" w:left="1280" w:right="1300"/>
        </w:sectPr>
      </w:pPr>
    </w:p>
    <w:p>
      <w:pPr>
        <w:pStyle w:val="BodyText"/>
        <w:spacing w:line="230" w:lineRule="auto" w:before="178"/>
        <w:ind w:left="162" w:right="519"/>
        <w:jc w:val="both"/>
      </w:pPr>
      <w:r>
        <w:rPr/>
        <w:pict>
          <v:shape style="position:absolute;margin-left:227.439575pt;margin-top:69.9683pt;width:7.8pt;height:17.45pt;mso-position-horizontal-relative:page;mso-position-vertical-relative:paragraph;z-index:-6671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81.054321pt;margin-top:58.016167pt;width:79.7pt;height:17.45pt;mso-position-horizontal-relative:page;mso-position-vertical-relative:paragraph;z-index:-66688" type="#_x0000_t202" filled="false" stroked="false">
            <v:textbox inset="0,0,0,0">
              <w:txbxContent>
                <w:p>
                  <w:pPr>
                    <w:pStyle w:val="BodyText"/>
                    <w:tabs>
                      <w:tab w:pos="518" w:val="left" w:leader="none"/>
                      <w:tab w:pos="1149" w:val="left" w:leader="none"/>
                    </w:tabs>
                    <w:spacing w:line="247" w:lineRule="exact"/>
                    <w:rPr>
                      <w:rFonts w:ascii="Lucida Sans Unicode" w:hAnsi="Lucida Sans Unicode"/>
                    </w:rPr>
                  </w:pPr>
                  <w:r>
                    <w:rPr>
                      <w:rFonts w:ascii="Lucida Sans Unicode" w:hAnsi="Lucida Sans Unicode"/>
                    </w:rPr>
                    <w:t>×</w:t>
                    <w:tab/>
                    <w:t>×</w:t>
                    <w:tab/>
                    <w:t>×</w:t>
                  </w:r>
                  <w:r>
                    <w:rPr>
                      <w:rFonts w:ascii="Lucida Sans Unicode" w:hAnsi="Lucida Sans Unicode"/>
                      <w:spacing w:val="61"/>
                    </w:rPr>
                    <w:t> </w:t>
                  </w:r>
                  <w:r>
                    <w:rPr>
                      <w:rFonts w:ascii="Lucida Sans Unicode" w:hAnsi="Lucida Sans Unicode"/>
                    </w:rPr>
                    <w:t>×</w:t>
                  </w:r>
                </w:p>
              </w:txbxContent>
            </v:textbox>
            <w10:wrap type="none"/>
          </v:shape>
        </w:pict>
      </w:r>
      <w:r>
        <w:rPr/>
        <w:pict>
          <v:shape style="position:absolute;margin-left:90.260918pt;margin-top:22.151167pt;width:142.050pt;height:17.45pt;mso-position-horizontal-relative:page;mso-position-vertical-relative:paragraph;z-index:-66664" type="#_x0000_t202" filled="false" stroked="false">
            <v:textbox inset="0,0,0,0">
              <w:txbxContent>
                <w:p>
                  <w:pPr>
                    <w:pStyle w:val="BodyText"/>
                    <w:tabs>
                      <w:tab w:pos="630" w:val="left" w:leader="none"/>
                      <w:tab w:pos="1483" w:val="left" w:leader="none"/>
                      <w:tab w:pos="2684" w:val="left" w:leader="none"/>
                    </w:tabs>
                    <w:spacing w:line="247" w:lineRule="exact"/>
                    <w:rPr>
                      <w:rFonts w:ascii="Lucida Sans Unicode" w:hAnsi="Lucida Sans Unicode"/>
                    </w:rPr>
                  </w:pPr>
                  <w:r>
                    <w:rPr>
                      <w:rFonts w:ascii="Lucida Sans Unicode" w:hAnsi="Lucida Sans Unicode"/>
                    </w:rPr>
                    <w:t>×</w:t>
                    <w:tab/>
                    <w:t>× </w:t>
                  </w:r>
                  <w:r>
                    <w:rPr>
                      <w:rFonts w:ascii="Lucida Sans Unicode" w:hAnsi="Lucida Sans Unicode"/>
                      <w:spacing w:val="1"/>
                    </w:rPr>
                    <w:t> </w:t>
                  </w:r>
                  <w:r>
                    <w:rPr>
                      <w:rFonts w:ascii="Lucida Sans Unicode" w:hAnsi="Lucida Sans Unicode"/>
                    </w:rPr>
                    <w:t>×</w:t>
                    <w:tab/>
                    <w:t>=</w:t>
                    <w:tab/>
                  </w:r>
                  <w:r>
                    <w:rPr>
                      <w:rFonts w:ascii="Lucida Sans Unicode" w:hAnsi="Lucida Sans Unicode"/>
                      <w:w w:val="95"/>
                    </w:rPr>
                    <w:t>=</w:t>
                  </w:r>
                </w:p>
              </w:txbxContent>
            </v:textbox>
            <w10:wrap type="none"/>
          </v:shape>
        </w:pict>
      </w:r>
      <w:r>
        <w:rPr/>
        <w:t>Delaware</w:t>
      </w:r>
      <w:r>
        <w:rPr>
          <w:spacing w:val="-15"/>
        </w:rPr>
        <w:t> </w:t>
      </w:r>
      <w:r>
        <w:rPr/>
        <w:t>firms</w:t>
      </w:r>
      <w:r>
        <w:rPr>
          <w:spacing w:val="-15"/>
        </w:rPr>
        <w:t> </w:t>
      </w:r>
      <w:r>
        <w:rPr/>
        <w:t>than</w:t>
      </w:r>
      <w:r>
        <w:rPr>
          <w:spacing w:val="-15"/>
        </w:rPr>
        <w:t> </w:t>
      </w:r>
      <w:r>
        <w:rPr/>
        <w:t>for</w:t>
      </w:r>
      <w:r>
        <w:rPr>
          <w:spacing w:val="-15"/>
        </w:rPr>
        <w:t> </w:t>
      </w:r>
      <w:r>
        <w:rPr/>
        <w:t>near</w:t>
      </w:r>
      <w:r>
        <w:rPr>
          <w:spacing w:val="-15"/>
        </w:rPr>
        <w:t> </w:t>
      </w:r>
      <w:r>
        <w:rPr/>
        <w:t>insolvent</w:t>
      </w:r>
      <w:r>
        <w:rPr>
          <w:spacing w:val="-15"/>
        </w:rPr>
        <w:t> </w:t>
      </w:r>
      <w:r>
        <w:rPr/>
        <w:t>non-Delaware</w:t>
      </w:r>
      <w:r>
        <w:rPr>
          <w:spacing w:val="-15"/>
        </w:rPr>
        <w:t> </w:t>
      </w:r>
      <w:r>
        <w:rPr/>
        <w:t>firms</w:t>
      </w:r>
      <w:r>
        <w:rPr>
          <w:spacing w:val="-15"/>
        </w:rPr>
        <w:t> </w:t>
      </w:r>
      <w:r>
        <w:rPr/>
        <w:t>(coefficient</w:t>
      </w:r>
      <w:r>
        <w:rPr>
          <w:spacing w:val="-15"/>
        </w:rPr>
        <w:t> </w:t>
      </w:r>
      <w:r>
        <w:rPr/>
        <w:t>on </w:t>
      </w:r>
      <w:r>
        <w:rPr>
          <w:i/>
        </w:rPr>
        <w:t>DEL POST D RET </w:t>
      </w:r>
      <w:r>
        <w:rPr/>
        <w:t>0.214, </w:t>
      </w:r>
      <w:r>
        <w:rPr>
          <w:i/>
        </w:rPr>
        <w:t>t</w:t>
      </w:r>
      <w:r>
        <w:rPr/>
        <w:t>-stat 2.92). Finally, we allow both Delaware incorporation</w:t>
      </w:r>
      <w:r>
        <w:rPr>
          <w:spacing w:val="-19"/>
        </w:rPr>
        <w:t> </w:t>
      </w:r>
      <w:r>
        <w:rPr/>
        <w:t>and</w:t>
      </w:r>
      <w:r>
        <w:rPr>
          <w:spacing w:val="-19"/>
        </w:rPr>
        <w:t> </w:t>
      </w:r>
      <w:r>
        <w:rPr/>
        <w:t>near</w:t>
      </w:r>
      <w:r>
        <w:rPr>
          <w:spacing w:val="-19"/>
        </w:rPr>
        <w:t> </w:t>
      </w:r>
      <w:r>
        <w:rPr/>
        <w:t>insolvency</w:t>
      </w:r>
      <w:r>
        <w:rPr>
          <w:spacing w:val="-19"/>
        </w:rPr>
        <w:t> </w:t>
      </w:r>
      <w:r>
        <w:rPr/>
        <w:t>status</w:t>
      </w:r>
      <w:r>
        <w:rPr>
          <w:spacing w:val="-19"/>
        </w:rPr>
        <w:t> </w:t>
      </w:r>
      <w:r>
        <w:rPr/>
        <w:t>of</w:t>
      </w:r>
      <w:r>
        <w:rPr>
          <w:spacing w:val="-19"/>
        </w:rPr>
        <w:t> </w:t>
      </w:r>
      <w:r>
        <w:rPr/>
        <w:t>a</w:t>
      </w:r>
      <w:r>
        <w:rPr>
          <w:spacing w:val="-19"/>
        </w:rPr>
        <w:t> </w:t>
      </w:r>
      <w:r>
        <w:rPr/>
        <w:t>firm</w:t>
      </w:r>
      <w:r>
        <w:rPr>
          <w:spacing w:val="-19"/>
        </w:rPr>
        <w:t> </w:t>
      </w:r>
      <w:r>
        <w:rPr/>
        <w:t>to</w:t>
      </w:r>
      <w:r>
        <w:rPr>
          <w:spacing w:val="-19"/>
        </w:rPr>
        <w:t> </w:t>
      </w:r>
      <w:r>
        <w:rPr/>
        <w:t>vary</w:t>
      </w:r>
      <w:r>
        <w:rPr>
          <w:spacing w:val="-19"/>
        </w:rPr>
        <w:t> </w:t>
      </w:r>
      <w:r>
        <w:rPr/>
        <w:t>in</w:t>
      </w:r>
      <w:r>
        <w:rPr>
          <w:spacing w:val="-19"/>
        </w:rPr>
        <w:t> </w:t>
      </w:r>
      <w:r>
        <w:rPr/>
        <w:t>the</w:t>
      </w:r>
      <w:r>
        <w:rPr>
          <w:spacing w:val="-19"/>
        </w:rPr>
        <w:t> </w:t>
      </w:r>
      <w:r>
        <w:rPr/>
        <w:t>full</w:t>
      </w:r>
      <w:r>
        <w:rPr>
          <w:spacing w:val="-19"/>
        </w:rPr>
        <w:t> </w:t>
      </w:r>
      <w:r>
        <w:rPr/>
        <w:t>sample and present a complete version of model (3) in column (iii). </w:t>
      </w:r>
      <w:r>
        <w:rPr>
          <w:rFonts w:ascii="Verdana" w:hAnsi="Verdana"/>
          <w:i/>
          <w:spacing w:val="3"/>
        </w:rPr>
        <w:t>β</w:t>
      </w:r>
      <w:r>
        <w:rPr>
          <w:color w:val="231F20"/>
          <w:spacing w:val="3"/>
          <w:vertAlign w:val="subscript"/>
        </w:rPr>
        <w:t>31</w:t>
      </w:r>
      <w:r>
        <w:rPr>
          <w:spacing w:val="3"/>
          <w:vertAlign w:val="baseline"/>
        </w:rPr>
        <w:t>, </w:t>
      </w:r>
      <w:r>
        <w:rPr>
          <w:vertAlign w:val="baseline"/>
        </w:rPr>
        <w:t>the coef- ficient on our main variable of interest (</w:t>
      </w:r>
      <w:r>
        <w:rPr>
          <w:i/>
          <w:vertAlign w:val="baseline"/>
        </w:rPr>
        <w:t>HEDF93 DEL POST D RET</w:t>
      </w:r>
      <w:r>
        <w:rPr>
          <w:vertAlign w:val="baseline"/>
        </w:rPr>
        <w:t>), is positive</w:t>
      </w:r>
      <w:r>
        <w:rPr>
          <w:spacing w:val="-19"/>
          <w:vertAlign w:val="baseline"/>
        </w:rPr>
        <w:t> </w:t>
      </w:r>
      <w:r>
        <w:rPr>
          <w:vertAlign w:val="baseline"/>
        </w:rPr>
        <w:t>and</w:t>
      </w:r>
      <w:r>
        <w:rPr>
          <w:spacing w:val="-19"/>
          <w:vertAlign w:val="baseline"/>
        </w:rPr>
        <w:t> </w:t>
      </w:r>
      <w:r>
        <w:rPr>
          <w:vertAlign w:val="baseline"/>
        </w:rPr>
        <w:t>significant</w:t>
      </w:r>
      <w:r>
        <w:rPr>
          <w:spacing w:val="-19"/>
          <w:vertAlign w:val="baseline"/>
        </w:rPr>
        <w:t> </w:t>
      </w:r>
      <w:r>
        <w:rPr>
          <w:vertAlign w:val="baseline"/>
        </w:rPr>
        <w:t>(0.172,</w:t>
      </w:r>
      <w:r>
        <w:rPr>
          <w:spacing w:val="-19"/>
          <w:vertAlign w:val="baseline"/>
        </w:rPr>
        <w:t> </w:t>
      </w:r>
      <w:r>
        <w:rPr>
          <w:i/>
          <w:vertAlign w:val="baseline"/>
        </w:rPr>
        <w:t>t</w:t>
      </w:r>
      <w:r>
        <w:rPr>
          <w:vertAlign w:val="baseline"/>
        </w:rPr>
        <w:t>-stat</w:t>
      </w:r>
      <w:r>
        <w:rPr>
          <w:spacing w:val="27"/>
          <w:vertAlign w:val="baseline"/>
        </w:rPr>
        <w:t> </w:t>
      </w:r>
      <w:r>
        <w:rPr>
          <w:vertAlign w:val="baseline"/>
        </w:rPr>
        <w:t>2.22),</w:t>
      </w:r>
      <w:r>
        <w:rPr>
          <w:spacing w:val="-19"/>
          <w:vertAlign w:val="baseline"/>
        </w:rPr>
        <w:t> </w:t>
      </w:r>
      <w:r>
        <w:rPr>
          <w:vertAlign w:val="baseline"/>
        </w:rPr>
        <w:t>suggesting</w:t>
      </w:r>
      <w:r>
        <w:rPr>
          <w:spacing w:val="-19"/>
          <w:vertAlign w:val="baseline"/>
        </w:rPr>
        <w:t> </w:t>
      </w:r>
      <w:r>
        <w:rPr>
          <w:vertAlign w:val="baseline"/>
        </w:rPr>
        <w:t>that</w:t>
      </w:r>
      <w:r>
        <w:rPr>
          <w:spacing w:val="-19"/>
          <w:vertAlign w:val="baseline"/>
        </w:rPr>
        <w:t> </w:t>
      </w:r>
      <w:r>
        <w:rPr>
          <w:vertAlign w:val="baseline"/>
        </w:rPr>
        <w:t>the</w:t>
      </w:r>
      <w:r>
        <w:rPr>
          <w:spacing w:val="-19"/>
          <w:vertAlign w:val="baseline"/>
        </w:rPr>
        <w:t> </w:t>
      </w:r>
      <w:r>
        <w:rPr>
          <w:vertAlign w:val="baseline"/>
        </w:rPr>
        <w:t>post-ruling increase</w:t>
      </w:r>
      <w:r>
        <w:rPr>
          <w:spacing w:val="-16"/>
          <w:vertAlign w:val="baseline"/>
        </w:rPr>
        <w:t> </w:t>
      </w:r>
      <w:r>
        <w:rPr>
          <w:vertAlign w:val="baseline"/>
        </w:rPr>
        <w:t>in</w:t>
      </w:r>
      <w:r>
        <w:rPr>
          <w:spacing w:val="-16"/>
          <w:vertAlign w:val="baseline"/>
        </w:rPr>
        <w:t> </w:t>
      </w:r>
      <w:r>
        <w:rPr>
          <w:vertAlign w:val="baseline"/>
        </w:rPr>
        <w:t>asymmetric</w:t>
      </w:r>
      <w:r>
        <w:rPr>
          <w:spacing w:val="-16"/>
          <w:vertAlign w:val="baseline"/>
        </w:rPr>
        <w:t> </w:t>
      </w:r>
      <w:r>
        <w:rPr>
          <w:vertAlign w:val="baseline"/>
        </w:rPr>
        <w:t>timeliness</w:t>
      </w:r>
      <w:r>
        <w:rPr>
          <w:spacing w:val="-16"/>
          <w:vertAlign w:val="baseline"/>
        </w:rPr>
        <w:t> </w:t>
      </w:r>
      <w:r>
        <w:rPr>
          <w:vertAlign w:val="baseline"/>
        </w:rPr>
        <w:t>of</w:t>
      </w:r>
      <w:r>
        <w:rPr>
          <w:spacing w:val="-16"/>
          <w:vertAlign w:val="baseline"/>
        </w:rPr>
        <w:t> </w:t>
      </w:r>
      <w:r>
        <w:rPr>
          <w:vertAlign w:val="baseline"/>
        </w:rPr>
        <w:t>earnings</w:t>
      </w:r>
      <w:r>
        <w:rPr>
          <w:spacing w:val="-16"/>
          <w:vertAlign w:val="baseline"/>
        </w:rPr>
        <w:t> </w:t>
      </w:r>
      <w:r>
        <w:rPr>
          <w:vertAlign w:val="baseline"/>
        </w:rPr>
        <w:t>is</w:t>
      </w:r>
      <w:r>
        <w:rPr>
          <w:spacing w:val="-16"/>
          <w:vertAlign w:val="baseline"/>
        </w:rPr>
        <w:t> </w:t>
      </w:r>
      <w:r>
        <w:rPr>
          <w:vertAlign w:val="baseline"/>
        </w:rPr>
        <w:t>stronger</w:t>
      </w:r>
      <w:r>
        <w:rPr>
          <w:spacing w:val="-16"/>
          <w:vertAlign w:val="baseline"/>
        </w:rPr>
        <w:t> </w:t>
      </w:r>
      <w:r>
        <w:rPr>
          <w:vertAlign w:val="baseline"/>
        </w:rPr>
        <w:t>for</w:t>
      </w:r>
      <w:r>
        <w:rPr>
          <w:spacing w:val="-16"/>
          <w:vertAlign w:val="baseline"/>
        </w:rPr>
        <w:t> </w:t>
      </w:r>
      <w:r>
        <w:rPr>
          <w:vertAlign w:val="baseline"/>
        </w:rPr>
        <w:t>near</w:t>
      </w:r>
      <w:r>
        <w:rPr>
          <w:spacing w:val="-16"/>
          <w:vertAlign w:val="baseline"/>
        </w:rPr>
        <w:t> </w:t>
      </w:r>
      <w:r>
        <w:rPr>
          <w:vertAlign w:val="baseline"/>
        </w:rPr>
        <w:t>insolvent Delaware</w:t>
      </w:r>
      <w:r>
        <w:rPr>
          <w:spacing w:val="-14"/>
          <w:vertAlign w:val="baseline"/>
        </w:rPr>
        <w:t> </w:t>
      </w:r>
      <w:r>
        <w:rPr>
          <w:vertAlign w:val="baseline"/>
        </w:rPr>
        <w:t>firms.</w:t>
      </w:r>
      <w:r>
        <w:rPr>
          <w:spacing w:val="-15"/>
          <w:vertAlign w:val="baseline"/>
        </w:rPr>
        <w:t> </w:t>
      </w:r>
      <w:r>
        <w:rPr>
          <w:vertAlign w:val="baseline"/>
        </w:rPr>
        <w:t>Our</w:t>
      </w:r>
      <w:r>
        <w:rPr>
          <w:spacing w:val="-15"/>
          <w:vertAlign w:val="baseline"/>
        </w:rPr>
        <w:t> </w:t>
      </w:r>
      <w:r>
        <w:rPr>
          <w:vertAlign w:val="baseline"/>
        </w:rPr>
        <w:t>results</w:t>
      </w:r>
      <w:r>
        <w:rPr>
          <w:spacing w:val="-15"/>
          <w:vertAlign w:val="baseline"/>
        </w:rPr>
        <w:t> </w:t>
      </w:r>
      <w:r>
        <w:rPr>
          <w:vertAlign w:val="baseline"/>
        </w:rPr>
        <w:t>similarly</w:t>
      </w:r>
      <w:r>
        <w:rPr>
          <w:spacing w:val="-15"/>
          <w:vertAlign w:val="baseline"/>
        </w:rPr>
        <w:t> </w:t>
      </w:r>
      <w:r>
        <w:rPr>
          <w:vertAlign w:val="baseline"/>
        </w:rPr>
        <w:t>hold</w:t>
      </w:r>
      <w:r>
        <w:rPr>
          <w:spacing w:val="-15"/>
          <w:vertAlign w:val="baseline"/>
        </w:rPr>
        <w:t> </w:t>
      </w:r>
      <w:r>
        <w:rPr>
          <w:vertAlign w:val="baseline"/>
        </w:rPr>
        <w:t>when</w:t>
      </w:r>
      <w:r>
        <w:rPr>
          <w:spacing w:val="-15"/>
          <w:vertAlign w:val="baseline"/>
        </w:rPr>
        <w:t> </w:t>
      </w:r>
      <w:r>
        <w:rPr>
          <w:vertAlign w:val="baseline"/>
        </w:rPr>
        <w:t>we</w:t>
      </w:r>
      <w:r>
        <w:rPr>
          <w:spacing w:val="-15"/>
          <w:vertAlign w:val="baseline"/>
        </w:rPr>
        <w:t> </w:t>
      </w:r>
      <w:r>
        <w:rPr>
          <w:vertAlign w:val="baseline"/>
        </w:rPr>
        <w:t>omit</w:t>
      </w:r>
      <w:r>
        <w:rPr>
          <w:spacing w:val="-15"/>
          <w:vertAlign w:val="baseline"/>
        </w:rPr>
        <w:t> </w:t>
      </w:r>
      <w:r>
        <w:rPr>
          <w:vertAlign w:val="baseline"/>
        </w:rPr>
        <w:t>control</w:t>
      </w:r>
      <w:r>
        <w:rPr>
          <w:spacing w:val="-15"/>
          <w:vertAlign w:val="baseline"/>
        </w:rPr>
        <w:t> </w:t>
      </w:r>
      <w:r>
        <w:rPr>
          <w:vertAlign w:val="baseline"/>
        </w:rPr>
        <w:t>variables and their interaction terms from model (3). These results are shown in online appendix table</w:t>
      </w:r>
      <w:r>
        <w:rPr>
          <w:spacing w:val="0"/>
          <w:vertAlign w:val="baseline"/>
        </w:rPr>
        <w:t> </w:t>
      </w:r>
      <w:r>
        <w:rPr>
          <w:vertAlign w:val="baseline"/>
        </w:rPr>
        <w:t>A8.</w:t>
      </w:r>
    </w:p>
    <w:p>
      <w:pPr>
        <w:pStyle w:val="ListParagraph"/>
        <w:numPr>
          <w:ilvl w:val="2"/>
          <w:numId w:val="4"/>
        </w:numPr>
        <w:tabs>
          <w:tab w:pos="940" w:val="left" w:leader="none"/>
        </w:tabs>
        <w:spacing w:line="230" w:lineRule="auto" w:before="158" w:after="0"/>
        <w:ind w:left="162" w:right="519" w:firstLine="199"/>
        <w:jc w:val="both"/>
        <w:rPr>
          <w:sz w:val="20"/>
        </w:rPr>
      </w:pPr>
      <w:r>
        <w:rPr/>
        <w:pict>
          <v:shape style="position:absolute;margin-left:198.673569pt;margin-top:68.959709pt;width:147.15pt;height:17.45pt;mso-position-horizontal-relative:page;mso-position-vertical-relative:paragraph;z-index:-66640" type="#_x0000_t202" filled="false" stroked="false">
            <v:textbox inset="0,0,0,0">
              <w:txbxContent>
                <w:p>
                  <w:pPr>
                    <w:pStyle w:val="BodyText"/>
                    <w:tabs>
                      <w:tab w:pos="630" w:val="left" w:leader="none"/>
                      <w:tab w:pos="1137" w:val="left" w:leader="none"/>
                      <w:tab w:pos="1563" w:val="left" w:leader="none"/>
                      <w:tab w:pos="2787" w:val="left" w:leader="none"/>
                    </w:tabs>
                    <w:spacing w:line="247" w:lineRule="exact"/>
                    <w:rPr>
                      <w:rFonts w:ascii="Lucida Sans Unicode" w:hAnsi="Lucida Sans Unicode"/>
                    </w:rPr>
                  </w:pPr>
                  <w:r>
                    <w:rPr>
                      <w:rFonts w:ascii="Lucida Sans Unicode" w:hAnsi="Lucida Sans Unicode"/>
                    </w:rPr>
                    <w:t>×</w:t>
                    <w:tab/>
                    <w:t>×</w:t>
                    <w:tab/>
                    <w:t>×</w:t>
                    <w:tab/>
                    <w:t>=</w:t>
                    <w:tab/>
                  </w:r>
                  <w:r>
                    <w:rPr>
                      <w:rFonts w:ascii="Lucida Sans Unicode" w:hAnsi="Lucida Sans Unicode"/>
                      <w:w w:val="95"/>
                    </w:rPr>
                    <w:t>=</w:t>
                  </w:r>
                </w:p>
              </w:txbxContent>
            </v:textbox>
            <w10:wrap type="none"/>
          </v:shape>
        </w:pict>
      </w:r>
      <w:r>
        <w:rPr/>
        <w:pict>
          <v:shape style="position:absolute;margin-left:183.508499pt;margin-top:104.825066pt;width:149.550pt;height:17.45pt;mso-position-horizontal-relative:page;mso-position-vertical-relative:paragraph;z-index:-66616" type="#_x0000_t202" filled="false" stroked="false">
            <v:textbox inset="0,0,0,0">
              <w:txbxContent>
                <w:p>
                  <w:pPr>
                    <w:pStyle w:val="BodyText"/>
                    <w:tabs>
                      <w:tab w:pos="630" w:val="left" w:leader="none"/>
                      <w:tab w:pos="1137" w:val="left" w:leader="none"/>
                      <w:tab w:pos="1575" w:val="left" w:leader="none"/>
                      <w:tab w:pos="2834" w:val="left" w:leader="none"/>
                    </w:tabs>
                    <w:spacing w:line="247" w:lineRule="exact"/>
                    <w:rPr>
                      <w:rFonts w:ascii="Lucida Sans Unicode" w:hAnsi="Lucida Sans Unicode"/>
                    </w:rPr>
                  </w:pPr>
                  <w:r>
                    <w:rPr>
                      <w:rFonts w:ascii="Lucida Sans Unicode" w:hAnsi="Lucida Sans Unicode"/>
                    </w:rPr>
                    <w:t>×</w:t>
                    <w:tab/>
                    <w:t>×</w:t>
                    <w:tab/>
                    <w:t>×</w:t>
                    <w:tab/>
                    <w:t>=</w:t>
                    <w:tab/>
                  </w:r>
                  <w:r>
                    <w:rPr>
                      <w:rFonts w:ascii="Lucida Sans Unicode" w:hAnsi="Lucida Sans Unicode"/>
                      <w:w w:val="95"/>
                    </w:rPr>
                    <w:t>=</w:t>
                  </w:r>
                </w:p>
              </w:txbxContent>
            </v:textbox>
            <w10:wrap type="none"/>
          </v:shape>
        </w:pict>
      </w:r>
      <w:r>
        <w:rPr/>
        <w:pict>
          <v:shape style="position:absolute;margin-left:121.388702pt;margin-top:152.651535pt;width:173.5pt;height:17.45pt;mso-position-horizontal-relative:page;mso-position-vertical-relative:paragraph;z-index:-66592" type="#_x0000_t202" filled="false" stroked="false">
            <v:textbox inset="0,0,0,0">
              <w:txbxContent>
                <w:p>
                  <w:pPr>
                    <w:pStyle w:val="BodyText"/>
                    <w:tabs>
                      <w:tab w:pos="518" w:val="left" w:leader="none"/>
                      <w:tab w:pos="1149" w:val="left" w:leader="none"/>
                      <w:tab w:pos="1656" w:val="left" w:leader="none"/>
                      <w:tab w:pos="2084" w:val="left" w:leader="none"/>
                      <w:tab w:pos="3314" w:val="left" w:leader="none"/>
                    </w:tabs>
                    <w:spacing w:line="247" w:lineRule="exact"/>
                    <w:rPr>
                      <w:rFonts w:ascii="Lucida Sans Unicode" w:hAnsi="Lucida Sans Unicode"/>
                    </w:rPr>
                  </w:pPr>
                  <w:r>
                    <w:rPr>
                      <w:rFonts w:ascii="Lucida Sans Unicode" w:hAnsi="Lucida Sans Unicode"/>
                    </w:rPr>
                    <w:t>×</w:t>
                    <w:tab/>
                    <w:t>×</w:t>
                    <w:tab/>
                    <w:t>×</w:t>
                    <w:tab/>
                    <w:t>×</w:t>
                    <w:tab/>
                    <w:t>=</w:t>
                    <w:tab/>
                  </w:r>
                  <w:r>
                    <w:rPr>
                      <w:rFonts w:ascii="Lucida Sans Unicode" w:hAnsi="Lucida Sans Unicode"/>
                      <w:w w:val="95"/>
                    </w:rPr>
                    <w:t>=</w:t>
                  </w:r>
                </w:p>
              </w:txbxContent>
            </v:textbox>
            <w10:wrap type="none"/>
          </v:shape>
        </w:pict>
      </w:r>
      <w:r>
        <w:rPr>
          <w:i/>
          <w:sz w:val="20"/>
        </w:rPr>
        <w:t>Asymmetric</w:t>
      </w:r>
      <w:r>
        <w:rPr>
          <w:i/>
          <w:spacing w:val="-8"/>
          <w:sz w:val="20"/>
        </w:rPr>
        <w:t> </w:t>
      </w:r>
      <w:r>
        <w:rPr>
          <w:i/>
          <w:sz w:val="20"/>
        </w:rPr>
        <w:t>Timeliness</w:t>
      </w:r>
      <w:r>
        <w:rPr>
          <w:i/>
          <w:spacing w:val="-8"/>
          <w:sz w:val="20"/>
        </w:rPr>
        <w:t> </w:t>
      </w:r>
      <w:r>
        <w:rPr>
          <w:i/>
          <w:sz w:val="20"/>
        </w:rPr>
        <w:t>of</w:t>
      </w:r>
      <w:r>
        <w:rPr>
          <w:i/>
          <w:spacing w:val="-8"/>
          <w:sz w:val="20"/>
        </w:rPr>
        <w:t> </w:t>
      </w:r>
      <w:r>
        <w:rPr>
          <w:i/>
          <w:sz w:val="20"/>
        </w:rPr>
        <w:t>Accruals.</w:t>
      </w:r>
      <w:r>
        <w:rPr>
          <w:i/>
          <w:spacing w:val="11"/>
          <w:sz w:val="20"/>
        </w:rPr>
        <w:t> </w:t>
      </w:r>
      <w:r>
        <w:rPr>
          <w:spacing w:val="-6"/>
          <w:sz w:val="20"/>
        </w:rPr>
        <w:t>We</w:t>
      </w:r>
      <w:r>
        <w:rPr>
          <w:spacing w:val="-8"/>
          <w:sz w:val="20"/>
        </w:rPr>
        <w:t> </w:t>
      </w:r>
      <w:r>
        <w:rPr>
          <w:sz w:val="20"/>
        </w:rPr>
        <w:t>present</w:t>
      </w:r>
      <w:r>
        <w:rPr>
          <w:spacing w:val="-8"/>
          <w:sz w:val="20"/>
        </w:rPr>
        <w:t> </w:t>
      </w:r>
      <w:r>
        <w:rPr>
          <w:sz w:val="20"/>
        </w:rPr>
        <w:t>results</w:t>
      </w:r>
      <w:r>
        <w:rPr>
          <w:spacing w:val="-8"/>
          <w:sz w:val="20"/>
        </w:rPr>
        <w:t> </w:t>
      </w:r>
      <w:r>
        <w:rPr>
          <w:sz w:val="20"/>
        </w:rPr>
        <w:t>of</w:t>
      </w:r>
      <w:r>
        <w:rPr>
          <w:spacing w:val="-8"/>
          <w:sz w:val="20"/>
        </w:rPr>
        <w:t> </w:t>
      </w:r>
      <w:r>
        <w:rPr>
          <w:sz w:val="20"/>
        </w:rPr>
        <w:t>model</w:t>
      </w:r>
      <w:r>
        <w:rPr>
          <w:spacing w:val="-8"/>
          <w:sz w:val="20"/>
        </w:rPr>
        <w:t> </w:t>
      </w:r>
      <w:r>
        <w:rPr>
          <w:sz w:val="20"/>
        </w:rPr>
        <w:t>(4) in table 7. In column (i), we first constrain our sample to Delaware firms and vary their near insolvency status. Consistent with our expectation, near insolvent Delaware firms exhibit a higher increase in asymmetric timeliness of accruals after the ruling than non-near insolvent Delaware firms (coefficient on </w:t>
      </w:r>
      <w:r>
        <w:rPr>
          <w:i/>
          <w:sz w:val="20"/>
        </w:rPr>
        <w:t>HEDF93 POST DCF CF </w:t>
      </w:r>
      <w:r>
        <w:rPr>
          <w:sz w:val="20"/>
        </w:rPr>
        <w:t>0.448, </w:t>
      </w:r>
      <w:r>
        <w:rPr>
          <w:i/>
          <w:sz w:val="20"/>
        </w:rPr>
        <w:t>t</w:t>
      </w:r>
      <w:r>
        <w:rPr>
          <w:sz w:val="20"/>
        </w:rPr>
        <w:t>-stat  3.47). Sim-  </w:t>
      </w:r>
      <w:r>
        <w:rPr>
          <w:spacing w:val="-3"/>
          <w:sz w:val="20"/>
        </w:rPr>
        <w:t>ilarly, </w:t>
      </w:r>
      <w:r>
        <w:rPr>
          <w:sz w:val="20"/>
        </w:rPr>
        <w:t>in column (ii), near insolvent Delaware firms increase asymmetric timeliness</w:t>
      </w:r>
      <w:r>
        <w:rPr>
          <w:spacing w:val="-23"/>
          <w:sz w:val="20"/>
        </w:rPr>
        <w:t> </w:t>
      </w:r>
      <w:r>
        <w:rPr>
          <w:sz w:val="20"/>
        </w:rPr>
        <w:t>of</w:t>
      </w:r>
      <w:r>
        <w:rPr>
          <w:spacing w:val="-23"/>
          <w:sz w:val="20"/>
        </w:rPr>
        <w:t> </w:t>
      </w:r>
      <w:r>
        <w:rPr>
          <w:sz w:val="20"/>
        </w:rPr>
        <w:t>accruals</w:t>
      </w:r>
      <w:r>
        <w:rPr>
          <w:spacing w:val="-23"/>
          <w:sz w:val="20"/>
        </w:rPr>
        <w:t> </w:t>
      </w:r>
      <w:r>
        <w:rPr>
          <w:sz w:val="20"/>
        </w:rPr>
        <w:t>significantly</w:t>
      </w:r>
      <w:r>
        <w:rPr>
          <w:spacing w:val="-23"/>
          <w:sz w:val="20"/>
        </w:rPr>
        <w:t> </w:t>
      </w:r>
      <w:r>
        <w:rPr>
          <w:sz w:val="20"/>
        </w:rPr>
        <w:t>more</w:t>
      </w:r>
      <w:r>
        <w:rPr>
          <w:spacing w:val="-23"/>
          <w:sz w:val="20"/>
        </w:rPr>
        <w:t> </w:t>
      </w:r>
      <w:r>
        <w:rPr>
          <w:sz w:val="20"/>
        </w:rPr>
        <w:t>than</w:t>
      </w:r>
      <w:r>
        <w:rPr>
          <w:spacing w:val="-23"/>
          <w:sz w:val="20"/>
        </w:rPr>
        <w:t> </w:t>
      </w:r>
      <w:r>
        <w:rPr>
          <w:sz w:val="20"/>
        </w:rPr>
        <w:t>near</w:t>
      </w:r>
      <w:r>
        <w:rPr>
          <w:spacing w:val="-23"/>
          <w:sz w:val="20"/>
        </w:rPr>
        <w:t> </w:t>
      </w:r>
      <w:r>
        <w:rPr>
          <w:sz w:val="20"/>
        </w:rPr>
        <w:t>insolvent</w:t>
      </w:r>
      <w:r>
        <w:rPr>
          <w:spacing w:val="-23"/>
          <w:sz w:val="20"/>
        </w:rPr>
        <w:t> </w:t>
      </w:r>
      <w:r>
        <w:rPr>
          <w:sz w:val="20"/>
        </w:rPr>
        <w:t>non-Delaware firms (coefficient on </w:t>
      </w:r>
      <w:r>
        <w:rPr>
          <w:i/>
          <w:sz w:val="20"/>
        </w:rPr>
        <w:t>DEL POST DCF  CF  </w:t>
      </w:r>
      <w:r>
        <w:rPr>
          <w:sz w:val="20"/>
        </w:rPr>
        <w:t>0.343, </w:t>
      </w:r>
      <w:r>
        <w:rPr>
          <w:i/>
          <w:sz w:val="20"/>
        </w:rPr>
        <w:t>t</w:t>
      </w:r>
      <w:r>
        <w:rPr>
          <w:sz w:val="20"/>
        </w:rPr>
        <w:t>-stat  2.17). Finally,  when allowing both Delaware incorporation and near insolvency status to vary (see column (iii)), we find that near insolvent Delaware firms exhibit significantly more asymmetric timeliness of accruals (coefficient on </w:t>
      </w:r>
      <w:r>
        <w:rPr>
          <w:i/>
          <w:sz w:val="20"/>
        </w:rPr>
        <w:t>HEDF93 DEL POST DCF CF  </w:t>
      </w:r>
      <w:r>
        <w:rPr>
          <w:sz w:val="20"/>
        </w:rPr>
        <w:t>0.444, </w:t>
      </w:r>
      <w:r>
        <w:rPr>
          <w:i/>
          <w:sz w:val="20"/>
        </w:rPr>
        <w:t>t</w:t>
      </w:r>
      <w:r>
        <w:rPr>
          <w:sz w:val="20"/>
        </w:rPr>
        <w:t>-stat  2.31). Our results con-  tinue to hold when we omit control variables and their interaction terms from model (4) (see online appendix table</w:t>
      </w:r>
      <w:r>
        <w:rPr>
          <w:spacing w:val="11"/>
          <w:sz w:val="20"/>
        </w:rPr>
        <w:t> </w:t>
      </w:r>
      <w:r>
        <w:rPr>
          <w:sz w:val="20"/>
        </w:rPr>
        <w:t>A9).</w:t>
      </w:r>
    </w:p>
    <w:p>
      <w:pPr>
        <w:pStyle w:val="BodyText"/>
        <w:spacing w:line="230" w:lineRule="auto" w:before="7"/>
        <w:ind w:left="162" w:right="519" w:firstLine="199"/>
        <w:jc w:val="both"/>
      </w:pPr>
      <w:r>
        <w:rPr/>
        <w:t>Overall,</w:t>
      </w:r>
      <w:r>
        <w:rPr>
          <w:spacing w:val="-19"/>
        </w:rPr>
        <w:t> </w:t>
      </w:r>
      <w:r>
        <w:rPr/>
        <w:t>results</w:t>
      </w:r>
      <w:r>
        <w:rPr>
          <w:spacing w:val="-19"/>
        </w:rPr>
        <w:t> </w:t>
      </w:r>
      <w:r>
        <w:rPr/>
        <w:t>on</w:t>
      </w:r>
      <w:r>
        <w:rPr>
          <w:spacing w:val="-19"/>
        </w:rPr>
        <w:t> </w:t>
      </w:r>
      <w:r>
        <w:rPr/>
        <w:t>asymmetric</w:t>
      </w:r>
      <w:r>
        <w:rPr>
          <w:spacing w:val="-19"/>
        </w:rPr>
        <w:t> </w:t>
      </w:r>
      <w:r>
        <w:rPr/>
        <w:t>timeliness</w:t>
      </w:r>
      <w:r>
        <w:rPr>
          <w:spacing w:val="-19"/>
        </w:rPr>
        <w:t> </w:t>
      </w:r>
      <w:r>
        <w:rPr/>
        <w:t>of</w:t>
      </w:r>
      <w:r>
        <w:rPr>
          <w:spacing w:val="-19"/>
        </w:rPr>
        <w:t> </w:t>
      </w:r>
      <w:r>
        <w:rPr/>
        <w:t>earnings</w:t>
      </w:r>
      <w:r>
        <w:rPr>
          <w:spacing w:val="-19"/>
        </w:rPr>
        <w:t> </w:t>
      </w:r>
      <w:r>
        <w:rPr/>
        <w:t>(table</w:t>
      </w:r>
      <w:r>
        <w:rPr>
          <w:spacing w:val="-19"/>
        </w:rPr>
        <w:t> </w:t>
      </w:r>
      <w:r>
        <w:rPr/>
        <w:t>6)</w:t>
      </w:r>
      <w:r>
        <w:rPr>
          <w:spacing w:val="-19"/>
        </w:rPr>
        <w:t> </w:t>
      </w:r>
      <w:r>
        <w:rPr/>
        <w:t>and</w:t>
      </w:r>
      <w:r>
        <w:rPr>
          <w:spacing w:val="-19"/>
        </w:rPr>
        <w:t> </w:t>
      </w:r>
      <w:r>
        <w:rPr/>
        <w:t>asym- metric</w:t>
      </w:r>
      <w:r>
        <w:rPr>
          <w:spacing w:val="-18"/>
        </w:rPr>
        <w:t> </w:t>
      </w:r>
      <w:r>
        <w:rPr/>
        <w:t>timeliness</w:t>
      </w:r>
      <w:r>
        <w:rPr>
          <w:spacing w:val="-18"/>
        </w:rPr>
        <w:t> </w:t>
      </w:r>
      <w:r>
        <w:rPr/>
        <w:t>of</w:t>
      </w:r>
      <w:r>
        <w:rPr>
          <w:spacing w:val="-18"/>
        </w:rPr>
        <w:t> </w:t>
      </w:r>
      <w:r>
        <w:rPr/>
        <w:t>accruals</w:t>
      </w:r>
      <w:r>
        <w:rPr>
          <w:spacing w:val="-18"/>
        </w:rPr>
        <w:t> </w:t>
      </w:r>
      <w:r>
        <w:rPr/>
        <w:t>(table</w:t>
      </w:r>
      <w:r>
        <w:rPr>
          <w:spacing w:val="-18"/>
        </w:rPr>
        <w:t> </w:t>
      </w:r>
      <w:r>
        <w:rPr/>
        <w:t>7)</w:t>
      </w:r>
      <w:r>
        <w:rPr>
          <w:spacing w:val="-18"/>
        </w:rPr>
        <w:t> </w:t>
      </w:r>
      <w:r>
        <w:rPr/>
        <w:t>supplement</w:t>
      </w:r>
      <w:r>
        <w:rPr>
          <w:spacing w:val="-18"/>
        </w:rPr>
        <w:t> </w:t>
      </w:r>
      <w:r>
        <w:rPr/>
        <w:t>our</w:t>
      </w:r>
      <w:r>
        <w:rPr>
          <w:spacing w:val="-18"/>
        </w:rPr>
        <w:t> </w:t>
      </w:r>
      <w:r>
        <w:rPr/>
        <w:t>main</w:t>
      </w:r>
      <w:r>
        <w:rPr>
          <w:spacing w:val="-18"/>
        </w:rPr>
        <w:t> </w:t>
      </w:r>
      <w:r>
        <w:rPr/>
        <w:t>results</w:t>
      </w:r>
      <w:r>
        <w:rPr>
          <w:spacing w:val="-18"/>
        </w:rPr>
        <w:t> </w:t>
      </w:r>
      <w:r>
        <w:rPr/>
        <w:t>on</w:t>
      </w:r>
      <w:r>
        <w:rPr>
          <w:spacing w:val="-18"/>
        </w:rPr>
        <w:t> </w:t>
      </w:r>
      <w:r>
        <w:rPr/>
        <w:t>year- specific conservatism ranks in table 4, and provide further support to</w:t>
      </w:r>
      <w:r>
        <w:rPr>
          <w:spacing w:val="-21"/>
        </w:rPr>
        <w:t> </w:t>
      </w:r>
      <w:r>
        <w:rPr/>
        <w:t>our main hypothesis that near insolvent Delaware firms respond to the 1991 court ruling by increasing financial reporting</w:t>
      </w:r>
      <w:r>
        <w:rPr>
          <w:spacing w:val="-24"/>
        </w:rPr>
        <w:t> </w:t>
      </w:r>
      <w:r>
        <w:rPr/>
        <w:t>conservatism.</w:t>
      </w:r>
    </w:p>
    <w:p>
      <w:pPr>
        <w:pStyle w:val="BodyText"/>
        <w:spacing w:before="5"/>
        <w:rPr>
          <w:sz w:val="26"/>
        </w:rPr>
      </w:pPr>
    </w:p>
    <w:p>
      <w:pPr>
        <w:pStyle w:val="Heading1"/>
        <w:numPr>
          <w:ilvl w:val="0"/>
          <w:numId w:val="3"/>
        </w:numPr>
        <w:tabs>
          <w:tab w:pos="474" w:val="left" w:leader="none"/>
        </w:tabs>
        <w:spacing w:line="240" w:lineRule="auto" w:before="0" w:after="0"/>
        <w:ind w:left="473" w:right="0" w:hanging="311"/>
        <w:jc w:val="left"/>
        <w:rPr>
          <w:i/>
        </w:rPr>
      </w:pPr>
      <w:r>
        <w:rPr>
          <w:i/>
        </w:rPr>
        <w:t>Additional Analyses</w:t>
      </w:r>
    </w:p>
    <w:p>
      <w:pPr>
        <w:pStyle w:val="BodyText"/>
        <w:spacing w:line="230" w:lineRule="auto" w:before="147"/>
        <w:ind w:left="162" w:right="519" w:firstLine="199"/>
        <w:jc w:val="both"/>
      </w:pPr>
      <w:r>
        <w:rPr>
          <w:spacing w:val="-6"/>
        </w:rPr>
        <w:t>We</w:t>
      </w:r>
      <w:r>
        <w:rPr>
          <w:spacing w:val="-12"/>
        </w:rPr>
        <w:t> </w:t>
      </w:r>
      <w:r>
        <w:rPr/>
        <w:t>conduct</w:t>
      </w:r>
      <w:r>
        <w:rPr>
          <w:spacing w:val="-12"/>
        </w:rPr>
        <w:t> </w:t>
      </w:r>
      <w:r>
        <w:rPr/>
        <w:t>a</w:t>
      </w:r>
      <w:r>
        <w:rPr>
          <w:spacing w:val="-12"/>
        </w:rPr>
        <w:t> </w:t>
      </w:r>
      <w:r>
        <w:rPr/>
        <w:t>number</w:t>
      </w:r>
      <w:r>
        <w:rPr>
          <w:spacing w:val="-12"/>
        </w:rPr>
        <w:t> </w:t>
      </w:r>
      <w:r>
        <w:rPr/>
        <w:t>of</w:t>
      </w:r>
      <w:r>
        <w:rPr>
          <w:spacing w:val="-12"/>
        </w:rPr>
        <w:t> </w:t>
      </w:r>
      <w:r>
        <w:rPr/>
        <w:t>supplemental</w:t>
      </w:r>
      <w:r>
        <w:rPr>
          <w:spacing w:val="-12"/>
        </w:rPr>
        <w:t> </w:t>
      </w:r>
      <w:r>
        <w:rPr/>
        <w:t>analyses</w:t>
      </w:r>
      <w:r>
        <w:rPr>
          <w:spacing w:val="-12"/>
        </w:rPr>
        <w:t> </w:t>
      </w:r>
      <w:r>
        <w:rPr/>
        <w:t>to</w:t>
      </w:r>
      <w:r>
        <w:rPr>
          <w:spacing w:val="-12"/>
        </w:rPr>
        <w:t> </w:t>
      </w:r>
      <w:r>
        <w:rPr/>
        <w:t>test</w:t>
      </w:r>
      <w:r>
        <w:rPr>
          <w:spacing w:val="-12"/>
        </w:rPr>
        <w:t> </w:t>
      </w:r>
      <w:r>
        <w:rPr/>
        <w:t>the</w:t>
      </w:r>
      <w:r>
        <w:rPr>
          <w:spacing w:val="-12"/>
        </w:rPr>
        <w:t> </w:t>
      </w:r>
      <w:r>
        <w:rPr/>
        <w:t>robustness</w:t>
      </w:r>
      <w:r>
        <w:rPr>
          <w:spacing w:val="-12"/>
        </w:rPr>
        <w:t> </w:t>
      </w:r>
      <w:r>
        <w:rPr/>
        <w:t>of the</w:t>
      </w:r>
      <w:r>
        <w:rPr>
          <w:spacing w:val="-11"/>
        </w:rPr>
        <w:t> </w:t>
      </w:r>
      <w:r>
        <w:rPr/>
        <w:t>empirical</w:t>
      </w:r>
      <w:r>
        <w:rPr>
          <w:spacing w:val="-11"/>
        </w:rPr>
        <w:t> </w:t>
      </w:r>
      <w:r>
        <w:rPr/>
        <w:t>models</w:t>
      </w:r>
      <w:r>
        <w:rPr>
          <w:spacing w:val="-11"/>
        </w:rPr>
        <w:t> </w:t>
      </w:r>
      <w:r>
        <w:rPr/>
        <w:t>and</w:t>
      </w:r>
      <w:r>
        <w:rPr>
          <w:spacing w:val="-11"/>
        </w:rPr>
        <w:t> </w:t>
      </w:r>
      <w:r>
        <w:rPr/>
        <w:t>rule</w:t>
      </w:r>
      <w:r>
        <w:rPr>
          <w:spacing w:val="-11"/>
        </w:rPr>
        <w:t> </w:t>
      </w:r>
      <w:r>
        <w:rPr/>
        <w:t>out</w:t>
      </w:r>
      <w:r>
        <w:rPr>
          <w:spacing w:val="-11"/>
        </w:rPr>
        <w:t> </w:t>
      </w:r>
      <w:r>
        <w:rPr/>
        <w:t>alternative</w:t>
      </w:r>
      <w:r>
        <w:rPr>
          <w:spacing w:val="-11"/>
        </w:rPr>
        <w:t> </w:t>
      </w:r>
      <w:r>
        <w:rPr/>
        <w:t>explanations</w:t>
      </w:r>
      <w:r>
        <w:rPr>
          <w:spacing w:val="-11"/>
        </w:rPr>
        <w:t> </w:t>
      </w:r>
      <w:r>
        <w:rPr/>
        <w:t>for</w:t>
      </w:r>
      <w:r>
        <w:rPr>
          <w:spacing w:val="-11"/>
        </w:rPr>
        <w:t> </w:t>
      </w:r>
      <w:r>
        <w:rPr/>
        <w:t>our</w:t>
      </w:r>
      <w:r>
        <w:rPr>
          <w:spacing w:val="-11"/>
        </w:rPr>
        <w:t> </w:t>
      </w:r>
      <w:r>
        <w:rPr/>
        <w:t>results.</w:t>
      </w:r>
    </w:p>
    <w:p>
      <w:pPr>
        <w:pStyle w:val="ListParagraph"/>
        <w:numPr>
          <w:ilvl w:val="1"/>
          <w:numId w:val="3"/>
        </w:numPr>
        <w:tabs>
          <w:tab w:pos="540" w:val="left" w:leader="none"/>
        </w:tabs>
        <w:spacing w:line="240" w:lineRule="auto" w:before="177" w:after="0"/>
        <w:ind w:left="539" w:right="0" w:hanging="377"/>
        <w:jc w:val="left"/>
        <w:rPr>
          <w:sz w:val="16"/>
        </w:rPr>
      </w:pPr>
      <w:r>
        <w:rPr>
          <w:w w:val="105"/>
          <w:sz w:val="16"/>
        </w:rPr>
        <w:t>OTHER CORPORATE</w:t>
      </w:r>
      <w:r>
        <w:rPr>
          <w:spacing w:val="22"/>
          <w:w w:val="105"/>
          <w:sz w:val="16"/>
        </w:rPr>
        <w:t> </w:t>
      </w:r>
      <w:r>
        <w:rPr>
          <w:w w:val="105"/>
          <w:sz w:val="16"/>
        </w:rPr>
        <w:t>DECISIONS</w:t>
      </w:r>
    </w:p>
    <w:p>
      <w:pPr>
        <w:pStyle w:val="BodyText"/>
        <w:spacing w:line="230" w:lineRule="auto" w:before="75"/>
        <w:ind w:left="162" w:right="519" w:firstLine="199"/>
        <w:jc w:val="both"/>
      </w:pPr>
      <w:r>
        <w:rPr/>
        <w:t>The natural experiment setting helps us attribute the change in con- servatism</w:t>
      </w:r>
      <w:r>
        <w:rPr>
          <w:spacing w:val="-6"/>
        </w:rPr>
        <w:t> </w:t>
      </w:r>
      <w:r>
        <w:rPr/>
        <w:t>around</w:t>
      </w:r>
      <w:r>
        <w:rPr>
          <w:spacing w:val="-6"/>
        </w:rPr>
        <w:t> </w:t>
      </w:r>
      <w:r>
        <w:rPr/>
        <w:t>the</w:t>
      </w:r>
      <w:r>
        <w:rPr>
          <w:spacing w:val="-6"/>
        </w:rPr>
        <w:t> </w:t>
      </w:r>
      <w:r>
        <w:rPr/>
        <w:t>court</w:t>
      </w:r>
      <w:r>
        <w:rPr>
          <w:spacing w:val="-6"/>
        </w:rPr>
        <w:t> </w:t>
      </w:r>
      <w:r>
        <w:rPr/>
        <w:t>ruling</w:t>
      </w:r>
      <w:r>
        <w:rPr>
          <w:spacing w:val="-6"/>
        </w:rPr>
        <w:t> </w:t>
      </w:r>
      <w:r>
        <w:rPr/>
        <w:t>to</w:t>
      </w:r>
      <w:r>
        <w:rPr>
          <w:spacing w:val="-6"/>
        </w:rPr>
        <w:t> </w:t>
      </w:r>
      <w:r>
        <w:rPr/>
        <w:t>debtholders’</w:t>
      </w:r>
      <w:r>
        <w:rPr>
          <w:spacing w:val="-6"/>
        </w:rPr>
        <w:t> </w:t>
      </w:r>
      <w:r>
        <w:rPr/>
        <w:t>demand.</w:t>
      </w:r>
      <w:r>
        <w:rPr>
          <w:spacing w:val="-6"/>
        </w:rPr>
        <w:t> </w:t>
      </w:r>
      <w:r>
        <w:rPr>
          <w:spacing w:val="-3"/>
        </w:rPr>
        <w:t>However,</w:t>
      </w:r>
      <w:r>
        <w:rPr>
          <w:spacing w:val="-6"/>
        </w:rPr>
        <w:t> </w:t>
      </w:r>
      <w:r>
        <w:rPr/>
        <w:t>it</w:t>
      </w:r>
      <w:r>
        <w:rPr>
          <w:spacing w:val="-6"/>
        </w:rPr>
        <w:t> </w:t>
      </w:r>
      <w:r>
        <w:rPr/>
        <w:t>is still possible that other corporate decisions that accompanied the ruling may drive the change in conservatism. For example, near insolvent firms may</w:t>
      </w:r>
      <w:r>
        <w:rPr>
          <w:spacing w:val="-17"/>
        </w:rPr>
        <w:t> </w:t>
      </w:r>
      <w:r>
        <w:rPr/>
        <w:t>undertake</w:t>
      </w:r>
      <w:r>
        <w:rPr>
          <w:spacing w:val="-17"/>
        </w:rPr>
        <w:t> </w:t>
      </w:r>
      <w:r>
        <w:rPr/>
        <w:t>a</w:t>
      </w:r>
      <w:r>
        <w:rPr>
          <w:spacing w:val="-17"/>
        </w:rPr>
        <w:t> </w:t>
      </w:r>
      <w:r>
        <w:rPr/>
        <w:t>number</w:t>
      </w:r>
      <w:r>
        <w:rPr>
          <w:spacing w:val="-17"/>
        </w:rPr>
        <w:t> </w:t>
      </w:r>
      <w:r>
        <w:rPr/>
        <w:t>of</w:t>
      </w:r>
      <w:r>
        <w:rPr>
          <w:spacing w:val="-17"/>
        </w:rPr>
        <w:t> </w:t>
      </w:r>
      <w:r>
        <w:rPr/>
        <w:t>operational</w:t>
      </w:r>
      <w:r>
        <w:rPr>
          <w:spacing w:val="-17"/>
        </w:rPr>
        <w:t> </w:t>
      </w:r>
      <w:r>
        <w:rPr/>
        <w:t>changes,</w:t>
      </w:r>
      <w:r>
        <w:rPr>
          <w:spacing w:val="-17"/>
        </w:rPr>
        <w:t> </w:t>
      </w:r>
      <w:r>
        <w:rPr/>
        <w:t>such</w:t>
      </w:r>
      <w:r>
        <w:rPr>
          <w:spacing w:val="-17"/>
        </w:rPr>
        <w:t> </w:t>
      </w:r>
      <w:r>
        <w:rPr/>
        <w:t>as</w:t>
      </w:r>
      <w:r>
        <w:rPr>
          <w:spacing w:val="-17"/>
        </w:rPr>
        <w:t> </w:t>
      </w:r>
      <w:r>
        <w:rPr/>
        <w:t>writing</w:t>
      </w:r>
      <w:r>
        <w:rPr>
          <w:spacing w:val="-17"/>
        </w:rPr>
        <w:t> </w:t>
      </w:r>
      <w:r>
        <w:rPr/>
        <w:t>off</w:t>
      </w:r>
      <w:r>
        <w:rPr>
          <w:spacing w:val="-17"/>
        </w:rPr>
        <w:t> </w:t>
      </w:r>
      <w:r>
        <w:rPr/>
        <w:t>assets and</w:t>
      </w:r>
      <w:r>
        <w:rPr>
          <w:spacing w:val="-22"/>
        </w:rPr>
        <w:t> </w:t>
      </w:r>
      <w:r>
        <w:rPr/>
        <w:t>reducing</w:t>
      </w:r>
      <w:r>
        <w:rPr>
          <w:spacing w:val="-22"/>
        </w:rPr>
        <w:t> </w:t>
      </w:r>
      <w:r>
        <w:rPr/>
        <w:t>capital</w:t>
      </w:r>
      <w:r>
        <w:rPr>
          <w:spacing w:val="-22"/>
        </w:rPr>
        <w:t> </w:t>
      </w:r>
      <w:r>
        <w:rPr/>
        <w:t>expenditure,</w:t>
      </w:r>
      <w:r>
        <w:rPr>
          <w:spacing w:val="-22"/>
        </w:rPr>
        <w:t> </w:t>
      </w:r>
      <w:r>
        <w:rPr/>
        <w:t>to</w:t>
      </w:r>
      <w:r>
        <w:rPr>
          <w:spacing w:val="-22"/>
        </w:rPr>
        <w:t> </w:t>
      </w:r>
      <w:r>
        <w:rPr/>
        <w:t>improve</w:t>
      </w:r>
      <w:r>
        <w:rPr>
          <w:spacing w:val="-22"/>
        </w:rPr>
        <w:t> </w:t>
      </w:r>
      <w:r>
        <w:rPr/>
        <w:t>profitability</w:t>
      </w:r>
      <w:r>
        <w:rPr>
          <w:spacing w:val="-22"/>
        </w:rPr>
        <w:t> </w:t>
      </w:r>
      <w:r>
        <w:rPr/>
        <w:t>and/or</w:t>
      </w:r>
      <w:r>
        <w:rPr>
          <w:spacing w:val="-22"/>
        </w:rPr>
        <w:t> </w:t>
      </w:r>
      <w:r>
        <w:rPr/>
        <w:t>increase liquidity, which could manifest themselves in the form of more</w:t>
      </w:r>
      <w:r>
        <w:rPr>
          <w:spacing w:val="-31"/>
        </w:rPr>
        <w:t> </w:t>
      </w:r>
      <w:r>
        <w:rPr/>
        <w:t>conserva- tive</w:t>
      </w:r>
      <w:r>
        <w:rPr>
          <w:spacing w:val="-21"/>
        </w:rPr>
        <w:t> </w:t>
      </w:r>
      <w:r>
        <w:rPr/>
        <w:t>accounting</w:t>
      </w:r>
      <w:r>
        <w:rPr>
          <w:spacing w:val="-20"/>
        </w:rPr>
        <w:t> </w:t>
      </w:r>
      <w:r>
        <w:rPr/>
        <w:t>policies.</w:t>
      </w:r>
      <w:r>
        <w:rPr>
          <w:spacing w:val="-20"/>
        </w:rPr>
        <w:t> </w:t>
      </w:r>
      <w:r>
        <w:rPr/>
        <w:t>Because</w:t>
      </w:r>
      <w:r>
        <w:rPr>
          <w:spacing w:val="-20"/>
        </w:rPr>
        <w:t> </w:t>
      </w:r>
      <w:r>
        <w:rPr/>
        <w:t>creditors</w:t>
      </w:r>
      <w:r>
        <w:rPr>
          <w:spacing w:val="-20"/>
        </w:rPr>
        <w:t> </w:t>
      </w:r>
      <w:r>
        <w:rPr/>
        <w:t>could</w:t>
      </w:r>
      <w:r>
        <w:rPr>
          <w:spacing w:val="-20"/>
        </w:rPr>
        <w:t> </w:t>
      </w:r>
      <w:r>
        <w:rPr/>
        <w:t>demand</w:t>
      </w:r>
      <w:r>
        <w:rPr>
          <w:spacing w:val="-20"/>
        </w:rPr>
        <w:t> </w:t>
      </w:r>
      <w:r>
        <w:rPr/>
        <w:t>these</w:t>
      </w:r>
      <w:r>
        <w:rPr>
          <w:spacing w:val="-20"/>
        </w:rPr>
        <w:t> </w:t>
      </w:r>
      <w:r>
        <w:rPr/>
        <w:t>actions</w:t>
      </w:r>
      <w:r>
        <w:rPr>
          <w:spacing w:val="-20"/>
        </w:rPr>
        <w:t> </w:t>
      </w:r>
      <w:r>
        <w:rPr/>
        <w:t>as</w:t>
      </w:r>
      <w:r>
        <w:rPr>
          <w:spacing w:val="-20"/>
        </w:rPr>
        <w:t> </w:t>
      </w:r>
      <w:r>
        <w:rPr/>
        <w:t>a</w:t>
      </w:r>
    </w:p>
    <w:p>
      <w:pPr>
        <w:spacing w:after="0" w:line="230" w:lineRule="auto"/>
        <w:jc w:val="both"/>
        <w:sectPr>
          <w:headerReference w:type="even" r:id="rId20"/>
          <w:headerReference w:type="default" r:id="rId21"/>
          <w:pgSz w:w="9720" w:h="14400"/>
          <w:pgMar w:header="1055" w:footer="0" w:top="1300" w:bottom="280" w:left="1280" w:right="1300"/>
          <w:pgNumType w:start="1014"/>
        </w:sectPr>
      </w:pPr>
    </w:p>
    <w:p>
      <w:pPr>
        <w:pStyle w:val="BodyText"/>
        <w:spacing w:before="1"/>
        <w:rPr>
          <w:sz w:val="15"/>
        </w:rPr>
      </w:pPr>
    </w:p>
    <w:p>
      <w:pPr>
        <w:spacing w:before="0"/>
        <w:ind w:left="495" w:right="152" w:firstLine="0"/>
        <w:jc w:val="center"/>
        <w:rPr>
          <w:rFonts w:ascii="Times New Roman"/>
          <w:b/>
          <w:sz w:val="16"/>
        </w:rPr>
      </w:pPr>
      <w:r>
        <w:rPr>
          <w:rFonts w:ascii="Times New Roman"/>
          <w:b/>
          <w:color w:val="231F20"/>
          <w:sz w:val="16"/>
        </w:rPr>
        <w:t>TA B L E  7</w:t>
      </w:r>
    </w:p>
    <w:p>
      <w:pPr>
        <w:spacing w:before="17" w:after="19"/>
        <w:ind w:left="495" w:right="115" w:firstLine="0"/>
        <w:jc w:val="center"/>
        <w:rPr>
          <w:i/>
          <w:sz w:val="16"/>
        </w:rPr>
      </w:pPr>
      <w:r>
        <w:rPr>
          <w:i/>
          <w:color w:val="231F20"/>
          <w:sz w:val="16"/>
        </w:rPr>
        <w:t>Effect of the 1991 Delaware Court Ruling on Asymmetric Timeliness of Accruals</w:t>
      </w:r>
    </w:p>
    <w:p>
      <w:pPr>
        <w:pStyle w:val="BodyText"/>
        <w:spacing w:line="53" w:lineRule="exact"/>
        <w:ind w:left="52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152" w:val="left" w:leader="none"/>
          <w:tab w:pos="3016" w:val="left" w:leader="none"/>
          <w:tab w:pos="3631" w:val="left" w:leader="none"/>
          <w:tab w:pos="4313" w:val="left" w:leader="none"/>
          <w:tab w:pos="4905" w:val="left" w:leader="none"/>
          <w:tab w:pos="5609" w:val="left" w:leader="none"/>
          <w:tab w:pos="6220" w:val="left" w:leader="none"/>
          <w:tab w:pos="6988" w:val="left" w:leader="none"/>
        </w:tabs>
        <w:spacing w:before="25"/>
        <w:ind w:left="532" w:right="0" w:firstLine="0"/>
        <w:jc w:val="left"/>
        <w:rPr>
          <w:sz w:val="16"/>
        </w:rPr>
      </w:pPr>
      <w:r>
        <w:rPr>
          <w:color w:val="231F20"/>
          <w:w w:val="103"/>
          <w:sz w:val="16"/>
          <w:u w:val="single" w:color="000000"/>
        </w:rPr>
        <w:t> </w:t>
      </w:r>
      <w:r>
        <w:rPr>
          <w:color w:val="231F20"/>
          <w:sz w:val="16"/>
          <w:u w:val="single" w:color="000000"/>
        </w:rPr>
        <w:tab/>
      </w:r>
      <w:r>
        <w:rPr>
          <w:color w:val="231F20"/>
          <w:w w:val="105"/>
          <w:sz w:val="16"/>
          <w:u w:val="single" w:color="000000"/>
        </w:rPr>
        <w:t>Dep.</w:t>
      </w:r>
      <w:r>
        <w:rPr>
          <w:color w:val="231F20"/>
          <w:spacing w:val="-36"/>
          <w:w w:val="105"/>
          <w:sz w:val="16"/>
          <w:u w:val="single" w:color="000000"/>
        </w:rPr>
        <w:t> </w:t>
      </w:r>
      <w:r>
        <w:rPr>
          <w:color w:val="231F20"/>
          <w:spacing w:val="-6"/>
          <w:w w:val="105"/>
          <w:sz w:val="16"/>
          <w:u w:val="single" w:color="000000"/>
        </w:rPr>
        <w:t>Var. </w:t>
      </w:r>
      <w:r>
        <w:rPr>
          <w:rFonts w:ascii="Lucida Sans Unicode"/>
          <w:color w:val="231F20"/>
          <w:w w:val="105"/>
          <w:sz w:val="16"/>
          <w:u w:val="single" w:color="000000"/>
        </w:rPr>
        <w:t>=</w:t>
      </w:r>
      <w:r>
        <w:rPr>
          <w:rFonts w:ascii="Lucida Sans Unicode"/>
          <w:color w:val="231F20"/>
          <w:spacing w:val="-33"/>
          <w:w w:val="105"/>
          <w:sz w:val="16"/>
          <w:u w:val="single" w:color="000000"/>
        </w:rPr>
        <w:t> </w:t>
      </w:r>
      <w:r>
        <w:rPr>
          <w:i/>
          <w:color w:val="231F20"/>
          <w:w w:val="105"/>
          <w:sz w:val="16"/>
          <w:u w:val="single" w:color="000000"/>
        </w:rPr>
        <w:t>ACCR</w:t>
        <w:tab/>
        <w:t> </w:t>
        <w:tab/>
      </w:r>
      <w:r>
        <w:rPr>
          <w:color w:val="231F20"/>
          <w:w w:val="105"/>
          <w:sz w:val="16"/>
          <w:u w:val="single" w:color="000000"/>
        </w:rPr>
        <w:t>(i)</w:t>
        <w:tab/>
        <w:t> </w:t>
        <w:tab/>
        <w:t>(ii)</w:t>
        <w:tab/>
        <w:t> </w:t>
        <w:tab/>
        <w:t>(iii)</w:t>
      </w:r>
      <w:r>
        <w:rPr>
          <w:color w:val="231F20"/>
          <w:sz w:val="16"/>
          <w:u w:val="single" w:color="000000"/>
        </w:rPr>
        <w:tab/>
      </w:r>
    </w:p>
    <w:p>
      <w:pPr>
        <w:tabs>
          <w:tab w:pos="3433" w:val="left" w:leader="none"/>
          <w:tab w:pos="4313" w:val="left" w:leader="none"/>
          <w:tab w:pos="6988" w:val="left" w:leader="none"/>
        </w:tabs>
        <w:spacing w:before="23"/>
        <w:ind w:left="3135" w:right="0" w:firstLine="0"/>
        <w:jc w:val="left"/>
        <w:rPr>
          <w:sz w:val="16"/>
        </w:rPr>
      </w:pPr>
      <w:r>
        <w:rPr>
          <w:i/>
          <w:color w:val="231F20"/>
          <w:w w:val="103"/>
          <w:sz w:val="16"/>
          <w:u w:val="single" w:color="000000"/>
        </w:rPr>
        <w:t> </w:t>
      </w:r>
      <w:r>
        <w:rPr>
          <w:i/>
          <w:color w:val="231F20"/>
          <w:sz w:val="16"/>
          <w:u w:val="single" w:color="000000"/>
        </w:rPr>
        <w:tab/>
        <w:t>DEL</w:t>
      </w:r>
      <w:r>
        <w:rPr>
          <w:i/>
          <w:color w:val="231F20"/>
          <w:spacing w:val="-2"/>
          <w:sz w:val="16"/>
          <w:u w:val="single" w:color="000000"/>
        </w:rPr>
        <w:t> </w:t>
      </w:r>
      <w:r>
        <w:rPr>
          <w:rFonts w:ascii="Lucida Sans Unicode"/>
          <w:color w:val="231F20"/>
          <w:sz w:val="16"/>
          <w:u w:val="single" w:color="000000"/>
        </w:rPr>
        <w:t>=</w:t>
      </w:r>
      <w:r>
        <w:rPr>
          <w:rFonts w:ascii="Lucida Sans Unicode"/>
          <w:color w:val="231F20"/>
          <w:spacing w:val="-13"/>
          <w:sz w:val="16"/>
          <w:u w:val="single" w:color="000000"/>
        </w:rPr>
        <w:t> </w:t>
      </w:r>
      <w:r>
        <w:rPr>
          <w:color w:val="231F20"/>
          <w:sz w:val="16"/>
          <w:u w:val="single" w:color="000000"/>
        </w:rPr>
        <w:t>1</w:t>
        <w:tab/>
      </w:r>
      <w:r>
        <w:rPr>
          <w:i/>
          <w:color w:val="231F20"/>
          <w:sz w:val="16"/>
          <w:u w:val="single" w:color="000000"/>
        </w:rPr>
        <w:t>HEDF93 </w:t>
      </w:r>
      <w:r>
        <w:rPr>
          <w:rFonts w:ascii="Lucida Sans Unicode"/>
          <w:color w:val="231F20"/>
          <w:sz w:val="16"/>
          <w:u w:val="single" w:color="000000"/>
        </w:rPr>
        <w:t>= </w:t>
      </w:r>
      <w:r>
        <w:rPr>
          <w:color w:val="231F20"/>
          <w:sz w:val="16"/>
          <w:u w:val="single" w:color="000000"/>
        </w:rPr>
        <w:t>1 Full</w:t>
      </w:r>
      <w:r>
        <w:rPr>
          <w:color w:val="231F20"/>
          <w:spacing w:val="-23"/>
          <w:sz w:val="16"/>
          <w:u w:val="single" w:color="000000"/>
        </w:rPr>
        <w:t> </w:t>
      </w:r>
      <w:r>
        <w:rPr>
          <w:color w:val="231F20"/>
          <w:sz w:val="16"/>
          <w:u w:val="single" w:color="000000"/>
        </w:rPr>
        <w:t>sample</w:t>
        <w:tab/>
      </w:r>
    </w:p>
    <w:p>
      <w:pPr>
        <w:tabs>
          <w:tab w:pos="3273" w:val="left" w:leader="none"/>
          <w:tab w:pos="3946" w:val="left" w:leader="none"/>
          <w:tab w:pos="4569" w:val="left" w:leader="none"/>
          <w:tab w:pos="5243" w:val="left" w:leader="none"/>
          <w:tab w:pos="5865" w:val="left" w:leader="none"/>
          <w:tab w:pos="6580" w:val="left" w:leader="none"/>
        </w:tabs>
        <w:spacing w:before="45"/>
        <w:ind w:left="532" w:right="0" w:firstLine="0"/>
        <w:jc w:val="left"/>
        <w:rPr>
          <w:sz w:val="16"/>
        </w:rPr>
      </w:pPr>
      <w:r>
        <w:rPr>
          <w:color w:val="231F20"/>
          <w:sz w:val="16"/>
        </w:rPr>
        <w:t>Independent</w:t>
      </w:r>
      <w:r>
        <w:rPr>
          <w:color w:val="231F20"/>
          <w:spacing w:val="-4"/>
          <w:sz w:val="16"/>
        </w:rPr>
        <w:t> </w:t>
      </w:r>
      <w:r>
        <w:rPr>
          <w:color w:val="231F20"/>
          <w:spacing w:val="-7"/>
          <w:sz w:val="16"/>
        </w:rPr>
        <w:t>Var.</w:t>
        <w:tab/>
      </w:r>
      <w:r>
        <w:rPr>
          <w:color w:val="231F20"/>
          <w:sz w:val="16"/>
        </w:rPr>
        <w:t>Coef.</w:t>
        <w:tab/>
      </w:r>
      <w:r>
        <w:rPr>
          <w:i/>
          <w:color w:val="231F20"/>
          <w:sz w:val="16"/>
        </w:rPr>
        <w:t>t</w:t>
      </w:r>
      <w:r>
        <w:rPr>
          <w:color w:val="231F20"/>
          <w:sz w:val="16"/>
        </w:rPr>
        <w:t>-stat</w:t>
        <w:tab/>
        <w:t>Coef.</w:t>
        <w:tab/>
      </w:r>
      <w:r>
        <w:rPr>
          <w:i/>
          <w:color w:val="231F20"/>
          <w:sz w:val="16"/>
        </w:rPr>
        <w:t>t</w:t>
      </w:r>
      <w:r>
        <w:rPr>
          <w:color w:val="231F20"/>
          <w:sz w:val="16"/>
        </w:rPr>
        <w:t>-stat</w:t>
        <w:tab/>
        <w:t>Coef.</w:t>
        <w:tab/>
      </w:r>
      <w:r>
        <w:rPr>
          <w:i/>
          <w:color w:val="231F20"/>
          <w:sz w:val="16"/>
        </w:rPr>
        <w:t>t</w:t>
      </w:r>
      <w:r>
        <w:rPr>
          <w:color w:val="231F20"/>
          <w:sz w:val="16"/>
        </w:rPr>
        <w:t>-stat</w:t>
      </w:r>
    </w:p>
    <w:p>
      <w:pPr>
        <w:tabs>
          <w:tab w:pos="2840" w:val="left" w:leader="none"/>
          <w:tab w:pos="4022" w:val="left" w:leader="none"/>
          <w:tab w:pos="4554" w:val="left" w:leader="none"/>
          <w:tab w:pos="5850" w:val="left" w:leader="none"/>
          <w:tab w:pos="6905" w:val="right" w:leader="none"/>
        </w:tabs>
        <w:spacing w:line="202" w:lineRule="exact" w:before="70"/>
        <w:ind w:left="532" w:right="0" w:firstLine="0"/>
        <w:jc w:val="left"/>
        <w:rPr>
          <w:sz w:val="16"/>
        </w:rPr>
      </w:pPr>
      <w:r>
        <w:rPr/>
        <w:pict>
          <v:line style="position:absolute;mso-position-horizontal-relative:page;mso-position-vertical-relative:paragraph;z-index:5200" from="90.629997pt,2.156144pt" to="413.423997pt,2.156144pt" stroked="true" strokeweight=".504pt" strokecolor="#000000">
            <v:stroke dashstyle="solid"/>
            <w10:wrap type="none"/>
          </v:line>
        </w:pict>
      </w:r>
      <w:r>
        <w:rPr/>
        <w:pict>
          <v:shape style="position:absolute;margin-left:285.478516pt;margin-top:5.082884pt;width:44.5pt;height:14pt;mso-position-horizontal-relative:page;mso-position-vertical-relative:paragraph;z-index:-66136" type="#_x0000_t202" filled="false" stroked="false">
            <v:textbox inset="0,0,0,0">
              <w:txbxContent>
                <w:p>
                  <w:pPr>
                    <w:tabs>
                      <w:tab w:pos="76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color w:val="231F20"/>
          <w:sz w:val="16"/>
        </w:rPr>
        <w:t>Intercept</w:t>
        <w:tab/>
      </w:r>
      <w:r>
        <w:rPr>
          <w:i/>
          <w:color w:val="231F20"/>
          <w:sz w:val="16"/>
        </w:rPr>
        <w:t>ß</w:t>
      </w:r>
      <w:r>
        <w:rPr>
          <w:i/>
          <w:color w:val="231F20"/>
          <w:position w:val="-1"/>
          <w:sz w:val="9"/>
        </w:rPr>
        <w:t>0      </w:t>
      </w:r>
      <w:r>
        <w:rPr>
          <w:i/>
          <w:color w:val="231F20"/>
          <w:spacing w:val="13"/>
          <w:position w:val="-1"/>
          <w:sz w:val="9"/>
        </w:rPr>
        <w:t> </w:t>
      </w:r>
      <w:r>
        <w:rPr>
          <w:color w:val="231F20"/>
          <w:sz w:val="16"/>
        </w:rPr>
        <w:t>0.013</w:t>
        <w:tab/>
        <w:t>1.37</w:t>
        <w:tab/>
        <w:t>0.025</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1.73</w:t>
        <w:tab/>
        <w:t>0.030</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4.47</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27pt;width:174.1pt;height:14pt;mso-position-horizontal-relative:page;mso-position-vertical-relative:paragraph;z-index:-66160" type="#_x0000_t202" filled="false" stroked="false">
            <v:textbox inset="0,0,0,0">
              <w:txbxContent>
                <w:p>
                  <w:pPr>
                    <w:tabs>
                      <w:tab w:pos="764" w:val="left" w:leader="none"/>
                      <w:tab w:pos="1296" w:val="left" w:leader="none"/>
                      <w:tab w:pos="2060"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CF</w:t>
        <w:tab/>
        <w:t>ß</w:t>
      </w:r>
      <w:r>
        <w:rPr>
          <w:i/>
          <w:color w:val="231F20"/>
          <w:position w:val="-1"/>
          <w:sz w:val="9"/>
        </w:rPr>
        <w:t>1     </w:t>
      </w:r>
      <w:r>
        <w:rPr>
          <w:i/>
          <w:color w:val="231F20"/>
          <w:spacing w:val="7"/>
          <w:position w:val="-1"/>
          <w:sz w:val="9"/>
        </w:rPr>
        <w:t> </w:t>
      </w:r>
      <w:r>
        <w:rPr>
          <w:color w:val="231F20"/>
          <w:sz w:val="16"/>
        </w:rPr>
        <w:t>0.400</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7.28</w:t>
        <w:tab/>
        <w:t>0.395</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3.94</w:t>
        <w:tab/>
        <w:t>0.428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9.79</w:t>
      </w:r>
    </w:p>
    <w:p>
      <w:pPr>
        <w:tabs>
          <w:tab w:pos="2840" w:val="left" w:leader="none"/>
          <w:tab w:pos="4022" w:val="left" w:leader="none"/>
          <w:tab w:pos="4553" w:val="left" w:leader="none"/>
          <w:tab w:pos="5318"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197pt;width:174.1pt;height:14pt;mso-position-horizontal-relative:page;mso-position-vertical-relative:paragraph;z-index:-66400" type="#_x0000_t202" filled="false" stroked="false">
            <v:textbox inset="0,0,0,0">
              <w:txbxContent>
                <w:p>
                  <w:pPr>
                    <w:tabs>
                      <w:tab w:pos="764"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DCF</w:t>
        <w:tab/>
        <w:t>ß</w:t>
      </w:r>
      <w:r>
        <w:rPr>
          <w:i/>
          <w:color w:val="231F20"/>
          <w:position w:val="-1"/>
          <w:sz w:val="9"/>
        </w:rPr>
        <w:t>2      </w:t>
      </w:r>
      <w:r>
        <w:rPr>
          <w:i/>
          <w:color w:val="231F20"/>
          <w:spacing w:val="13"/>
          <w:position w:val="-1"/>
          <w:sz w:val="9"/>
        </w:rPr>
        <w:t> </w:t>
      </w:r>
      <w:r>
        <w:rPr>
          <w:color w:val="231F20"/>
          <w:sz w:val="16"/>
        </w:rPr>
        <w:t>0.015</w:t>
        <w:tab/>
        <w:t>0.81</w:t>
        <w:tab/>
        <w:t>0.006</w:t>
        <w:tab/>
        <w:t>0.31</w:t>
        <w:tab/>
        <w:t>0.025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1.90</w:t>
      </w:r>
    </w:p>
    <w:p>
      <w:pPr>
        <w:tabs>
          <w:tab w:pos="2840" w:val="left" w:leader="none"/>
          <w:tab w:pos="4553" w:val="left" w:leader="none"/>
          <w:tab w:pos="5318" w:val="left" w:leader="none"/>
          <w:tab w:pos="5850" w:val="left" w:leader="none"/>
          <w:tab w:pos="6905" w:val="right" w:leader="none"/>
        </w:tabs>
        <w:spacing w:line="202" w:lineRule="exact" w:before="0"/>
        <w:ind w:left="532" w:right="0" w:firstLine="0"/>
        <w:jc w:val="left"/>
        <w:rPr>
          <w:sz w:val="16"/>
        </w:rPr>
      </w:pPr>
      <w:r>
        <w:rPr/>
        <w:pict>
          <v:shape style="position:absolute;margin-left:104.676819pt;margin-top:1.467334pt;width:6.3pt;height:14pt;mso-position-horizontal-relative:page;mso-position-vertical-relative:paragraph;z-index:-6649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DCF </w:t>
      </w:r>
      <w:r>
        <w:rPr>
          <w:i/>
          <w:color w:val="231F20"/>
          <w:spacing w:val="11"/>
          <w:sz w:val="16"/>
        </w:rPr>
        <w:t> </w:t>
      </w:r>
      <w:r>
        <w:rPr>
          <w:i/>
          <w:color w:val="231F20"/>
          <w:sz w:val="16"/>
        </w:rPr>
        <w:t>CF</w:t>
        <w:tab/>
        <w:t>ß</w:t>
      </w:r>
      <w:r>
        <w:rPr>
          <w:i/>
          <w:color w:val="231F20"/>
          <w:position w:val="-1"/>
          <w:sz w:val="9"/>
        </w:rPr>
        <w:t>3     </w:t>
      </w:r>
      <w:r>
        <w:rPr>
          <w:i/>
          <w:color w:val="231F20"/>
          <w:spacing w:val="7"/>
          <w:position w:val="-1"/>
          <w:sz w:val="9"/>
        </w:rPr>
        <w:t> </w:t>
      </w:r>
      <w:r>
        <w:rPr>
          <w:color w:val="231F20"/>
          <w:sz w:val="16"/>
        </w:rPr>
        <w:t>0.578</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4.11</w:t>
        <w:tab/>
        <w:t>0.197</w:t>
        <w:tab/>
        <w:t>0.99</w:t>
        <w:tab/>
        <w:t>0.344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2.89</w:t>
      </w:r>
    </w:p>
    <w:p>
      <w:pPr>
        <w:tabs>
          <w:tab w:pos="2840" w:val="left" w:leader="none"/>
          <w:tab w:pos="4022" w:val="left" w:leader="none"/>
          <w:tab w:pos="4553" w:val="left" w:leader="none"/>
          <w:tab w:pos="5318" w:val="left" w:leader="none"/>
          <w:tab w:pos="5850" w:val="left" w:leader="none"/>
          <w:tab w:pos="6905" w:val="right" w:leader="none"/>
        </w:tabs>
        <w:spacing w:line="197" w:lineRule="exact" w:before="1"/>
        <w:ind w:left="532" w:right="0" w:firstLine="0"/>
        <w:jc w:val="left"/>
        <w:rPr>
          <w:sz w:val="16"/>
        </w:rPr>
      </w:pPr>
      <w:r>
        <w:rPr>
          <w:i/>
          <w:color w:val="231F20"/>
          <w:w w:val="105"/>
          <w:sz w:val="16"/>
        </w:rPr>
        <w:t>POST</w:t>
        <w:tab/>
        <w:t>ß</w:t>
      </w:r>
      <w:r>
        <w:rPr>
          <w:i/>
          <w:color w:val="231F20"/>
          <w:w w:val="105"/>
          <w:position w:val="-1"/>
          <w:sz w:val="9"/>
        </w:rPr>
        <w:t>4     </w:t>
      </w:r>
      <w:r>
        <w:rPr>
          <w:i/>
          <w:color w:val="231F20"/>
          <w:spacing w:val="13"/>
          <w:w w:val="105"/>
          <w:position w:val="-1"/>
          <w:sz w:val="9"/>
        </w:rPr>
        <w:t> </w:t>
      </w:r>
      <w:r>
        <w:rPr>
          <w:color w:val="231F20"/>
          <w:w w:val="105"/>
          <w:sz w:val="16"/>
        </w:rPr>
        <w:t>0.002</w:t>
        <w:tab/>
        <w:t>0.50</w:t>
        <w:tab/>
        <w:t>0.014</w:t>
        <w:tab/>
        <w:t>1.62</w:t>
        <w:tab/>
        <w:t>0.003</w:t>
        <w:tab/>
        <w:t>0.96</w:t>
      </w:r>
    </w:p>
    <w:p>
      <w:pPr>
        <w:tabs>
          <w:tab w:pos="2840" w:val="left" w:leader="none"/>
          <w:tab w:pos="4022" w:val="left" w:leader="none"/>
          <w:tab w:pos="4553" w:val="left" w:leader="none"/>
          <w:tab w:pos="5850" w:val="left" w:leader="none"/>
          <w:tab w:pos="6905" w:val="right" w:leader="none"/>
        </w:tabs>
        <w:spacing w:line="202" w:lineRule="exact" w:before="0"/>
        <w:ind w:left="532" w:right="0" w:firstLine="0"/>
        <w:jc w:val="left"/>
        <w:rPr>
          <w:sz w:val="16"/>
        </w:rPr>
      </w:pPr>
      <w:r>
        <w:rPr/>
        <w:pict>
          <v:shape style="position:absolute;margin-left:109.627441pt;margin-top:1.467198pt;width:285.150pt;height:14pt;mso-position-horizontal-relative:page;mso-position-vertical-relative:paragraph;z-index:-65704" type="#_x0000_t202" filled="false" stroked="false">
            <v:textbox inset="0,0,0,0">
              <w:txbxContent>
                <w:p>
                  <w:pPr>
                    <w:tabs>
                      <w:tab w:pos="2220" w:val="left" w:leader="none"/>
                      <w:tab w:pos="2985" w:val="left" w:leader="none"/>
                      <w:tab w:pos="4813" w:val="left" w:leader="none"/>
                      <w:tab w:pos="557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7"/>
          <w:sz w:val="16"/>
        </w:rPr>
        <w:t> </w:t>
      </w:r>
      <w:r>
        <w:rPr>
          <w:i/>
          <w:color w:val="231F20"/>
          <w:sz w:val="16"/>
        </w:rPr>
        <w:t>CF</w:t>
        <w:tab/>
        <w:t>ß</w:t>
      </w:r>
      <w:r>
        <w:rPr>
          <w:i/>
          <w:color w:val="231F20"/>
          <w:position w:val="-1"/>
          <w:sz w:val="9"/>
        </w:rPr>
        <w:t>5      </w:t>
      </w:r>
      <w:r>
        <w:rPr>
          <w:i/>
          <w:color w:val="231F20"/>
          <w:spacing w:val="13"/>
          <w:position w:val="-1"/>
          <w:sz w:val="9"/>
        </w:rPr>
        <w:t> </w:t>
      </w:r>
      <w:r>
        <w:rPr>
          <w:color w:val="231F20"/>
          <w:sz w:val="16"/>
        </w:rPr>
        <w:t>0.015</w:t>
        <w:tab/>
        <w:t>0.60</w:t>
        <w:tab/>
        <w:t>0.115</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2.03</w:t>
        <w:tab/>
        <w:t>0.018</w:t>
        <w:tab/>
        <w:t>0.69</w:t>
      </w:r>
    </w:p>
    <w:p>
      <w:pPr>
        <w:tabs>
          <w:tab w:pos="2840" w:val="left" w:leader="none"/>
          <w:tab w:pos="4022" w:val="left" w:leader="none"/>
          <w:tab w:pos="4553" w:val="left" w:leader="none"/>
          <w:tab w:pos="5318" w:val="left" w:leader="none"/>
          <w:tab w:pos="5850" w:val="left" w:leader="none"/>
          <w:tab w:pos="6905" w:val="right" w:leader="none"/>
        </w:tabs>
        <w:spacing w:line="197" w:lineRule="exact" w:before="0"/>
        <w:ind w:left="532" w:right="0" w:firstLine="0"/>
        <w:jc w:val="left"/>
        <w:rPr>
          <w:sz w:val="16"/>
        </w:rPr>
      </w:pPr>
      <w:r>
        <w:rPr/>
        <w:pict>
          <v:shape style="position:absolute;margin-left:109.626999pt;margin-top:1.33129pt;width:155.5pt;height:14pt;mso-position-horizontal-relative:page;mso-position-vertical-relative:paragraph;z-index:-65728" type="#_x0000_t202" filled="false" stroked="false">
            <v:textbox inset="0,0,0,0">
              <w:txbxContent>
                <w:p>
                  <w:pPr>
                    <w:tabs>
                      <w:tab w:pos="2220" w:val="left" w:leader="none"/>
                      <w:tab w:pos="298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5"/>
          <w:sz w:val="16"/>
        </w:rPr>
        <w:t> </w:t>
      </w:r>
      <w:r>
        <w:rPr>
          <w:i/>
          <w:color w:val="231F20"/>
          <w:sz w:val="16"/>
        </w:rPr>
        <w:t>DCF</w:t>
        <w:tab/>
        <w:t>ß</w:t>
      </w:r>
      <w:r>
        <w:rPr>
          <w:i/>
          <w:color w:val="231F20"/>
          <w:position w:val="-1"/>
          <w:sz w:val="9"/>
        </w:rPr>
        <w:t>6      </w:t>
      </w:r>
      <w:r>
        <w:rPr>
          <w:i/>
          <w:color w:val="231F20"/>
          <w:spacing w:val="13"/>
          <w:position w:val="-1"/>
          <w:sz w:val="9"/>
        </w:rPr>
        <w:t> </w:t>
      </w:r>
      <w:r>
        <w:rPr>
          <w:color w:val="231F20"/>
          <w:sz w:val="16"/>
        </w:rPr>
        <w:t>0.007</w:t>
        <w:tab/>
        <w:t>0.80</w:t>
        <w:tab/>
        <w:t>0.008</w:t>
        <w:tab/>
        <w:t>0.65</w:t>
        <w:tab/>
        <w:t>0.006</w:t>
        <w:tab/>
        <w:t>0.71</w:t>
      </w:r>
    </w:p>
    <w:p>
      <w:pPr>
        <w:tabs>
          <w:tab w:pos="2840" w:val="left" w:leader="none"/>
          <w:tab w:pos="4553" w:val="left" w:leader="none"/>
          <w:tab w:pos="5850" w:val="left" w:leader="none"/>
          <w:tab w:pos="6905" w:val="right" w:leader="none"/>
        </w:tabs>
        <w:spacing w:line="199" w:lineRule="exact" w:before="0"/>
        <w:ind w:left="532" w:right="0" w:firstLine="0"/>
        <w:jc w:val="left"/>
        <w:rPr>
          <w:sz w:val="16"/>
        </w:rPr>
      </w:pPr>
      <w:r>
        <w:rPr/>
        <w:pict>
          <v:shape style="position:absolute;margin-left:109.627907pt;margin-top:1.467353pt;width:26.6pt;height:14pt;mso-position-horizontal-relative:page;mso-position-vertical-relative:paragraph;z-index:-65752" type="#_x0000_t202" filled="false" stroked="false">
            <v:textbox inset="0,0,0,0">
              <w:txbxContent>
                <w:p>
                  <w:pPr>
                    <w:tabs>
                      <w:tab w:pos="40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POST </w:t>
      </w:r>
      <w:r>
        <w:rPr>
          <w:i/>
          <w:color w:val="231F20"/>
          <w:spacing w:val="12"/>
          <w:sz w:val="16"/>
        </w:rPr>
        <w:t> </w:t>
      </w:r>
      <w:r>
        <w:rPr>
          <w:i/>
          <w:color w:val="231F20"/>
          <w:sz w:val="16"/>
        </w:rPr>
        <w:t>DCF </w:t>
      </w:r>
      <w:r>
        <w:rPr>
          <w:i/>
          <w:color w:val="231F20"/>
          <w:spacing w:val="12"/>
          <w:sz w:val="16"/>
        </w:rPr>
        <w:t> </w:t>
      </w:r>
      <w:r>
        <w:rPr>
          <w:i/>
          <w:color w:val="231F20"/>
          <w:sz w:val="16"/>
        </w:rPr>
        <w:t>CF</w:t>
        <w:tab/>
        <w:t>ß</w:t>
      </w:r>
      <w:r>
        <w:rPr>
          <w:i/>
          <w:color w:val="231F20"/>
          <w:position w:val="-1"/>
          <w:sz w:val="9"/>
        </w:rPr>
        <w:t>7     </w:t>
      </w:r>
      <w:r>
        <w:rPr>
          <w:i/>
          <w:color w:val="231F20"/>
          <w:spacing w:val="18"/>
          <w:position w:val="-1"/>
          <w:sz w:val="9"/>
        </w:rPr>
        <w:t> </w:t>
      </w:r>
      <w:r>
        <w:rPr>
          <w:color w:val="231F20"/>
          <w:sz w:val="16"/>
        </w:rPr>
        <w:t>0.137</w:t>
      </w:r>
      <w:r>
        <w:rPr>
          <w:rFonts w:ascii="Lucida Sans Unicode" w:hAnsi="Lucida Sans Unicode"/>
          <w:color w:val="231F20"/>
          <w:position w:val="6"/>
          <w:sz w:val="9"/>
        </w:rPr>
        <w:t>∗∗    </w:t>
      </w:r>
      <w:r>
        <w:rPr>
          <w:rFonts w:ascii="Lucida Sans Unicode" w:hAnsi="Lucida Sans Unicode"/>
          <w:color w:val="231F20"/>
          <w:spacing w:val="11"/>
          <w:position w:val="6"/>
          <w:sz w:val="9"/>
        </w:rPr>
        <w:t> </w:t>
      </w:r>
      <w:r>
        <w:rPr>
          <w:color w:val="231F20"/>
          <w:sz w:val="16"/>
        </w:rPr>
        <w:t>2.02</w:t>
        <w:tab/>
        <w:t>0.250</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2.22</w:t>
        <w:tab/>
        <w:t>0.242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2.68</w:t>
      </w:r>
    </w:p>
    <w:p>
      <w:pPr>
        <w:tabs>
          <w:tab w:pos="2839" w:val="left" w:leader="none"/>
          <w:tab w:pos="5850" w:val="left" w:leader="none"/>
          <w:tab w:pos="6905" w:val="right" w:leader="none"/>
        </w:tabs>
        <w:spacing w:line="199" w:lineRule="exact" w:before="0"/>
        <w:ind w:left="532" w:right="0" w:firstLine="0"/>
        <w:jc w:val="left"/>
        <w:rPr>
          <w:sz w:val="16"/>
        </w:rPr>
      </w:pPr>
      <w:r>
        <w:rPr/>
        <w:pict>
          <v:shape style="position:absolute;margin-left:220.671005pt;margin-top:1.467251pt;width:174.1pt;height:14pt;mso-position-horizontal-relative:page;mso-position-vertical-relative:paragraph;z-index:-65776" type="#_x0000_t202" filled="false" stroked="false">
            <v:textbox inset="0,0,0,0">
              <w:txbxContent>
                <w:p>
                  <w:pPr>
                    <w:tabs>
                      <w:tab w:pos="764" w:val="left" w:leader="none"/>
                      <w:tab w:pos="2592" w:val="left" w:leader="none"/>
                      <w:tab w:pos="335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w:t>
        <w:tab/>
        <w:t>ß</w:t>
      </w:r>
      <w:r>
        <w:rPr>
          <w:i/>
          <w:color w:val="231F20"/>
          <w:position w:val="-1"/>
          <w:sz w:val="9"/>
        </w:rPr>
        <w:t>8     </w:t>
      </w:r>
      <w:r>
        <w:rPr>
          <w:i/>
          <w:color w:val="231F20"/>
          <w:spacing w:val="7"/>
          <w:position w:val="-1"/>
          <w:sz w:val="9"/>
        </w:rPr>
        <w:t> </w:t>
      </w:r>
      <w:r>
        <w:rPr>
          <w:color w:val="231F20"/>
          <w:sz w:val="16"/>
        </w:rPr>
        <w:t>0.018</w:t>
      </w:r>
      <w:r>
        <w:rPr>
          <w:rFonts w:ascii="Lucida Sans Unicode" w:hAnsi="Lucida Sans Unicode"/>
          <w:color w:val="231F20"/>
          <w:position w:val="6"/>
          <w:sz w:val="9"/>
        </w:rPr>
        <w:t>∗∗∗   </w:t>
      </w:r>
      <w:r>
        <w:rPr>
          <w:rFonts w:ascii="Lucida Sans Unicode" w:hAnsi="Lucida Sans Unicode"/>
          <w:color w:val="231F20"/>
          <w:spacing w:val="6"/>
          <w:position w:val="6"/>
          <w:sz w:val="9"/>
        </w:rPr>
        <w:t> </w:t>
      </w:r>
      <w:r>
        <w:rPr>
          <w:color w:val="231F20"/>
          <w:sz w:val="16"/>
        </w:rPr>
        <w:t>3.48</w:t>
        <w:tab/>
        <w:t>0.028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5.90</w:t>
      </w:r>
    </w:p>
    <w:p>
      <w:pPr>
        <w:tabs>
          <w:tab w:pos="2840" w:val="left" w:leader="none"/>
          <w:tab w:pos="4022"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404pt;width:6.3pt;height:14pt;mso-position-horizontal-relative:page;mso-position-vertical-relative:paragraph;z-index:-6580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5"/>
          <w:sz w:val="16"/>
        </w:rPr>
        <w:t> </w:t>
      </w:r>
      <w:r>
        <w:rPr>
          <w:i/>
          <w:color w:val="231F20"/>
          <w:sz w:val="16"/>
        </w:rPr>
        <w:t>CF</w:t>
        <w:tab/>
        <w:t>ß</w:t>
      </w:r>
      <w:r>
        <w:rPr>
          <w:i/>
          <w:color w:val="231F20"/>
          <w:position w:val="-1"/>
          <w:sz w:val="9"/>
        </w:rPr>
        <w:t>9      </w:t>
      </w:r>
      <w:r>
        <w:rPr>
          <w:i/>
          <w:color w:val="231F20"/>
          <w:spacing w:val="13"/>
          <w:position w:val="-1"/>
          <w:sz w:val="9"/>
        </w:rPr>
        <w:t> </w:t>
      </w:r>
      <w:r>
        <w:rPr>
          <w:color w:val="231F20"/>
          <w:sz w:val="16"/>
        </w:rPr>
        <w:t>0.072</w:t>
        <w:tab/>
        <w:t>1.64</w:t>
        <w:tab/>
        <w:t>0.068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1.76</w:t>
      </w:r>
    </w:p>
    <w:p>
      <w:pPr>
        <w:tabs>
          <w:tab w:pos="2840" w:val="left" w:leader="none"/>
          <w:tab w:pos="4022" w:val="left" w:leader="none"/>
          <w:tab w:pos="5850" w:val="left" w:leader="none"/>
          <w:tab w:pos="6905" w:val="right" w:leader="none"/>
        </w:tabs>
        <w:spacing w:line="199" w:lineRule="exact" w:before="0"/>
        <w:ind w:left="532" w:right="0" w:firstLine="0"/>
        <w:jc w:val="left"/>
        <w:rPr>
          <w:sz w:val="16"/>
        </w:rPr>
      </w:pPr>
      <w:r>
        <w:rPr/>
        <w:pict>
          <v:shape style="position:absolute;margin-left:118.72612pt;margin-top:1.467195pt;width:146.450pt;height:14pt;mso-position-horizontal-relative:page;mso-position-vertical-relative:paragraph;z-index:-65824" type="#_x0000_t202" filled="false" stroked="false">
            <v:textbox inset="0,0,0,0">
              <w:txbxContent>
                <w:p>
                  <w:pPr>
                    <w:tabs>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3"/>
          <w:sz w:val="16"/>
        </w:rPr>
        <w:t> </w:t>
      </w:r>
      <w:r>
        <w:rPr>
          <w:i/>
          <w:color w:val="231F20"/>
          <w:sz w:val="16"/>
        </w:rPr>
        <w:t>DCF</w:t>
        <w:tab/>
        <w:t>ß</w:t>
      </w:r>
      <w:r>
        <w:rPr>
          <w:i/>
          <w:color w:val="231F20"/>
          <w:position w:val="-1"/>
          <w:sz w:val="9"/>
        </w:rPr>
        <w:t>10     </w:t>
      </w:r>
      <w:r>
        <w:rPr>
          <w:i/>
          <w:color w:val="231F20"/>
          <w:spacing w:val="10"/>
          <w:position w:val="-1"/>
          <w:sz w:val="9"/>
        </w:rPr>
        <w:t> </w:t>
      </w:r>
      <w:r>
        <w:rPr>
          <w:color w:val="231F20"/>
          <w:sz w:val="16"/>
        </w:rPr>
        <w:t>0.012</w:t>
        <w:tab/>
        <w:t>1.13</w:t>
        <w:tab/>
        <w:t>0.021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1.99</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12pt;margin-top:1.467198pt;width:146.450pt;height:14pt;mso-position-horizontal-relative:page;mso-position-vertical-relative:paragraph;z-index:-65848" type="#_x0000_t202" filled="false" stroked="false">
            <v:textbox inset="0,0,0,0">
              <w:txbxContent>
                <w:p>
                  <w:pPr>
                    <w:tabs>
                      <w:tab w:pos="405" w:val="left" w:leader="none"/>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0"/>
          <w:sz w:val="16"/>
        </w:rPr>
        <w:t> </w:t>
      </w:r>
      <w:r>
        <w:rPr>
          <w:i/>
          <w:color w:val="231F20"/>
          <w:sz w:val="16"/>
        </w:rPr>
        <w:t>DCF </w:t>
      </w:r>
      <w:r>
        <w:rPr>
          <w:i/>
          <w:color w:val="231F20"/>
          <w:spacing w:val="10"/>
          <w:sz w:val="16"/>
        </w:rPr>
        <w:t> </w:t>
      </w:r>
      <w:r>
        <w:rPr>
          <w:i/>
          <w:color w:val="231F20"/>
          <w:sz w:val="16"/>
        </w:rPr>
        <w:t>CF</w:t>
        <w:tab/>
        <w:t>ß</w:t>
      </w:r>
      <w:r>
        <w:rPr>
          <w:i/>
          <w:color w:val="231F20"/>
          <w:position w:val="-1"/>
          <w:sz w:val="9"/>
        </w:rPr>
        <w:t>11    </w:t>
      </w:r>
      <w:r>
        <w:rPr>
          <w:i/>
          <w:color w:val="231F20"/>
          <w:spacing w:val="7"/>
          <w:position w:val="-1"/>
          <w:sz w:val="9"/>
        </w:rPr>
        <w:t> </w:t>
      </w:r>
      <w:r>
        <w:rPr>
          <w:color w:val="231F20"/>
          <w:sz w:val="16"/>
        </w:rPr>
        <w:t>0.430</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4.41</w:t>
        <w:tab/>
        <w:t>0.017</w:t>
        <w:tab/>
        <w:t>0.17</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158pt;margin-top:1.46735pt;width:6.3pt;height:14pt;mso-position-horizontal-relative:page;mso-position-vertical-relative:paragraph;z-index:-6587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0"/>
          <w:sz w:val="16"/>
        </w:rPr>
        <w:t> </w:t>
      </w:r>
      <w:r>
        <w:rPr>
          <w:i/>
          <w:color w:val="231F20"/>
          <w:sz w:val="16"/>
        </w:rPr>
        <w:t>POST</w:t>
        <w:tab/>
        <w:t>ß</w:t>
      </w:r>
      <w:r>
        <w:rPr>
          <w:i/>
          <w:color w:val="231F20"/>
          <w:position w:val="-1"/>
          <w:sz w:val="9"/>
        </w:rPr>
        <w:t>12    </w:t>
      </w:r>
      <w:r>
        <w:rPr>
          <w:i/>
          <w:color w:val="231F20"/>
          <w:spacing w:val="7"/>
          <w:position w:val="-1"/>
          <w:sz w:val="9"/>
        </w:rPr>
        <w:t> </w:t>
      </w:r>
      <w:r>
        <w:rPr>
          <w:color w:val="231F20"/>
          <w:sz w:val="16"/>
        </w:rPr>
        <w:t>0.020</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2.85</w:t>
        <w:tab/>
        <w:t>0.001</w:t>
        <w:tab/>
        <w:t>0.17</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6486pt;margin-top:1.467249pt;width:146.450pt;height:14pt;mso-position-horizontal-relative:page;mso-position-vertical-relative:paragraph;z-index:-65896" type="#_x0000_t202" filled="false" stroked="false">
            <v:textbox inset="0,0,0,0">
              <w:txbxContent>
                <w:p>
                  <w:pPr>
                    <w:tabs>
                      <w:tab w:pos="504" w:val="left" w:leader="none"/>
                      <w:tab w:pos="2038" w:val="left" w:leader="none"/>
                      <w:tab w:pos="28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POST </w:t>
      </w:r>
      <w:r>
        <w:rPr>
          <w:i/>
          <w:color w:val="231F20"/>
          <w:spacing w:val="15"/>
          <w:sz w:val="16"/>
        </w:rPr>
        <w:t> </w:t>
      </w:r>
      <w:r>
        <w:rPr>
          <w:i/>
          <w:color w:val="231F20"/>
          <w:sz w:val="16"/>
        </w:rPr>
        <w:t>CF</w:t>
        <w:tab/>
        <w:t>ß</w:t>
      </w:r>
      <w:r>
        <w:rPr>
          <w:i/>
          <w:color w:val="231F20"/>
          <w:position w:val="-1"/>
          <w:sz w:val="9"/>
        </w:rPr>
        <w:t>13     </w:t>
      </w:r>
      <w:r>
        <w:rPr>
          <w:i/>
          <w:color w:val="231F20"/>
          <w:spacing w:val="3"/>
          <w:position w:val="-1"/>
          <w:sz w:val="9"/>
        </w:rPr>
        <w:t> </w:t>
      </w:r>
      <w:r>
        <w:rPr>
          <w:color w:val="231F20"/>
          <w:sz w:val="16"/>
        </w:rPr>
        <w:t>0.116</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1.90</w:t>
        <w:tab/>
        <w:t>0.117</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1.89</w:t>
      </w:r>
    </w:p>
    <w:p>
      <w:pPr>
        <w:tabs>
          <w:tab w:pos="2840" w:val="left" w:leader="none"/>
          <w:tab w:pos="4022" w:val="left" w:leader="none"/>
          <w:tab w:pos="5850" w:val="left" w:leader="none"/>
          <w:tab w:pos="6905" w:val="right" w:leader="none"/>
        </w:tabs>
        <w:spacing w:line="197" w:lineRule="exact" w:before="1"/>
        <w:ind w:left="532" w:right="0" w:firstLine="0"/>
        <w:jc w:val="left"/>
        <w:rPr>
          <w:sz w:val="16"/>
        </w:rPr>
      </w:pPr>
      <w:r>
        <w:rPr/>
        <w:pict>
          <v:shape style="position:absolute;margin-left:118.72612pt;margin-top:1.38128pt;width:276.05pt;height:14pt;mso-position-horizontal-relative:page;mso-position-vertical-relative:paragraph;z-index:-65920" type="#_x0000_t202" filled="false" stroked="false">
            <v:textbox inset="0,0,0,0">
              <w:txbxContent>
                <w:p>
                  <w:pPr>
                    <w:tabs>
                      <w:tab w:pos="504" w:val="left" w:leader="none"/>
                      <w:tab w:pos="2038" w:val="left" w:leader="none"/>
                      <w:tab w:pos="2803"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7"/>
          <w:sz w:val="16"/>
        </w:rPr>
        <w:t> </w:t>
      </w:r>
      <w:r>
        <w:rPr>
          <w:i/>
          <w:color w:val="231F20"/>
          <w:sz w:val="16"/>
        </w:rPr>
        <w:t>POST </w:t>
      </w:r>
      <w:r>
        <w:rPr>
          <w:i/>
          <w:color w:val="231F20"/>
          <w:spacing w:val="7"/>
          <w:sz w:val="16"/>
        </w:rPr>
        <w:t> </w:t>
      </w:r>
      <w:r>
        <w:rPr>
          <w:i/>
          <w:color w:val="231F20"/>
          <w:sz w:val="16"/>
        </w:rPr>
        <w:t>DCF</w:t>
        <w:tab/>
        <w:t>ß</w:t>
      </w:r>
      <w:r>
        <w:rPr>
          <w:i/>
          <w:color w:val="231F20"/>
          <w:position w:val="-1"/>
          <w:sz w:val="9"/>
        </w:rPr>
        <w:t>14     </w:t>
      </w:r>
      <w:r>
        <w:rPr>
          <w:i/>
          <w:color w:val="231F20"/>
          <w:spacing w:val="10"/>
          <w:position w:val="-1"/>
          <w:sz w:val="9"/>
        </w:rPr>
        <w:t> </w:t>
      </w:r>
      <w:r>
        <w:rPr>
          <w:color w:val="231F20"/>
          <w:sz w:val="16"/>
        </w:rPr>
        <w:t>0.003</w:t>
        <w:tab/>
        <w:t>0.22</w:t>
        <w:tab/>
        <w:t>0.003</w:t>
        <w:tab/>
        <w:t>0.17</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6822pt;margin-top:1.467358pt;width:51.85pt;height:14pt;mso-position-horizontal-relative:page;mso-position-vertical-relative:paragraph;z-index:-65944" type="#_x0000_t202" filled="false" stroked="false">
            <v:textbox inset="0,0,0,0">
              <w:txbxContent>
                <w:p>
                  <w:pPr>
                    <w:tabs>
                      <w:tab w:pos="504" w:val="left" w:leader="none"/>
                      <w:tab w:pos="91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POST</w:t>
      </w:r>
      <w:r>
        <w:rPr>
          <w:i/>
          <w:color w:val="231F20"/>
          <w:spacing w:val="25"/>
          <w:sz w:val="16"/>
        </w:rPr>
        <w:t> </w:t>
      </w:r>
      <w:r>
        <w:rPr>
          <w:i/>
          <w:color w:val="231F20"/>
          <w:sz w:val="16"/>
        </w:rPr>
        <w:t>DCF </w:t>
      </w:r>
      <w:r>
        <w:rPr>
          <w:i/>
          <w:color w:val="231F20"/>
          <w:spacing w:val="12"/>
          <w:sz w:val="16"/>
        </w:rPr>
        <w:t> </w:t>
      </w:r>
      <w:r>
        <w:rPr>
          <w:i/>
          <w:color w:val="231F20"/>
          <w:sz w:val="16"/>
        </w:rPr>
        <w:t>CF</w:t>
        <w:tab/>
        <w:t>ß</w:t>
      </w:r>
      <w:r>
        <w:rPr>
          <w:i/>
          <w:color w:val="231F20"/>
          <w:position w:val="-1"/>
          <w:sz w:val="9"/>
        </w:rPr>
        <w:t>15    </w:t>
      </w:r>
      <w:r>
        <w:rPr>
          <w:i/>
          <w:color w:val="231F20"/>
          <w:spacing w:val="7"/>
          <w:position w:val="-1"/>
          <w:sz w:val="9"/>
        </w:rPr>
        <w:t> </w:t>
      </w:r>
      <w:r>
        <w:rPr>
          <w:color w:val="231F20"/>
          <w:sz w:val="16"/>
        </w:rPr>
        <w:t>0.448</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3.47</w:t>
        <w:tab/>
        <w:t>0.014</w:t>
        <w:tab/>
        <w:t>0.09</w:t>
      </w:r>
    </w:p>
    <w:p>
      <w:pPr>
        <w:tabs>
          <w:tab w:pos="2840" w:val="left" w:leader="none"/>
          <w:tab w:pos="4554" w:val="left" w:leader="none"/>
          <w:tab w:pos="5850" w:val="left" w:leader="none"/>
          <w:tab w:pos="6905" w:val="right" w:leader="none"/>
        </w:tabs>
        <w:spacing w:line="202" w:lineRule="exact" w:before="0"/>
        <w:ind w:left="532" w:right="0" w:firstLine="0"/>
        <w:jc w:val="left"/>
        <w:rPr>
          <w:sz w:val="16"/>
        </w:rPr>
      </w:pPr>
      <w:r>
        <w:rPr/>
        <w:pict>
          <v:shape style="position:absolute;margin-left:350.288452pt;margin-top:1.467211pt;width:44.5pt;height:14pt;mso-position-horizontal-relative:page;mso-position-vertical-relative:paragraph;z-index:-65968" type="#_x0000_t202" filled="false" stroked="false">
            <v:textbox inset="0,0,0,0">
              <w:txbxContent>
                <w:p>
                  <w:pPr>
                    <w:tabs>
                      <w:tab w:pos="76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DEL</w:t>
        <w:tab/>
        <w:t>ß</w:t>
      </w:r>
      <w:r>
        <w:rPr>
          <w:i/>
          <w:color w:val="231F20"/>
          <w:position w:val="-1"/>
          <w:sz w:val="9"/>
        </w:rPr>
        <w:t>16</w:t>
        <w:tab/>
      </w:r>
      <w:r>
        <w:rPr>
          <w:color w:val="231F20"/>
          <w:sz w:val="16"/>
        </w:rPr>
        <w:t>0.010</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1.65</w:t>
        <w:tab/>
        <w:t>0.005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1.76</w:t>
      </w:r>
    </w:p>
    <w:p>
      <w:pPr>
        <w:tabs>
          <w:tab w:pos="2840" w:val="left" w:leader="none"/>
          <w:tab w:pos="4554" w:val="left" w:leader="none"/>
          <w:tab w:pos="5318" w:val="left" w:leader="none"/>
          <w:tab w:pos="5850" w:val="left" w:leader="none"/>
          <w:tab w:pos="6905" w:val="right" w:leader="none"/>
        </w:tabs>
        <w:spacing w:before="0"/>
        <w:ind w:left="532" w:right="0" w:firstLine="0"/>
        <w:jc w:val="left"/>
        <w:rPr>
          <w:sz w:val="16"/>
        </w:rPr>
      </w:pPr>
      <w:r>
        <w:rPr/>
        <w:pict>
          <v:shape style="position:absolute;margin-left:105.15403pt;margin-top:1.331442pt;width:6.3pt;height:14pt;mso-position-horizontal-relative:page;mso-position-vertical-relative:paragraph;z-index:-6599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DEL </w:t>
      </w:r>
      <w:r>
        <w:rPr>
          <w:i/>
          <w:color w:val="231F20"/>
          <w:spacing w:val="21"/>
          <w:sz w:val="16"/>
        </w:rPr>
        <w:t> </w:t>
      </w:r>
      <w:r>
        <w:rPr>
          <w:i/>
          <w:color w:val="231F20"/>
          <w:sz w:val="16"/>
        </w:rPr>
        <w:t>CF</w:t>
        <w:tab/>
        <w:t>ß</w:t>
      </w:r>
      <w:r>
        <w:rPr>
          <w:i/>
          <w:color w:val="231F20"/>
          <w:position w:val="-1"/>
          <w:sz w:val="9"/>
        </w:rPr>
        <w:t>17</w:t>
        <w:tab/>
      </w:r>
      <w:r>
        <w:rPr>
          <w:color w:val="231F20"/>
          <w:sz w:val="16"/>
        </w:rPr>
        <w:t>0.041</w:t>
        <w:tab/>
        <w:t>0.79</w:t>
        <w:tab/>
        <w:t>0.037</w:t>
        <w:tab/>
        <w:t>1.60</w:t>
      </w:r>
    </w:p>
    <w:p>
      <w:pPr>
        <w:tabs>
          <w:tab w:pos="2840" w:val="left" w:leader="none"/>
          <w:tab w:pos="4554" w:val="left" w:leader="none"/>
          <w:tab w:pos="5318" w:val="left" w:leader="none"/>
          <w:tab w:pos="5850" w:val="left" w:leader="none"/>
          <w:tab w:pos="6988" w:val="right" w:leader="none"/>
        </w:tabs>
        <w:spacing w:line="197" w:lineRule="exact" w:before="0"/>
        <w:ind w:left="532" w:right="0" w:firstLine="0"/>
        <w:jc w:val="left"/>
        <w:rPr>
          <w:sz w:val="16"/>
        </w:rPr>
      </w:pPr>
      <w:r>
        <w:rPr/>
        <w:pict>
          <v:shape style="position:absolute;margin-left:105.154808pt;margin-top:1.331385pt;width:224.8pt;height:14pt;mso-position-horizontal-relative:page;mso-position-vertical-relative:paragraph;z-index:-66016" type="#_x0000_t202" filled="false" stroked="false">
            <v:textbox inset="0,0,0,0">
              <w:txbxContent>
                <w:p>
                  <w:pPr>
                    <w:tabs>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0"/>
          <w:sz w:val="16"/>
        </w:rPr>
        <w:t> </w:t>
      </w:r>
      <w:r>
        <w:rPr>
          <w:i/>
          <w:color w:val="231F20"/>
          <w:sz w:val="16"/>
        </w:rPr>
        <w:t>DCF</w:t>
        <w:tab/>
        <w:t>ß</w:t>
      </w:r>
      <w:r>
        <w:rPr>
          <w:i/>
          <w:color w:val="231F20"/>
          <w:position w:val="-1"/>
          <w:sz w:val="9"/>
        </w:rPr>
        <w:t>18</w:t>
        <w:tab/>
      </w:r>
      <w:r>
        <w:rPr>
          <w:color w:val="231F20"/>
          <w:sz w:val="16"/>
        </w:rPr>
        <w:t>0.017</w:t>
        <w:tab/>
        <w:t>1.45</w:t>
        <w:tab/>
        <w:t>0.011</w:t>
        <w:tab/>
        <w:t>1.320</w:t>
      </w:r>
    </w:p>
    <w:p>
      <w:pPr>
        <w:tabs>
          <w:tab w:pos="2840" w:val="left" w:leader="none"/>
          <w:tab w:pos="4554" w:val="left" w:leader="none"/>
          <w:tab w:pos="5318" w:val="left" w:leader="none"/>
          <w:tab w:pos="5850" w:val="left" w:leader="none"/>
          <w:tab w:pos="6905" w:val="right" w:leader="none"/>
        </w:tabs>
        <w:spacing w:line="199" w:lineRule="exact" w:before="0"/>
        <w:ind w:left="532" w:right="0" w:firstLine="0"/>
        <w:jc w:val="left"/>
        <w:rPr>
          <w:sz w:val="16"/>
        </w:rPr>
      </w:pPr>
      <w:r>
        <w:rPr/>
        <w:pict>
          <v:shape style="position:absolute;margin-left:105.15448pt;margin-top:1.467152pt;width:224.8pt;height:14pt;mso-position-horizontal-relative:page;mso-position-vertical-relative:paragraph;z-index:-66040" type="#_x0000_t202" filled="false" stroked="false">
            <v:textbox inset="0,0,0,0">
              <w:txbxContent>
                <w:p>
                  <w:pPr>
                    <w:tabs>
                      <w:tab w:pos="405" w:val="left" w:leader="none"/>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5"/>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19</w:t>
        <w:tab/>
      </w:r>
      <w:r>
        <w:rPr>
          <w:color w:val="231F20"/>
          <w:sz w:val="16"/>
        </w:rPr>
        <w:t>0.155</w:t>
        <w:tab/>
        <w:t>1.39</w:t>
        <w:tab/>
        <w:t>0.255</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3.29</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105.154358pt;margin-top:1.467254pt;width:289.6pt;height:14pt;mso-position-horizontal-relative:page;mso-position-vertical-relative:paragraph;z-index:-66064" type="#_x0000_t202" filled="false" stroked="false">
            <v:textbox inset="0,0,0,0">
              <w:txbxContent>
                <w:p>
                  <w:pPr>
                    <w:tabs>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6"/>
          <w:sz w:val="16"/>
        </w:rPr>
        <w:t> </w:t>
      </w:r>
      <w:r>
        <w:rPr>
          <w:i/>
          <w:color w:val="231F20"/>
          <w:sz w:val="16"/>
        </w:rPr>
        <w:t>POST</w:t>
        <w:tab/>
        <w:t>ß</w:t>
      </w:r>
      <w:r>
        <w:rPr>
          <w:i/>
          <w:color w:val="231F20"/>
          <w:position w:val="-1"/>
          <w:sz w:val="9"/>
        </w:rPr>
        <w:t>20</w:t>
        <w:tab/>
      </w:r>
      <w:r>
        <w:rPr>
          <w:color w:val="231F20"/>
          <w:sz w:val="16"/>
        </w:rPr>
        <w:t>0.018</w:t>
      </w:r>
      <w:r>
        <w:rPr>
          <w:rFonts w:ascii="Lucida Sans Unicode" w:hAnsi="Lucida Sans Unicode"/>
          <w:color w:val="231F20"/>
          <w:position w:val="6"/>
          <w:sz w:val="9"/>
        </w:rPr>
        <w:t>∗     </w:t>
      </w:r>
      <w:r>
        <w:rPr>
          <w:rFonts w:ascii="Lucida Sans Unicode" w:hAnsi="Lucida Sans Unicode"/>
          <w:color w:val="231F20"/>
          <w:spacing w:val="20"/>
          <w:position w:val="6"/>
          <w:sz w:val="9"/>
        </w:rPr>
        <w:t> </w:t>
      </w:r>
      <w:r>
        <w:rPr>
          <w:color w:val="231F20"/>
          <w:sz w:val="16"/>
        </w:rPr>
        <w:t>1.93</w:t>
        <w:tab/>
        <w:t>0.002</w:t>
        <w:tab/>
        <w:t>0.56</w:t>
      </w:r>
    </w:p>
    <w:p>
      <w:pPr>
        <w:tabs>
          <w:tab w:pos="2840" w:val="left" w:leader="none"/>
          <w:tab w:pos="4554" w:val="left" w:leader="none"/>
          <w:tab w:pos="5850" w:val="left" w:leader="none"/>
          <w:tab w:pos="6905" w:val="right" w:leader="none"/>
        </w:tabs>
        <w:spacing w:line="202" w:lineRule="exact" w:before="0"/>
        <w:ind w:left="532" w:right="0" w:firstLine="0"/>
        <w:jc w:val="left"/>
        <w:rPr>
          <w:sz w:val="16"/>
        </w:rPr>
      </w:pPr>
      <w:r>
        <w:rPr/>
        <w:pict>
          <v:shape style="position:absolute;margin-left:105.154152pt;margin-top:1.467257pt;width:224.8pt;height:14pt;mso-position-horizontal-relative:page;mso-position-vertical-relative:paragraph;z-index:-66088" type="#_x0000_t202" filled="false" stroked="false">
            <v:textbox inset="0,0,0,0">
              <w:txbxContent>
                <w:p>
                  <w:pPr>
                    <w:tabs>
                      <w:tab w:pos="504" w:val="left" w:leader="none"/>
                      <w:tab w:pos="3606" w:val="left" w:leader="none"/>
                      <w:tab w:pos="4371"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20"/>
          <w:sz w:val="16"/>
        </w:rPr>
        <w:t> </w:t>
      </w:r>
      <w:r>
        <w:rPr>
          <w:i/>
          <w:color w:val="231F20"/>
          <w:sz w:val="16"/>
        </w:rPr>
        <w:t>POST </w:t>
      </w:r>
      <w:r>
        <w:rPr>
          <w:i/>
          <w:color w:val="231F20"/>
          <w:spacing w:val="20"/>
          <w:sz w:val="16"/>
        </w:rPr>
        <w:t> </w:t>
      </w:r>
      <w:r>
        <w:rPr>
          <w:i/>
          <w:color w:val="231F20"/>
          <w:sz w:val="16"/>
        </w:rPr>
        <w:t>CF</w:t>
        <w:tab/>
        <w:t>ß</w:t>
      </w:r>
      <w:r>
        <w:rPr>
          <w:i/>
          <w:color w:val="231F20"/>
          <w:position w:val="-1"/>
          <w:sz w:val="9"/>
        </w:rPr>
        <w:t>21</w:t>
        <w:tab/>
      </w:r>
      <w:r>
        <w:rPr>
          <w:color w:val="231F20"/>
          <w:sz w:val="16"/>
        </w:rPr>
        <w:t>0.246</w:t>
      </w:r>
      <w:r>
        <w:rPr>
          <w:rFonts w:ascii="Lucida Sans Unicode" w:hAnsi="Lucida Sans Unicode"/>
          <w:color w:val="231F20"/>
          <w:position w:val="6"/>
          <w:sz w:val="9"/>
        </w:rPr>
        <w:t>∗∗∗  </w:t>
      </w:r>
      <w:r>
        <w:rPr>
          <w:rFonts w:ascii="Lucida Sans Unicode" w:hAnsi="Lucida Sans Unicode"/>
          <w:color w:val="231F20"/>
          <w:spacing w:val="25"/>
          <w:position w:val="6"/>
          <w:sz w:val="9"/>
        </w:rPr>
        <w:t> </w:t>
      </w:r>
      <w:r>
        <w:rPr>
          <w:color w:val="231F20"/>
          <w:sz w:val="16"/>
        </w:rPr>
        <w:t>3.10</w:t>
        <w:tab/>
        <w:t>0.005</w:t>
        <w:tab/>
        <w:t>0.15</w:t>
      </w:r>
    </w:p>
    <w:p>
      <w:pPr>
        <w:tabs>
          <w:tab w:pos="2840" w:val="left" w:leader="none"/>
          <w:tab w:pos="4554" w:val="left" w:leader="none"/>
          <w:tab w:pos="5318" w:val="left" w:leader="none"/>
          <w:tab w:pos="5850" w:val="left" w:leader="none"/>
          <w:tab w:pos="6905" w:val="right" w:leader="none"/>
        </w:tabs>
        <w:spacing w:line="197" w:lineRule="exact" w:before="1"/>
        <w:ind w:left="532" w:right="0" w:firstLine="0"/>
        <w:jc w:val="left"/>
        <w:rPr>
          <w:sz w:val="16"/>
        </w:rPr>
      </w:pPr>
      <w:r>
        <w:rPr/>
        <w:pict>
          <v:shape style="position:absolute;margin-left:105.154617pt;margin-top:1.381173pt;width:289.6pt;height:14pt;mso-position-horizontal-relative:page;mso-position-vertical-relative:paragraph;z-index:-66112" type="#_x0000_t202" filled="false" stroked="false">
            <v:textbox inset="0,0,0,0">
              <w:txbxContent>
                <w:p>
                  <w:pPr>
                    <w:tabs>
                      <w:tab w:pos="504" w:val="left" w:leader="none"/>
                      <w:tab w:pos="3606" w:val="left" w:leader="none"/>
                      <w:tab w:pos="4371" w:val="left" w:leader="none"/>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r>
                  <w:r>
                    <w:rPr>
                      <w:rFonts w:ascii="Lucida Sans Unicode" w:hAnsi="Lucida Sans Unicode"/>
                      <w:color w:val="231F20"/>
                      <w:w w:val="95"/>
                      <w:sz w:val="16"/>
                    </w:rPr>
                    <w:t>−</w:t>
                  </w:r>
                </w:p>
              </w:txbxContent>
            </v:textbox>
            <w10:wrap type="none"/>
          </v:shape>
        </w:pict>
      </w:r>
      <w:r>
        <w:rPr>
          <w:i/>
          <w:color w:val="231F20"/>
          <w:sz w:val="16"/>
        </w:rPr>
        <w:t>DEL </w:t>
      </w:r>
      <w:r>
        <w:rPr>
          <w:i/>
          <w:color w:val="231F20"/>
          <w:spacing w:val="12"/>
          <w:sz w:val="16"/>
        </w:rPr>
        <w:t> </w:t>
      </w:r>
      <w:r>
        <w:rPr>
          <w:i/>
          <w:color w:val="231F20"/>
          <w:sz w:val="16"/>
        </w:rPr>
        <w:t>POST </w:t>
      </w:r>
      <w:r>
        <w:rPr>
          <w:i/>
          <w:color w:val="231F20"/>
          <w:spacing w:val="12"/>
          <w:sz w:val="16"/>
        </w:rPr>
        <w:t> </w:t>
      </w:r>
      <w:r>
        <w:rPr>
          <w:i/>
          <w:color w:val="231F20"/>
          <w:sz w:val="16"/>
        </w:rPr>
        <w:t>DCF</w:t>
        <w:tab/>
        <w:t>ß</w:t>
      </w:r>
      <w:r>
        <w:rPr>
          <w:i/>
          <w:color w:val="231F20"/>
          <w:position w:val="-1"/>
          <w:sz w:val="9"/>
        </w:rPr>
        <w:t>22</w:t>
        <w:tab/>
      </w:r>
      <w:r>
        <w:rPr>
          <w:color w:val="231F20"/>
          <w:sz w:val="16"/>
        </w:rPr>
        <w:t>0.016</w:t>
        <w:tab/>
        <w:t>0.94</w:t>
        <w:tab/>
        <w:t>0.014</w:t>
        <w:tab/>
        <w:t>1.17</w:t>
      </w:r>
    </w:p>
    <w:p>
      <w:pPr>
        <w:tabs>
          <w:tab w:pos="2840" w:val="left" w:leader="none"/>
          <w:tab w:pos="4554" w:val="left" w:leader="none"/>
          <w:tab w:pos="5850" w:val="left" w:leader="none"/>
          <w:tab w:pos="6905" w:val="right" w:leader="none"/>
        </w:tabs>
        <w:spacing w:line="199" w:lineRule="exact" w:before="0"/>
        <w:ind w:left="532" w:right="0" w:firstLine="0"/>
        <w:jc w:val="left"/>
        <w:rPr>
          <w:sz w:val="16"/>
        </w:rPr>
      </w:pPr>
      <w:r>
        <w:rPr/>
        <w:pict>
          <v:shape style="position:absolute;margin-left:105.15448pt;margin-top:1.467247pt;width:289.6pt;height:14pt;mso-position-horizontal-relative:page;mso-position-vertical-relative:paragraph;z-index:-66184" type="#_x0000_t202" filled="false" stroked="false">
            <v:textbox inset="0,0,0,0">
              <w:txbxContent>
                <w:p>
                  <w:pPr>
                    <w:tabs>
                      <w:tab w:pos="504" w:val="left" w:leader="none"/>
                      <w:tab w:pos="911" w:val="left" w:leader="none"/>
                      <w:tab w:pos="4902" w:val="left" w:leader="none"/>
                      <w:tab w:pos="5667"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DEL   POST</w:t>
      </w:r>
      <w:r>
        <w:rPr>
          <w:i/>
          <w:color w:val="231F20"/>
          <w:spacing w:val="31"/>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23</w:t>
        <w:tab/>
      </w:r>
      <w:r>
        <w:rPr>
          <w:color w:val="231F20"/>
          <w:sz w:val="16"/>
        </w:rPr>
        <w:t>0.343</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color w:val="231F20"/>
          <w:sz w:val="16"/>
        </w:rPr>
        <w:t>2.17</w:t>
        <w:tab/>
        <w:t>0.110</w:t>
        <w:tab/>
        <w:t>1.02</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5906pt;margin-top:1.467399pt;width:6.3pt;height:14pt;mso-position-horizontal-relative:page;mso-position-vertical-relative:paragraph;z-index:-662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HEDF93 </w:t>
      </w:r>
      <w:r>
        <w:rPr>
          <w:i/>
          <w:color w:val="231F20"/>
          <w:spacing w:val="15"/>
          <w:sz w:val="16"/>
        </w:rPr>
        <w:t> </w:t>
      </w:r>
      <w:r>
        <w:rPr>
          <w:i/>
          <w:color w:val="231F20"/>
          <w:sz w:val="16"/>
        </w:rPr>
        <w:t>DEL</w:t>
        <w:tab/>
        <w:t>ß</w:t>
      </w:r>
      <w:r>
        <w:rPr>
          <w:i/>
          <w:color w:val="231F20"/>
          <w:position w:val="-1"/>
          <w:sz w:val="9"/>
        </w:rPr>
        <w:t>24</w:t>
        <w:tab/>
      </w:r>
      <w:r>
        <w:rPr>
          <w:color w:val="231F20"/>
          <w:sz w:val="16"/>
        </w:rPr>
        <w:t>0.012</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1.75</w:t>
      </w:r>
    </w:p>
    <w:p>
      <w:pPr>
        <w:tabs>
          <w:tab w:pos="2840" w:val="left" w:leader="none"/>
          <w:tab w:pos="5850" w:val="left" w:leader="none"/>
          <w:tab w:pos="6905" w:val="right" w:leader="none"/>
        </w:tabs>
        <w:spacing w:line="197" w:lineRule="exact" w:before="0"/>
        <w:ind w:left="532" w:right="0" w:firstLine="0"/>
        <w:jc w:val="left"/>
        <w:rPr>
          <w:sz w:val="16"/>
        </w:rPr>
      </w:pPr>
      <w:r>
        <w:rPr/>
        <w:pict>
          <v:shape style="position:absolute;margin-left:118.72612pt;margin-top:1.331387pt;width:276.05pt;height:14pt;mso-position-horizontal-relative:page;mso-position-vertical-relative:paragraph;z-index:-66232" type="#_x0000_t202" filled="false" stroked="false">
            <v:textbox inset="0,0,0,0">
              <w:txbxContent>
                <w:p>
                  <w:pPr>
                    <w:tabs>
                      <w:tab w:pos="415"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7"/>
          <w:sz w:val="16"/>
        </w:rPr>
        <w:t> </w:t>
      </w:r>
      <w:r>
        <w:rPr>
          <w:i/>
          <w:color w:val="231F20"/>
          <w:sz w:val="16"/>
        </w:rPr>
        <w:t>DEL </w:t>
      </w:r>
      <w:r>
        <w:rPr>
          <w:i/>
          <w:color w:val="231F20"/>
          <w:spacing w:val="17"/>
          <w:sz w:val="16"/>
        </w:rPr>
        <w:t> </w:t>
      </w:r>
      <w:r>
        <w:rPr>
          <w:i/>
          <w:color w:val="231F20"/>
          <w:sz w:val="16"/>
        </w:rPr>
        <w:t>CF</w:t>
        <w:tab/>
        <w:t>ß</w:t>
      </w:r>
      <w:r>
        <w:rPr>
          <w:i/>
          <w:color w:val="231F20"/>
          <w:position w:val="-1"/>
          <w:sz w:val="9"/>
        </w:rPr>
        <w:t>25</w:t>
        <w:tab/>
      </w:r>
      <w:r>
        <w:rPr>
          <w:color w:val="231F20"/>
          <w:sz w:val="16"/>
        </w:rPr>
        <w:t>0.001</w:t>
        <w:tab/>
        <w:t>0.02</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647pt;margin-top:1.467254pt;width:276.05pt;height:14pt;mso-position-horizontal-relative:page;mso-position-vertical-relative:paragraph;z-index:-66256" type="#_x0000_t202" filled="false" stroked="false">
            <v:textbox inset="0,0,0,0">
              <w:txbxContent>
                <w:p>
                  <w:pPr>
                    <w:tabs>
                      <w:tab w:pos="415"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0"/>
          <w:sz w:val="16"/>
        </w:rPr>
        <w:t> </w:t>
      </w:r>
      <w:r>
        <w:rPr>
          <w:i/>
          <w:color w:val="231F20"/>
          <w:sz w:val="16"/>
        </w:rPr>
        <w:t>DEL </w:t>
      </w:r>
      <w:r>
        <w:rPr>
          <w:i/>
          <w:color w:val="231F20"/>
          <w:spacing w:val="10"/>
          <w:sz w:val="16"/>
        </w:rPr>
        <w:t> </w:t>
      </w:r>
      <w:r>
        <w:rPr>
          <w:i/>
          <w:color w:val="231F20"/>
          <w:sz w:val="16"/>
        </w:rPr>
        <w:t>DCF</w:t>
        <w:tab/>
        <w:t>ß</w:t>
      </w:r>
      <w:r>
        <w:rPr>
          <w:i/>
          <w:color w:val="231F20"/>
          <w:position w:val="-1"/>
          <w:sz w:val="9"/>
        </w:rPr>
        <w:t>26</w:t>
        <w:tab/>
      </w:r>
      <w:r>
        <w:rPr>
          <w:color w:val="231F20"/>
          <w:sz w:val="16"/>
        </w:rPr>
        <w:t>0.031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2.14</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096pt;width:276.05pt;height:14pt;mso-position-horizontal-relative:page;mso-position-vertical-relative:paragraph;z-index:-66280" type="#_x0000_t202" filled="false" stroked="false">
            <v:textbox inset="0,0,0,0">
              <w:txbxContent>
                <w:p>
                  <w:pPr>
                    <w:tabs>
                      <w:tab w:pos="415" w:val="left" w:leader="none"/>
                      <w:tab w:pos="821"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0"/>
          <w:sz w:val="16"/>
        </w:rPr>
        <w:t> </w:t>
      </w:r>
      <w:r>
        <w:rPr>
          <w:i/>
          <w:color w:val="231F20"/>
          <w:sz w:val="16"/>
        </w:rPr>
        <w:t>DCF </w:t>
      </w:r>
      <w:r>
        <w:rPr>
          <w:i/>
          <w:color w:val="231F20"/>
          <w:spacing w:val="15"/>
          <w:sz w:val="16"/>
        </w:rPr>
        <w:t> </w:t>
      </w:r>
      <w:r>
        <w:rPr>
          <w:i/>
          <w:color w:val="231F20"/>
          <w:sz w:val="16"/>
        </w:rPr>
        <w:t>CF</w:t>
        <w:tab/>
        <w:t>ß</w:t>
      </w:r>
      <w:r>
        <w:rPr>
          <w:i/>
          <w:color w:val="231F20"/>
          <w:position w:val="-1"/>
          <w:sz w:val="9"/>
        </w:rPr>
        <w:t>27</w:t>
        <w:tab/>
      </w:r>
      <w:r>
        <w:rPr>
          <w:color w:val="231F20"/>
          <w:sz w:val="16"/>
        </w:rPr>
        <w:t>0.424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3.04</w:t>
      </w:r>
    </w:p>
    <w:p>
      <w:pPr>
        <w:tabs>
          <w:tab w:pos="2840" w:val="left" w:leader="none"/>
          <w:tab w:pos="5850" w:val="left" w:leader="none"/>
          <w:tab w:pos="6905" w:val="right" w:leader="none"/>
        </w:tabs>
        <w:spacing w:line="199" w:lineRule="exact" w:before="0"/>
        <w:ind w:left="532" w:right="0" w:firstLine="0"/>
        <w:jc w:val="left"/>
        <w:rPr>
          <w:sz w:val="16"/>
        </w:rPr>
      </w:pPr>
      <w:r>
        <w:rPr/>
        <w:pict>
          <v:shape style="position:absolute;margin-left:118.725792pt;margin-top:1.467294pt;width:27.05pt;height:14pt;mso-position-horizontal-relative:page;mso-position-vertical-relative:paragraph;z-index:-66304"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HEDF93 </w:t>
      </w:r>
      <w:r>
        <w:rPr>
          <w:i/>
          <w:color w:val="231F20"/>
          <w:spacing w:val="15"/>
          <w:sz w:val="16"/>
        </w:rPr>
        <w:t> </w:t>
      </w:r>
      <w:r>
        <w:rPr>
          <w:i/>
          <w:color w:val="231F20"/>
          <w:sz w:val="16"/>
        </w:rPr>
        <w:t>DEL </w:t>
      </w:r>
      <w:r>
        <w:rPr>
          <w:i/>
          <w:color w:val="231F20"/>
          <w:spacing w:val="15"/>
          <w:sz w:val="16"/>
        </w:rPr>
        <w:t> </w:t>
      </w:r>
      <w:r>
        <w:rPr>
          <w:i/>
          <w:color w:val="231F20"/>
          <w:sz w:val="16"/>
        </w:rPr>
        <w:t>POST</w:t>
        <w:tab/>
        <w:t>ß</w:t>
      </w:r>
      <w:r>
        <w:rPr>
          <w:i/>
          <w:color w:val="231F20"/>
          <w:position w:val="-1"/>
          <w:sz w:val="9"/>
        </w:rPr>
        <w:t>28</w:t>
        <w:tab/>
      </w:r>
      <w:r>
        <w:rPr>
          <w:color w:val="231F20"/>
          <w:sz w:val="16"/>
        </w:rPr>
        <w:t>0.018</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1.72</w:t>
      </w:r>
    </w:p>
    <w:p>
      <w:pPr>
        <w:tabs>
          <w:tab w:pos="2840" w:val="left" w:leader="none"/>
          <w:tab w:pos="5850" w:val="left" w:leader="none"/>
          <w:tab w:pos="6905" w:val="right" w:leader="none"/>
        </w:tabs>
        <w:spacing w:line="202" w:lineRule="exact" w:before="0"/>
        <w:ind w:left="532" w:right="0" w:firstLine="0"/>
        <w:jc w:val="left"/>
        <w:rPr>
          <w:sz w:val="16"/>
        </w:rPr>
      </w:pPr>
      <w:r>
        <w:rPr/>
        <w:pict>
          <v:shape style="position:absolute;margin-left:118.72612pt;margin-top:1.467147pt;width:276.05pt;height:14pt;mso-position-horizontal-relative:page;mso-position-vertical-relative:paragraph;z-index:-66328" type="#_x0000_t202" filled="false" stroked="false">
            <v:textbox inset="0,0,0,0">
              <w:txbxContent>
                <w:p>
                  <w:pPr>
                    <w:tabs>
                      <w:tab w:pos="415" w:val="left" w:leader="none"/>
                      <w:tab w:pos="920" w:val="left" w:leader="none"/>
                      <w:tab w:pos="4631" w:val="left" w:leader="none"/>
                      <w:tab w:pos="539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35"/>
          <w:sz w:val="16"/>
        </w:rPr>
        <w:t> </w:t>
      </w:r>
      <w:r>
        <w:rPr>
          <w:i/>
          <w:color w:val="231F20"/>
          <w:sz w:val="16"/>
        </w:rPr>
        <w:t>POST </w:t>
      </w:r>
      <w:r>
        <w:rPr>
          <w:i/>
          <w:color w:val="231F20"/>
          <w:spacing w:val="16"/>
          <w:sz w:val="16"/>
        </w:rPr>
        <w:t> </w:t>
      </w:r>
      <w:r>
        <w:rPr>
          <w:i/>
          <w:color w:val="231F20"/>
          <w:sz w:val="16"/>
        </w:rPr>
        <w:t>CF</w:t>
        <w:tab/>
        <w:t>ß</w:t>
      </w:r>
      <w:r>
        <w:rPr>
          <w:i/>
          <w:color w:val="231F20"/>
          <w:position w:val="-1"/>
          <w:sz w:val="9"/>
        </w:rPr>
        <w:t>29</w:t>
        <w:tab/>
      </w:r>
      <w:r>
        <w:rPr>
          <w:color w:val="231F20"/>
          <w:sz w:val="16"/>
        </w:rPr>
        <w:t>0.221</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2.57</w:t>
      </w:r>
    </w:p>
    <w:p>
      <w:pPr>
        <w:tabs>
          <w:tab w:pos="2840" w:val="left" w:leader="none"/>
          <w:tab w:pos="5850" w:val="left" w:leader="none"/>
          <w:tab w:pos="6905" w:val="right" w:leader="none"/>
        </w:tabs>
        <w:spacing w:line="197" w:lineRule="exact" w:before="1"/>
        <w:ind w:left="532" w:right="0" w:firstLine="0"/>
        <w:jc w:val="left"/>
        <w:rPr>
          <w:sz w:val="16"/>
        </w:rPr>
      </w:pPr>
      <w:r>
        <w:rPr/>
        <w:pict>
          <v:shape style="position:absolute;margin-left:118.725792pt;margin-top:1.381435pt;width:52.3pt;height:14pt;mso-position-horizontal-relative:page;mso-position-vertical-relative:paragraph;z-index:-66352" type="#_x0000_t202" filled="false" stroked="false">
            <v:textbox inset="0,0,0,0">
              <w:txbxContent>
                <w:p>
                  <w:pPr>
                    <w:tabs>
                      <w:tab w:pos="415"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HEDF93   DEL</w:t>
      </w:r>
      <w:r>
        <w:rPr>
          <w:i/>
          <w:color w:val="231F20"/>
          <w:spacing w:val="25"/>
          <w:sz w:val="16"/>
        </w:rPr>
        <w:t> </w:t>
      </w:r>
      <w:r>
        <w:rPr>
          <w:i/>
          <w:color w:val="231F20"/>
          <w:sz w:val="16"/>
        </w:rPr>
        <w:t>POST </w:t>
      </w:r>
      <w:r>
        <w:rPr>
          <w:i/>
          <w:color w:val="231F20"/>
          <w:spacing w:val="11"/>
          <w:sz w:val="16"/>
        </w:rPr>
        <w:t> </w:t>
      </w:r>
      <w:r>
        <w:rPr>
          <w:i/>
          <w:color w:val="231F20"/>
          <w:sz w:val="16"/>
        </w:rPr>
        <w:t>DCF</w:t>
        <w:tab/>
        <w:t>ß</w:t>
      </w:r>
      <w:r>
        <w:rPr>
          <w:i/>
          <w:color w:val="231F20"/>
          <w:position w:val="-1"/>
          <w:sz w:val="9"/>
        </w:rPr>
        <w:t>30</w:t>
        <w:tab/>
      </w:r>
      <w:r>
        <w:rPr>
          <w:color w:val="231F20"/>
          <w:sz w:val="16"/>
        </w:rPr>
        <w:t>0.003</w:t>
        <w:tab/>
        <w:t>0.14</w:t>
      </w:r>
    </w:p>
    <w:p>
      <w:pPr>
        <w:tabs>
          <w:tab w:pos="5850" w:val="left" w:leader="none"/>
          <w:tab w:pos="6905" w:val="right" w:leader="none"/>
        </w:tabs>
        <w:spacing w:line="202" w:lineRule="exact" w:before="0"/>
        <w:ind w:left="532" w:right="0" w:firstLine="0"/>
        <w:jc w:val="left"/>
        <w:rPr>
          <w:sz w:val="16"/>
        </w:rPr>
      </w:pPr>
      <w:r>
        <w:rPr/>
        <w:pict>
          <v:shape style="position:absolute;margin-left:118.725983pt;margin-top:1.467402pt;width:72.6pt;height:14pt;mso-position-horizontal-relative:page;mso-position-vertical-relative:paragraph;z-index:-66376" type="#_x0000_t202" filled="false" stroked="false">
            <v:textbox inset="0,0,0,0">
              <w:txbxContent>
                <w:p>
                  <w:pPr>
                    <w:tabs>
                      <w:tab w:pos="415" w:val="left" w:leader="none"/>
                      <w:tab w:pos="920" w:val="left" w:leader="none"/>
                      <w:tab w:pos="1326"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r>
                  <w:r>
                    <w:rPr>
                      <w:rFonts w:ascii="Lucida Sans Unicode" w:hAnsi="Lucida Sans Unicode"/>
                      <w:color w:val="231F20"/>
                      <w:w w:val="95"/>
                      <w:sz w:val="16"/>
                    </w:rPr>
                    <w:t>×</w:t>
                  </w:r>
                </w:p>
              </w:txbxContent>
            </v:textbox>
            <w10:wrap type="none"/>
          </v:shape>
        </w:pict>
      </w:r>
      <w:r>
        <w:rPr>
          <w:i/>
          <w:color w:val="231F20"/>
          <w:sz w:val="16"/>
        </w:rPr>
        <w:t>HEDF93   DEL   POST   DCF</w:t>
      </w:r>
      <w:r>
        <w:rPr>
          <w:i/>
          <w:color w:val="231F20"/>
          <w:spacing w:val="-3"/>
          <w:sz w:val="16"/>
        </w:rPr>
        <w:t> </w:t>
      </w:r>
      <w:r>
        <w:rPr>
          <w:i/>
          <w:color w:val="231F20"/>
          <w:sz w:val="16"/>
        </w:rPr>
        <w:t>CF </w:t>
      </w:r>
      <w:r>
        <w:rPr>
          <w:i/>
          <w:color w:val="231F20"/>
          <w:spacing w:val="12"/>
          <w:sz w:val="16"/>
        </w:rPr>
        <w:t> </w:t>
      </w:r>
      <w:r>
        <w:rPr>
          <w:i/>
          <w:color w:val="231F20"/>
          <w:sz w:val="16"/>
        </w:rPr>
        <w:t>ß</w:t>
      </w:r>
      <w:r>
        <w:rPr>
          <w:i/>
          <w:color w:val="231F20"/>
          <w:position w:val="-1"/>
          <w:sz w:val="9"/>
        </w:rPr>
        <w:t>31</w:t>
        <w:tab/>
      </w:r>
      <w:r>
        <w:rPr>
          <w:color w:val="231F20"/>
          <w:sz w:val="16"/>
        </w:rPr>
        <w:t>0.444</w:t>
      </w:r>
      <w:r>
        <w:rPr>
          <w:rFonts w:ascii="Lucida Sans Unicode" w:hAnsi="Lucida Sans Unicode"/>
          <w:color w:val="231F20"/>
          <w:position w:val="6"/>
          <w:sz w:val="9"/>
        </w:rPr>
        <w:t>∗∗</w:t>
      </w:r>
      <w:r>
        <w:rPr>
          <w:rFonts w:ascii="Lucida Sans Unicode" w:hAnsi="Lucida Sans Unicode"/>
          <w:color w:val="231F20"/>
          <w:sz w:val="9"/>
        </w:rPr>
        <w:tab/>
      </w:r>
      <w:r>
        <w:rPr>
          <w:color w:val="231F20"/>
          <w:sz w:val="16"/>
        </w:rPr>
        <w:t>2.31</w:t>
      </w:r>
    </w:p>
    <w:p>
      <w:pPr>
        <w:tabs>
          <w:tab w:pos="3409" w:val="left" w:leader="none"/>
          <w:tab w:pos="4705" w:val="left" w:leader="none"/>
          <w:tab w:pos="6043" w:val="left" w:leader="none"/>
        </w:tabs>
        <w:spacing w:before="0"/>
        <w:ind w:left="532" w:right="0" w:firstLine="0"/>
        <w:jc w:val="left"/>
        <w:rPr>
          <w:sz w:val="16"/>
        </w:rPr>
      </w:pPr>
      <w:r>
        <w:rPr>
          <w:i/>
          <w:color w:val="231F20"/>
          <w:sz w:val="16"/>
        </w:rPr>
        <w:t>Controls</w:t>
        <w:tab/>
      </w:r>
      <w:r>
        <w:rPr>
          <w:color w:val="231F20"/>
          <w:sz w:val="16"/>
        </w:rPr>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pict>
          <v:shape style="position:absolute;margin-left:116.332092pt;margin-top:1.331428pt;width:6.3pt;height:14pt;mso-position-horizontal-relative:page;mso-position-vertical-relative:paragraph;z-index:-66424"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 </w:t>
      </w:r>
      <w:r>
        <w:rPr>
          <w:i/>
          <w:color w:val="231F20"/>
          <w:spacing w:val="5"/>
          <w:sz w:val="16"/>
        </w:rPr>
        <w:t> </w:t>
      </w:r>
      <w:r>
        <w:rPr>
          <w:i/>
          <w:color w:val="231F20"/>
          <w:sz w:val="16"/>
        </w:rPr>
        <w:t>CF</w:t>
        <w:tab/>
      </w:r>
      <w:r>
        <w:rPr>
          <w:color w:val="231F20"/>
          <w:sz w:val="16"/>
        </w:rPr>
        <w:t>Included</w:t>
        <w:tab/>
        <w:t>Included</w:t>
        <w:tab/>
        <w:t>Included</w:t>
      </w:r>
    </w:p>
    <w:p>
      <w:pPr>
        <w:tabs>
          <w:tab w:pos="3409" w:val="left" w:leader="none"/>
          <w:tab w:pos="4705" w:val="left" w:leader="none"/>
          <w:tab w:pos="6043" w:val="left" w:leader="none"/>
        </w:tabs>
        <w:spacing w:before="1"/>
        <w:ind w:left="532" w:right="0" w:firstLine="0"/>
        <w:jc w:val="left"/>
        <w:rPr>
          <w:sz w:val="16"/>
        </w:rPr>
      </w:pPr>
      <w:r>
        <w:rPr/>
        <w:pict>
          <v:shape style="position:absolute;margin-left:116.332092pt;margin-top:1.381428pt;width:6.3pt;height:14pt;mso-position-horizontal-relative:page;mso-position-vertical-relative:paragraph;z-index:-6644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Controls</w:t>
      </w:r>
      <w:r>
        <w:rPr>
          <w:i/>
          <w:color w:val="231F20"/>
          <w:spacing w:val="35"/>
          <w:sz w:val="16"/>
        </w:rPr>
        <w:t> </w:t>
      </w:r>
      <w:r>
        <w:rPr>
          <w:i/>
          <w:color w:val="231F20"/>
          <w:sz w:val="16"/>
        </w:rPr>
        <w:t>DCF</w:t>
        <w:tab/>
      </w:r>
      <w:r>
        <w:rPr>
          <w:color w:val="231F20"/>
          <w:sz w:val="16"/>
        </w:rPr>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pict>
          <v:shape style="position:absolute;margin-left:116.332092pt;margin-top:1.331438pt;width:26.6pt;height:14pt;mso-position-horizontal-relative:page;mso-position-vertical-relative:paragraph;z-index:-66472" type="#_x0000_t202" filled="false" stroked="false">
            <v:textbox inset="0,0,0,0">
              <w:txbxContent>
                <w:p>
                  <w:pPr>
                    <w:tabs>
                      <w:tab w:pos="40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Controls </w:t>
      </w:r>
      <w:r>
        <w:rPr>
          <w:i/>
          <w:color w:val="231F20"/>
          <w:spacing w:val="5"/>
          <w:sz w:val="16"/>
        </w:rPr>
        <w:t> </w:t>
      </w:r>
      <w:r>
        <w:rPr>
          <w:i/>
          <w:color w:val="231F20"/>
          <w:sz w:val="16"/>
        </w:rPr>
        <w:t>DCF </w:t>
      </w:r>
      <w:r>
        <w:rPr>
          <w:i/>
          <w:color w:val="231F20"/>
          <w:spacing w:val="5"/>
          <w:sz w:val="16"/>
        </w:rPr>
        <w:t> </w:t>
      </w:r>
      <w:r>
        <w:rPr>
          <w:i/>
          <w:color w:val="231F20"/>
          <w:sz w:val="16"/>
        </w:rPr>
        <w:t>CF</w:t>
        <w:tab/>
      </w:r>
      <w:r>
        <w:rPr>
          <w:color w:val="231F20"/>
          <w:sz w:val="16"/>
        </w:rPr>
        <w:t>Included</w:t>
        <w:tab/>
        <w:t>Included</w:t>
        <w:tab/>
        <w:t>Included</w:t>
      </w:r>
    </w:p>
    <w:p>
      <w:pPr>
        <w:tabs>
          <w:tab w:pos="3409" w:val="left" w:leader="none"/>
          <w:tab w:pos="4705" w:val="left" w:leader="none"/>
          <w:tab w:pos="6043" w:val="left" w:leader="none"/>
        </w:tabs>
        <w:spacing w:before="1"/>
        <w:ind w:left="532" w:right="0" w:firstLine="0"/>
        <w:jc w:val="left"/>
        <w:rPr>
          <w:sz w:val="16"/>
        </w:rPr>
      </w:pPr>
      <w:r>
        <w:rPr>
          <w:color w:val="231F20"/>
          <w:sz w:val="16"/>
        </w:rPr>
        <w:t>Industries</w:t>
      </w:r>
      <w:r>
        <w:rPr>
          <w:color w:val="231F20"/>
          <w:spacing w:val="-18"/>
          <w:sz w:val="16"/>
        </w:rPr>
        <w:t> </w:t>
      </w:r>
      <w:r>
        <w:rPr>
          <w:color w:val="231F20"/>
          <w:sz w:val="16"/>
        </w:rPr>
        <w:t>dummies</w:t>
        <w:tab/>
        <w:t>Included</w:t>
        <w:tab/>
        <w:t>Included</w:t>
        <w:tab/>
        <w:t>Included</w:t>
      </w:r>
    </w:p>
    <w:p>
      <w:pPr>
        <w:tabs>
          <w:tab w:pos="3409" w:val="left" w:leader="none"/>
          <w:tab w:pos="4705" w:val="left" w:leader="none"/>
          <w:tab w:pos="6043" w:val="left" w:leader="none"/>
        </w:tabs>
        <w:spacing w:before="0"/>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tab/>
        <w:t>Included</w:t>
      </w:r>
    </w:p>
    <w:p>
      <w:pPr>
        <w:tabs>
          <w:tab w:pos="3537" w:val="left" w:leader="none"/>
          <w:tab w:pos="4833" w:val="left" w:leader="none"/>
          <w:tab w:pos="6129" w:val="left" w:leader="none"/>
        </w:tabs>
        <w:spacing w:before="1"/>
        <w:ind w:left="532" w:right="0" w:firstLine="0"/>
        <w:jc w:val="left"/>
        <w:rPr>
          <w:sz w:val="16"/>
        </w:rPr>
      </w:pPr>
      <w:r>
        <w:rPr>
          <w:color w:val="231F20"/>
          <w:sz w:val="16"/>
        </w:rPr>
        <w:t>No.</w:t>
      </w:r>
      <w:r>
        <w:rPr>
          <w:color w:val="231F20"/>
          <w:spacing w:val="-12"/>
          <w:sz w:val="16"/>
        </w:rPr>
        <w:t> </w:t>
      </w:r>
      <w:r>
        <w:rPr>
          <w:color w:val="231F20"/>
          <w:sz w:val="16"/>
        </w:rPr>
        <w:t>observations</w:t>
        <w:tab/>
        <w:t>9,289</w:t>
        <w:tab/>
        <w:t>3,300</w:t>
        <w:tab/>
        <w:t>18,261</w:t>
      </w:r>
    </w:p>
    <w:p>
      <w:pPr>
        <w:tabs>
          <w:tab w:pos="3507" w:val="left" w:leader="none"/>
          <w:tab w:pos="4803" w:val="left" w:leader="none"/>
          <w:tab w:pos="6140" w:val="left" w:leader="none"/>
        </w:tabs>
        <w:spacing w:before="0" w:after="21"/>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33.7%</w:t>
        <w:tab/>
        <w:t>35.1%</w:t>
        <w:tab/>
        <w:t>36.5%</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16" w:lineRule="auto" w:before="57"/>
        <w:ind w:left="532" w:right="149" w:firstLine="199"/>
        <w:jc w:val="both"/>
        <w:rPr>
          <w:sz w:val="14"/>
        </w:rPr>
      </w:pPr>
      <w:r>
        <w:rPr>
          <w:color w:val="231F20"/>
          <w:sz w:val="14"/>
        </w:rPr>
        <w:t>This table presents regression estimates to test the effect of the 1991 Delaware court ruling on condi- tional</w:t>
      </w:r>
      <w:r>
        <w:rPr>
          <w:color w:val="231F20"/>
          <w:spacing w:val="-16"/>
          <w:sz w:val="14"/>
        </w:rPr>
        <w:t> </w:t>
      </w:r>
      <w:r>
        <w:rPr>
          <w:color w:val="231F20"/>
          <w:sz w:val="14"/>
        </w:rPr>
        <w:t>conservatism</w:t>
      </w:r>
      <w:r>
        <w:rPr>
          <w:color w:val="231F20"/>
          <w:spacing w:val="-15"/>
          <w:sz w:val="14"/>
        </w:rPr>
        <w:t> </w:t>
      </w:r>
      <w:r>
        <w:rPr>
          <w:color w:val="231F20"/>
          <w:sz w:val="14"/>
        </w:rPr>
        <w:t>as</w:t>
      </w:r>
      <w:r>
        <w:rPr>
          <w:color w:val="231F20"/>
          <w:spacing w:val="-16"/>
          <w:sz w:val="14"/>
        </w:rPr>
        <w:t> </w:t>
      </w:r>
      <w:r>
        <w:rPr>
          <w:color w:val="231F20"/>
          <w:sz w:val="14"/>
        </w:rPr>
        <w:t>measured</w:t>
      </w:r>
      <w:r>
        <w:rPr>
          <w:color w:val="231F20"/>
          <w:spacing w:val="-15"/>
          <w:sz w:val="14"/>
        </w:rPr>
        <w:t> </w:t>
      </w:r>
      <w:r>
        <w:rPr>
          <w:color w:val="231F20"/>
          <w:sz w:val="14"/>
        </w:rPr>
        <w:t>by</w:t>
      </w:r>
      <w:r>
        <w:rPr>
          <w:color w:val="231F20"/>
          <w:spacing w:val="-15"/>
          <w:sz w:val="14"/>
        </w:rPr>
        <w:t> </w:t>
      </w:r>
      <w:r>
        <w:rPr>
          <w:color w:val="231F20"/>
          <w:sz w:val="14"/>
        </w:rPr>
        <w:t>asymmetric</w:t>
      </w:r>
      <w:r>
        <w:rPr>
          <w:color w:val="231F20"/>
          <w:spacing w:val="-15"/>
          <w:sz w:val="14"/>
        </w:rPr>
        <w:t> </w:t>
      </w:r>
      <w:r>
        <w:rPr>
          <w:color w:val="231F20"/>
          <w:sz w:val="14"/>
        </w:rPr>
        <w:t>timeliness</w:t>
      </w:r>
      <w:r>
        <w:rPr>
          <w:color w:val="231F20"/>
          <w:spacing w:val="-15"/>
          <w:sz w:val="14"/>
        </w:rPr>
        <w:t> </w:t>
      </w:r>
      <w:r>
        <w:rPr>
          <w:color w:val="231F20"/>
          <w:sz w:val="14"/>
        </w:rPr>
        <w:t>of</w:t>
      </w:r>
      <w:r>
        <w:rPr>
          <w:color w:val="231F20"/>
          <w:spacing w:val="-16"/>
          <w:sz w:val="14"/>
        </w:rPr>
        <w:t> </w:t>
      </w:r>
      <w:r>
        <w:rPr>
          <w:color w:val="231F20"/>
          <w:sz w:val="14"/>
        </w:rPr>
        <w:t>accruals</w:t>
      </w:r>
      <w:r>
        <w:rPr>
          <w:color w:val="231F20"/>
          <w:spacing w:val="-15"/>
          <w:sz w:val="14"/>
        </w:rPr>
        <w:t> </w:t>
      </w:r>
      <w:r>
        <w:rPr>
          <w:color w:val="231F20"/>
          <w:sz w:val="14"/>
        </w:rPr>
        <w:t>per</w:t>
      </w:r>
      <w:r>
        <w:rPr>
          <w:color w:val="231F20"/>
          <w:spacing w:val="-15"/>
          <w:sz w:val="14"/>
        </w:rPr>
        <w:t> </w:t>
      </w:r>
      <w:r>
        <w:rPr>
          <w:color w:val="231F20"/>
          <w:sz w:val="14"/>
        </w:rPr>
        <w:t>Ball</w:t>
      </w:r>
      <w:r>
        <w:rPr>
          <w:color w:val="231F20"/>
          <w:spacing w:val="-16"/>
          <w:sz w:val="14"/>
        </w:rPr>
        <w:t> </w:t>
      </w:r>
      <w:r>
        <w:rPr>
          <w:color w:val="231F20"/>
          <w:sz w:val="14"/>
        </w:rPr>
        <w:t>and</w:t>
      </w:r>
      <w:r>
        <w:rPr>
          <w:color w:val="231F20"/>
          <w:spacing w:val="-16"/>
          <w:sz w:val="14"/>
        </w:rPr>
        <w:t> </w:t>
      </w:r>
      <w:r>
        <w:rPr>
          <w:color w:val="231F20"/>
          <w:sz w:val="14"/>
        </w:rPr>
        <w:t>Shivakumar</w:t>
      </w:r>
      <w:r>
        <w:rPr>
          <w:color w:val="231F20"/>
          <w:spacing w:val="-15"/>
          <w:sz w:val="14"/>
        </w:rPr>
        <w:t> </w:t>
      </w:r>
      <w:r>
        <w:rPr>
          <w:color w:val="231F20"/>
          <w:sz w:val="14"/>
        </w:rPr>
        <w:t>[2006]</w:t>
      </w:r>
      <w:r>
        <w:rPr>
          <w:color w:val="231F20"/>
          <w:spacing w:val="-16"/>
          <w:sz w:val="14"/>
        </w:rPr>
        <w:t> </w:t>
      </w:r>
      <w:r>
        <w:rPr>
          <w:color w:val="231F20"/>
          <w:sz w:val="14"/>
        </w:rPr>
        <w:t>as</w:t>
      </w:r>
      <w:r>
        <w:rPr>
          <w:color w:val="231F20"/>
          <w:spacing w:val="-15"/>
          <w:sz w:val="14"/>
        </w:rPr>
        <w:t> </w:t>
      </w:r>
      <w:r>
        <w:rPr>
          <w:color w:val="231F20"/>
          <w:sz w:val="14"/>
        </w:rPr>
        <w:t>in model</w:t>
      </w:r>
      <w:r>
        <w:rPr>
          <w:color w:val="231F20"/>
          <w:spacing w:val="-7"/>
          <w:sz w:val="14"/>
        </w:rPr>
        <w:t> </w:t>
      </w:r>
      <w:r>
        <w:rPr>
          <w:color w:val="231F20"/>
          <w:sz w:val="14"/>
        </w:rPr>
        <w:t>4.</w:t>
      </w:r>
      <w:r>
        <w:rPr>
          <w:color w:val="231F20"/>
          <w:spacing w:val="-7"/>
          <w:sz w:val="14"/>
        </w:rPr>
        <w:t> </w:t>
      </w:r>
      <w:r>
        <w:rPr>
          <w:color w:val="231F20"/>
          <w:sz w:val="14"/>
        </w:rPr>
        <w:t>The</w:t>
      </w:r>
      <w:r>
        <w:rPr>
          <w:color w:val="231F20"/>
          <w:spacing w:val="-7"/>
          <w:sz w:val="14"/>
        </w:rPr>
        <w:t> </w:t>
      </w:r>
      <w:r>
        <w:rPr>
          <w:color w:val="231F20"/>
          <w:sz w:val="14"/>
        </w:rPr>
        <w:t>sample</w:t>
      </w:r>
      <w:r>
        <w:rPr>
          <w:color w:val="231F20"/>
          <w:spacing w:val="-7"/>
          <w:sz w:val="14"/>
        </w:rPr>
        <w:t> </w:t>
      </w:r>
      <w:r>
        <w:rPr>
          <w:color w:val="231F20"/>
          <w:sz w:val="14"/>
        </w:rPr>
        <w:t>includes</w:t>
      </w:r>
      <w:r>
        <w:rPr>
          <w:color w:val="231F20"/>
          <w:spacing w:val="-7"/>
          <w:sz w:val="14"/>
        </w:rPr>
        <w:t> </w:t>
      </w:r>
      <w:r>
        <w:rPr>
          <w:color w:val="231F20"/>
          <w:sz w:val="14"/>
        </w:rPr>
        <w:t>18,261</w:t>
      </w:r>
      <w:r>
        <w:rPr>
          <w:color w:val="231F20"/>
          <w:spacing w:val="-7"/>
          <w:sz w:val="14"/>
        </w:rPr>
        <w:t> </w:t>
      </w:r>
      <w:r>
        <w:rPr>
          <w:color w:val="231F20"/>
          <w:sz w:val="14"/>
        </w:rPr>
        <w:t>observations</w:t>
      </w:r>
      <w:r>
        <w:rPr>
          <w:color w:val="231F20"/>
          <w:spacing w:val="-7"/>
          <w:sz w:val="14"/>
        </w:rPr>
        <w:t> </w:t>
      </w:r>
      <w:r>
        <w:rPr>
          <w:color w:val="231F20"/>
          <w:sz w:val="14"/>
        </w:rPr>
        <w:t>for</w:t>
      </w:r>
      <w:r>
        <w:rPr>
          <w:color w:val="231F20"/>
          <w:spacing w:val="-7"/>
          <w:sz w:val="14"/>
        </w:rPr>
        <w:t> </w:t>
      </w:r>
      <w:r>
        <w:rPr>
          <w:color w:val="231F20"/>
          <w:sz w:val="14"/>
        </w:rPr>
        <w:t>2,460</w:t>
      </w:r>
      <w:r>
        <w:rPr>
          <w:color w:val="231F20"/>
          <w:spacing w:val="-7"/>
          <w:sz w:val="14"/>
        </w:rPr>
        <w:t> </w:t>
      </w:r>
      <w:r>
        <w:rPr>
          <w:color w:val="231F20"/>
          <w:sz w:val="14"/>
        </w:rPr>
        <w:t>firms</w:t>
      </w:r>
      <w:r>
        <w:rPr>
          <w:color w:val="231F20"/>
          <w:spacing w:val="-7"/>
          <w:sz w:val="14"/>
        </w:rPr>
        <w:t> </w:t>
      </w:r>
      <w:r>
        <w:rPr>
          <w:color w:val="231F20"/>
          <w:sz w:val="14"/>
        </w:rPr>
        <w:t>spanning</w:t>
      </w:r>
      <w:r>
        <w:rPr>
          <w:color w:val="231F20"/>
          <w:spacing w:val="-7"/>
          <w:sz w:val="14"/>
        </w:rPr>
        <w:t> </w:t>
      </w:r>
      <w:r>
        <w:rPr>
          <w:color w:val="231F20"/>
          <w:sz w:val="14"/>
        </w:rPr>
        <w:t>calendar</w:t>
      </w:r>
      <w:r>
        <w:rPr>
          <w:color w:val="231F20"/>
          <w:spacing w:val="-7"/>
          <w:sz w:val="14"/>
        </w:rPr>
        <w:t> </w:t>
      </w:r>
      <w:r>
        <w:rPr>
          <w:color w:val="231F20"/>
          <w:sz w:val="14"/>
        </w:rPr>
        <w:t>years</w:t>
      </w:r>
      <w:r>
        <w:rPr>
          <w:color w:val="231F20"/>
          <w:spacing w:val="-7"/>
          <w:sz w:val="14"/>
        </w:rPr>
        <w:t> </w:t>
      </w:r>
      <w:r>
        <w:rPr>
          <w:color w:val="231F20"/>
          <w:sz w:val="14"/>
        </w:rPr>
        <w:t>1988–1991</w:t>
      </w:r>
      <w:r>
        <w:rPr>
          <w:color w:val="231F20"/>
          <w:spacing w:val="-7"/>
          <w:sz w:val="14"/>
        </w:rPr>
        <w:t> </w:t>
      </w:r>
      <w:r>
        <w:rPr>
          <w:color w:val="231F20"/>
          <w:sz w:val="14"/>
        </w:rPr>
        <w:t>and 1993–1996.</w:t>
      </w:r>
      <w:r>
        <w:rPr>
          <w:color w:val="231F20"/>
          <w:spacing w:val="-13"/>
          <w:sz w:val="14"/>
        </w:rPr>
        <w:t> </w:t>
      </w:r>
      <w:r>
        <w:rPr>
          <w:i/>
          <w:color w:val="231F20"/>
          <w:sz w:val="14"/>
        </w:rPr>
        <w:t>ACCR</w:t>
      </w:r>
      <w:r>
        <w:rPr>
          <w:i/>
          <w:color w:val="231F20"/>
          <w:spacing w:val="-13"/>
          <w:sz w:val="14"/>
        </w:rPr>
        <w:t> </w:t>
      </w:r>
      <w:r>
        <w:rPr>
          <w:color w:val="231F20"/>
          <w:sz w:val="14"/>
        </w:rPr>
        <w:t>is</w:t>
      </w:r>
      <w:r>
        <w:rPr>
          <w:color w:val="231F20"/>
          <w:spacing w:val="-13"/>
          <w:sz w:val="14"/>
        </w:rPr>
        <w:t> </w:t>
      </w:r>
      <w:r>
        <w:rPr>
          <w:color w:val="231F20"/>
          <w:sz w:val="14"/>
        </w:rPr>
        <w:t>accruals</w:t>
      </w:r>
      <w:r>
        <w:rPr>
          <w:color w:val="231F20"/>
          <w:spacing w:val="-12"/>
          <w:sz w:val="14"/>
        </w:rPr>
        <w:t> </w:t>
      </w:r>
      <w:r>
        <w:rPr>
          <w:color w:val="231F20"/>
          <w:sz w:val="14"/>
        </w:rPr>
        <w:t>(IBC-OANCF)</w:t>
      </w:r>
      <w:r>
        <w:rPr>
          <w:color w:val="231F20"/>
          <w:spacing w:val="-13"/>
          <w:sz w:val="14"/>
        </w:rPr>
        <w:t> </w:t>
      </w:r>
      <w:r>
        <w:rPr>
          <w:color w:val="231F20"/>
          <w:sz w:val="14"/>
        </w:rPr>
        <w:t>scaled</w:t>
      </w:r>
      <w:r>
        <w:rPr>
          <w:color w:val="231F20"/>
          <w:spacing w:val="-12"/>
          <w:sz w:val="14"/>
        </w:rPr>
        <w:t> </w:t>
      </w:r>
      <w:r>
        <w:rPr>
          <w:color w:val="231F20"/>
          <w:sz w:val="14"/>
        </w:rPr>
        <w:t>by</w:t>
      </w:r>
      <w:r>
        <w:rPr>
          <w:color w:val="231F20"/>
          <w:spacing w:val="-13"/>
          <w:sz w:val="14"/>
        </w:rPr>
        <w:t> </w:t>
      </w:r>
      <w:r>
        <w:rPr>
          <w:color w:val="231F20"/>
          <w:sz w:val="14"/>
        </w:rPr>
        <w:t>year-beginning</w:t>
      </w:r>
      <w:r>
        <w:rPr>
          <w:color w:val="231F20"/>
          <w:spacing w:val="-13"/>
          <w:sz w:val="14"/>
        </w:rPr>
        <w:t> </w:t>
      </w:r>
      <w:r>
        <w:rPr>
          <w:color w:val="231F20"/>
          <w:sz w:val="14"/>
        </w:rPr>
        <w:t>total</w:t>
      </w:r>
      <w:r>
        <w:rPr>
          <w:color w:val="231F20"/>
          <w:spacing w:val="-13"/>
          <w:sz w:val="14"/>
        </w:rPr>
        <w:t> </w:t>
      </w:r>
      <w:r>
        <w:rPr>
          <w:color w:val="231F20"/>
          <w:sz w:val="14"/>
        </w:rPr>
        <w:t>assets</w:t>
      </w:r>
      <w:r>
        <w:rPr>
          <w:color w:val="231F20"/>
          <w:spacing w:val="-13"/>
          <w:sz w:val="14"/>
        </w:rPr>
        <w:t> </w:t>
      </w:r>
      <w:r>
        <w:rPr>
          <w:color w:val="231F20"/>
          <w:sz w:val="14"/>
        </w:rPr>
        <w:t>(AT).</w:t>
      </w:r>
      <w:r>
        <w:rPr>
          <w:color w:val="231F20"/>
          <w:spacing w:val="-13"/>
          <w:sz w:val="14"/>
        </w:rPr>
        <w:t> </w:t>
      </w:r>
      <w:r>
        <w:rPr>
          <w:i/>
          <w:color w:val="231F20"/>
          <w:sz w:val="14"/>
        </w:rPr>
        <w:t>CF</w:t>
      </w:r>
      <w:r>
        <w:rPr>
          <w:i/>
          <w:color w:val="231F20"/>
          <w:spacing w:val="-13"/>
          <w:sz w:val="14"/>
        </w:rPr>
        <w:t> </w:t>
      </w:r>
      <w:r>
        <w:rPr>
          <w:color w:val="231F20"/>
          <w:sz w:val="14"/>
        </w:rPr>
        <w:t>is</w:t>
      </w:r>
      <w:r>
        <w:rPr>
          <w:color w:val="231F20"/>
          <w:spacing w:val="-13"/>
          <w:sz w:val="14"/>
        </w:rPr>
        <w:t> </w:t>
      </w:r>
      <w:r>
        <w:rPr>
          <w:color w:val="231F20"/>
          <w:sz w:val="14"/>
        </w:rPr>
        <w:t>cash</w:t>
      </w:r>
      <w:r>
        <w:rPr>
          <w:color w:val="231F20"/>
          <w:spacing w:val="-13"/>
          <w:sz w:val="14"/>
        </w:rPr>
        <w:t> </w:t>
      </w:r>
      <w:r>
        <w:rPr>
          <w:color w:val="231F20"/>
          <w:sz w:val="14"/>
        </w:rPr>
        <w:t>flow</w:t>
      </w:r>
      <w:r>
        <w:rPr>
          <w:color w:val="231F20"/>
          <w:spacing w:val="-13"/>
          <w:sz w:val="14"/>
        </w:rPr>
        <w:t> </w:t>
      </w:r>
      <w:r>
        <w:rPr>
          <w:color w:val="231F20"/>
          <w:sz w:val="14"/>
        </w:rPr>
        <w:t>from operations in a year (OANCF) scaled by year-beginning total assets </w:t>
      </w:r>
      <w:r>
        <w:rPr>
          <w:color w:val="231F20"/>
          <w:spacing w:val="-3"/>
          <w:sz w:val="14"/>
        </w:rPr>
        <w:t>(AT). </w:t>
      </w:r>
      <w:r>
        <w:rPr>
          <w:i/>
          <w:color w:val="231F20"/>
          <w:sz w:val="14"/>
        </w:rPr>
        <w:t>DCF </w:t>
      </w:r>
      <w:r>
        <w:rPr>
          <w:color w:val="231F20"/>
          <w:sz w:val="14"/>
        </w:rPr>
        <w:t>is a dichotomous variable equal</w:t>
      </w:r>
      <w:r>
        <w:rPr>
          <w:color w:val="231F20"/>
          <w:spacing w:val="-14"/>
          <w:sz w:val="14"/>
        </w:rPr>
        <w:t> </w:t>
      </w:r>
      <w:r>
        <w:rPr>
          <w:color w:val="231F20"/>
          <w:sz w:val="14"/>
        </w:rPr>
        <w:t>to</w:t>
      </w:r>
      <w:r>
        <w:rPr>
          <w:color w:val="231F20"/>
          <w:spacing w:val="-14"/>
          <w:sz w:val="14"/>
        </w:rPr>
        <w:t> </w:t>
      </w:r>
      <w:r>
        <w:rPr>
          <w:color w:val="231F20"/>
          <w:sz w:val="14"/>
        </w:rPr>
        <w:t>1</w:t>
      </w:r>
      <w:r>
        <w:rPr>
          <w:color w:val="231F20"/>
          <w:spacing w:val="-14"/>
          <w:sz w:val="14"/>
        </w:rPr>
        <w:t> </w:t>
      </w:r>
      <w:r>
        <w:rPr>
          <w:color w:val="231F20"/>
          <w:sz w:val="14"/>
        </w:rPr>
        <w:t>if</w:t>
      </w:r>
      <w:r>
        <w:rPr>
          <w:color w:val="231F20"/>
          <w:spacing w:val="-14"/>
          <w:sz w:val="14"/>
        </w:rPr>
        <w:t> </w:t>
      </w:r>
      <w:r>
        <w:rPr>
          <w:i/>
          <w:color w:val="231F20"/>
          <w:sz w:val="14"/>
        </w:rPr>
        <w:t>CF</w:t>
      </w:r>
      <w:r>
        <w:rPr>
          <w:rFonts w:ascii="Verdana" w:hAnsi="Verdana"/>
          <w:i/>
          <w:color w:val="231F20"/>
          <w:sz w:val="14"/>
        </w:rPr>
        <w:t>&lt;</w:t>
      </w:r>
      <w:r>
        <w:rPr>
          <w:color w:val="231F20"/>
          <w:sz w:val="14"/>
        </w:rPr>
        <w:t>0</w:t>
      </w:r>
      <w:r>
        <w:rPr>
          <w:color w:val="231F20"/>
          <w:spacing w:val="-14"/>
          <w:sz w:val="14"/>
        </w:rPr>
        <w:t> </w:t>
      </w:r>
      <w:r>
        <w:rPr>
          <w:color w:val="231F20"/>
          <w:sz w:val="14"/>
        </w:rPr>
        <w:t>and</w:t>
      </w:r>
      <w:r>
        <w:rPr>
          <w:color w:val="231F20"/>
          <w:spacing w:val="-14"/>
          <w:sz w:val="14"/>
        </w:rPr>
        <w:t> </w:t>
      </w:r>
      <w:r>
        <w:rPr>
          <w:color w:val="231F20"/>
          <w:sz w:val="14"/>
        </w:rPr>
        <w:t>0</w:t>
      </w:r>
      <w:r>
        <w:rPr>
          <w:color w:val="231F20"/>
          <w:spacing w:val="-14"/>
          <w:sz w:val="14"/>
        </w:rPr>
        <w:t> </w:t>
      </w:r>
      <w:r>
        <w:rPr>
          <w:color w:val="231F20"/>
          <w:sz w:val="14"/>
        </w:rPr>
        <w:t>otherwise.</w:t>
      </w:r>
      <w:r>
        <w:rPr>
          <w:color w:val="231F20"/>
          <w:spacing w:val="-14"/>
          <w:sz w:val="14"/>
        </w:rPr>
        <w:t> </w:t>
      </w:r>
      <w:r>
        <w:rPr>
          <w:color w:val="231F20"/>
          <w:sz w:val="14"/>
        </w:rPr>
        <w:t>Controls</w:t>
      </w:r>
      <w:r>
        <w:rPr>
          <w:color w:val="231F20"/>
          <w:spacing w:val="-14"/>
          <w:sz w:val="14"/>
        </w:rPr>
        <w:t> </w:t>
      </w:r>
      <w:r>
        <w:rPr>
          <w:color w:val="231F20"/>
          <w:sz w:val="14"/>
        </w:rPr>
        <w:t>include</w:t>
      </w:r>
      <w:r>
        <w:rPr>
          <w:color w:val="231F20"/>
          <w:spacing w:val="-14"/>
          <w:sz w:val="14"/>
        </w:rPr>
        <w:t> </w:t>
      </w:r>
      <w:r>
        <w:rPr>
          <w:i/>
          <w:color w:val="231F20"/>
          <w:sz w:val="14"/>
        </w:rPr>
        <w:t>LNMVE</w:t>
      </w:r>
      <w:r>
        <w:rPr>
          <w:color w:val="231F20"/>
          <w:sz w:val="14"/>
        </w:rPr>
        <w:t>,</w:t>
      </w:r>
      <w:r>
        <w:rPr>
          <w:color w:val="231F20"/>
          <w:spacing w:val="-14"/>
          <w:sz w:val="14"/>
        </w:rPr>
        <w:t> </w:t>
      </w:r>
      <w:r>
        <w:rPr>
          <w:i/>
          <w:color w:val="231F20"/>
          <w:sz w:val="14"/>
        </w:rPr>
        <w:t>LEV</w:t>
      </w:r>
      <w:r>
        <w:rPr>
          <w:color w:val="231F20"/>
          <w:sz w:val="14"/>
        </w:rPr>
        <w:t>,</w:t>
      </w:r>
      <w:r>
        <w:rPr>
          <w:color w:val="231F20"/>
          <w:spacing w:val="-14"/>
          <w:sz w:val="14"/>
        </w:rPr>
        <w:t> </w:t>
      </w:r>
      <w:r>
        <w:rPr>
          <w:i/>
          <w:color w:val="231F20"/>
          <w:sz w:val="14"/>
        </w:rPr>
        <w:t>BTM</w:t>
      </w:r>
      <w:r>
        <w:rPr>
          <w:color w:val="231F20"/>
          <w:sz w:val="14"/>
        </w:rPr>
        <w:t>,</w:t>
      </w:r>
      <w:r>
        <w:rPr>
          <w:color w:val="231F20"/>
          <w:spacing w:val="-14"/>
          <w:sz w:val="14"/>
        </w:rPr>
        <w:t> </w:t>
      </w:r>
      <w:r>
        <w:rPr>
          <w:i/>
          <w:color w:val="231F20"/>
          <w:sz w:val="14"/>
        </w:rPr>
        <w:t>GROWTH</w:t>
      </w:r>
      <w:r>
        <w:rPr>
          <w:color w:val="231F20"/>
          <w:sz w:val="14"/>
        </w:rPr>
        <w:t>,</w:t>
      </w:r>
      <w:r>
        <w:rPr>
          <w:color w:val="231F20"/>
          <w:spacing w:val="-14"/>
          <w:sz w:val="14"/>
        </w:rPr>
        <w:t> </w:t>
      </w:r>
      <w:r>
        <w:rPr>
          <w:i/>
          <w:color w:val="231F20"/>
          <w:sz w:val="14"/>
        </w:rPr>
        <w:t>LITIG</w:t>
      </w:r>
      <w:r>
        <w:rPr>
          <w:color w:val="231F20"/>
          <w:sz w:val="14"/>
        </w:rPr>
        <w:t>,</w:t>
      </w:r>
      <w:r>
        <w:rPr>
          <w:color w:val="231F20"/>
          <w:spacing w:val="-14"/>
          <w:sz w:val="14"/>
        </w:rPr>
        <w:t> </w:t>
      </w:r>
      <w:r>
        <w:rPr>
          <w:color w:val="231F20"/>
          <w:sz w:val="14"/>
        </w:rPr>
        <w:t>and</w:t>
      </w:r>
      <w:r>
        <w:rPr>
          <w:color w:val="231F20"/>
          <w:spacing w:val="-14"/>
          <w:sz w:val="14"/>
        </w:rPr>
        <w:t> </w:t>
      </w:r>
      <w:r>
        <w:rPr>
          <w:i/>
          <w:color w:val="231F20"/>
          <w:sz w:val="14"/>
        </w:rPr>
        <w:t>INSTOWN</w:t>
      </w:r>
      <w:r>
        <w:rPr>
          <w:color w:val="231F20"/>
          <w:sz w:val="14"/>
        </w:rPr>
        <w:t>. All</w:t>
      </w:r>
      <w:r>
        <w:rPr>
          <w:color w:val="231F20"/>
          <w:spacing w:val="-14"/>
          <w:sz w:val="14"/>
        </w:rPr>
        <w:t> </w:t>
      </w:r>
      <w:r>
        <w:rPr>
          <w:color w:val="231F20"/>
          <w:sz w:val="14"/>
        </w:rPr>
        <w:t>other</w:t>
      </w:r>
      <w:r>
        <w:rPr>
          <w:color w:val="231F20"/>
          <w:spacing w:val="-14"/>
          <w:sz w:val="14"/>
        </w:rPr>
        <w:t> </w:t>
      </w:r>
      <w:r>
        <w:rPr>
          <w:color w:val="231F20"/>
          <w:sz w:val="14"/>
        </w:rPr>
        <w:t>variables</w:t>
      </w:r>
      <w:r>
        <w:rPr>
          <w:color w:val="231F20"/>
          <w:spacing w:val="-14"/>
          <w:sz w:val="14"/>
        </w:rPr>
        <w:t> </w:t>
      </w:r>
      <w:r>
        <w:rPr>
          <w:color w:val="231F20"/>
          <w:sz w:val="14"/>
        </w:rPr>
        <w:t>are</w:t>
      </w:r>
      <w:r>
        <w:rPr>
          <w:color w:val="231F20"/>
          <w:spacing w:val="-14"/>
          <w:sz w:val="14"/>
        </w:rPr>
        <w:t> </w:t>
      </w:r>
      <w:r>
        <w:rPr>
          <w:color w:val="231F20"/>
          <w:sz w:val="14"/>
        </w:rPr>
        <w:t>calculated</w:t>
      </w:r>
      <w:r>
        <w:rPr>
          <w:color w:val="231F20"/>
          <w:spacing w:val="-14"/>
          <w:sz w:val="14"/>
        </w:rPr>
        <w:t> </w:t>
      </w:r>
      <w:r>
        <w:rPr>
          <w:color w:val="231F20"/>
          <w:sz w:val="14"/>
        </w:rPr>
        <w:t>as</w:t>
      </w:r>
      <w:r>
        <w:rPr>
          <w:color w:val="231F20"/>
          <w:spacing w:val="-14"/>
          <w:sz w:val="14"/>
        </w:rPr>
        <w:t> </w:t>
      </w:r>
      <w:r>
        <w:rPr>
          <w:color w:val="231F20"/>
          <w:sz w:val="14"/>
        </w:rPr>
        <w:t>defined</w:t>
      </w:r>
      <w:r>
        <w:rPr>
          <w:color w:val="231F20"/>
          <w:spacing w:val="-14"/>
          <w:sz w:val="14"/>
        </w:rPr>
        <w:t> </w:t>
      </w:r>
      <w:r>
        <w:rPr>
          <w:color w:val="231F20"/>
          <w:sz w:val="14"/>
        </w:rPr>
        <w:t>in</w:t>
      </w:r>
      <w:r>
        <w:rPr>
          <w:color w:val="231F20"/>
          <w:spacing w:val="-14"/>
          <w:sz w:val="14"/>
        </w:rPr>
        <w:t> </w:t>
      </w:r>
      <w:r>
        <w:rPr>
          <w:color w:val="231F20"/>
          <w:sz w:val="14"/>
        </w:rPr>
        <w:t>the</w:t>
      </w:r>
      <w:r>
        <w:rPr>
          <w:color w:val="231F20"/>
          <w:spacing w:val="-14"/>
          <w:sz w:val="14"/>
        </w:rPr>
        <w:t> </w:t>
      </w:r>
      <w:r>
        <w:rPr>
          <w:color w:val="231F20"/>
          <w:sz w:val="14"/>
        </w:rPr>
        <w:t>appendix.</w:t>
      </w:r>
      <w:r>
        <w:rPr>
          <w:color w:val="231F20"/>
          <w:spacing w:val="-14"/>
          <w:sz w:val="14"/>
        </w:rPr>
        <w:t> </w:t>
      </w:r>
      <w:r>
        <w:rPr>
          <w:color w:val="231F20"/>
          <w:sz w:val="14"/>
        </w:rPr>
        <w:t>All</w:t>
      </w:r>
      <w:r>
        <w:rPr>
          <w:color w:val="231F20"/>
          <w:spacing w:val="-14"/>
          <w:sz w:val="14"/>
        </w:rPr>
        <w:t> </w:t>
      </w:r>
      <w:r>
        <w:rPr>
          <w:color w:val="231F20"/>
          <w:sz w:val="14"/>
        </w:rPr>
        <w:t>continuous</w:t>
      </w:r>
      <w:r>
        <w:rPr>
          <w:color w:val="231F20"/>
          <w:spacing w:val="-14"/>
          <w:sz w:val="14"/>
        </w:rPr>
        <w:t> </w:t>
      </w:r>
      <w:r>
        <w:rPr>
          <w:color w:val="231F20"/>
          <w:sz w:val="14"/>
        </w:rPr>
        <w:t>variables</w:t>
      </w:r>
      <w:r>
        <w:rPr>
          <w:color w:val="231F20"/>
          <w:spacing w:val="-14"/>
          <w:sz w:val="14"/>
        </w:rPr>
        <w:t> </w:t>
      </w:r>
      <w:r>
        <w:rPr>
          <w:color w:val="231F20"/>
          <w:sz w:val="14"/>
        </w:rPr>
        <w:t>are</w:t>
      </w:r>
      <w:r>
        <w:rPr>
          <w:color w:val="231F20"/>
          <w:spacing w:val="-14"/>
          <w:sz w:val="14"/>
        </w:rPr>
        <w:t> </w:t>
      </w:r>
      <w:r>
        <w:rPr>
          <w:color w:val="231F20"/>
          <w:sz w:val="14"/>
        </w:rPr>
        <w:t>winsorized</w:t>
      </w:r>
      <w:r>
        <w:rPr>
          <w:color w:val="231F20"/>
          <w:spacing w:val="-14"/>
          <w:sz w:val="14"/>
        </w:rPr>
        <w:t> </w:t>
      </w:r>
      <w:r>
        <w:rPr>
          <w:color w:val="231F20"/>
          <w:sz w:val="14"/>
        </w:rPr>
        <w:t>at</w:t>
      </w:r>
      <w:r>
        <w:rPr>
          <w:color w:val="231F20"/>
          <w:spacing w:val="-14"/>
          <w:sz w:val="14"/>
        </w:rPr>
        <w:t> </w:t>
      </w:r>
      <w:r>
        <w:rPr>
          <w:color w:val="231F20"/>
          <w:sz w:val="14"/>
        </w:rPr>
        <w:t>the 1</w:t>
      </w:r>
      <w:r>
        <w:rPr>
          <w:color w:val="231F20"/>
          <w:position w:val="5"/>
          <w:sz w:val="10"/>
        </w:rPr>
        <w:t>st</w:t>
      </w:r>
      <w:r>
        <w:rPr>
          <w:color w:val="231F20"/>
          <w:spacing w:val="3"/>
          <w:position w:val="5"/>
          <w:sz w:val="10"/>
        </w:rPr>
        <w:t> </w:t>
      </w:r>
      <w:r>
        <w:rPr>
          <w:color w:val="231F20"/>
          <w:sz w:val="14"/>
        </w:rPr>
        <w:t>and</w:t>
      </w:r>
      <w:r>
        <w:rPr>
          <w:color w:val="231F20"/>
          <w:spacing w:val="-4"/>
          <w:sz w:val="14"/>
        </w:rPr>
        <w:t> </w:t>
      </w:r>
      <w:r>
        <w:rPr>
          <w:color w:val="231F20"/>
          <w:sz w:val="14"/>
        </w:rPr>
        <w:t>99</w:t>
      </w:r>
      <w:r>
        <w:rPr>
          <w:color w:val="231F20"/>
          <w:position w:val="5"/>
          <w:sz w:val="10"/>
        </w:rPr>
        <w:t>th</w:t>
      </w:r>
      <w:r>
        <w:rPr>
          <w:color w:val="231F20"/>
          <w:spacing w:val="3"/>
          <w:position w:val="5"/>
          <w:sz w:val="10"/>
        </w:rPr>
        <w:t> </w:t>
      </w:r>
      <w:r>
        <w:rPr>
          <w:color w:val="231F20"/>
          <w:sz w:val="14"/>
        </w:rPr>
        <w:t>percentiles.</w:t>
      </w:r>
      <w:r>
        <w:rPr>
          <w:color w:val="231F20"/>
          <w:spacing w:val="-4"/>
          <w:sz w:val="14"/>
        </w:rPr>
        <w:t> </w:t>
      </w:r>
      <w:r>
        <w:rPr>
          <w:color w:val="231F20"/>
          <w:sz w:val="14"/>
        </w:rPr>
        <w:t>Reported</w:t>
      </w:r>
      <w:r>
        <w:rPr>
          <w:color w:val="231F20"/>
          <w:spacing w:val="-4"/>
          <w:sz w:val="14"/>
        </w:rPr>
        <w:t> </w:t>
      </w:r>
      <w:r>
        <w:rPr>
          <w:i/>
          <w:color w:val="231F20"/>
          <w:sz w:val="14"/>
        </w:rPr>
        <w:t>t</w:t>
      </w:r>
      <w:r>
        <w:rPr>
          <w:color w:val="231F20"/>
          <w:sz w:val="14"/>
        </w:rPr>
        <w:t>-statistics</w:t>
      </w:r>
      <w:r>
        <w:rPr>
          <w:color w:val="231F20"/>
          <w:spacing w:val="-4"/>
          <w:sz w:val="14"/>
        </w:rPr>
        <w:t> </w:t>
      </w:r>
      <w:r>
        <w:rPr>
          <w:color w:val="231F20"/>
          <w:sz w:val="14"/>
        </w:rPr>
        <w:t>are</w:t>
      </w:r>
      <w:r>
        <w:rPr>
          <w:color w:val="231F20"/>
          <w:spacing w:val="-4"/>
          <w:sz w:val="14"/>
        </w:rPr>
        <w:t> </w:t>
      </w:r>
      <w:r>
        <w:rPr>
          <w:color w:val="231F20"/>
          <w:sz w:val="14"/>
        </w:rPr>
        <w:t>adjusted</w:t>
      </w:r>
      <w:r>
        <w:rPr>
          <w:color w:val="231F20"/>
          <w:spacing w:val="-4"/>
          <w:sz w:val="14"/>
        </w:rPr>
        <w:t> </w:t>
      </w:r>
      <w:r>
        <w:rPr>
          <w:color w:val="231F20"/>
          <w:sz w:val="14"/>
        </w:rPr>
        <w:t>for</w:t>
      </w:r>
      <w:r>
        <w:rPr>
          <w:color w:val="231F20"/>
          <w:spacing w:val="-4"/>
          <w:sz w:val="14"/>
        </w:rPr>
        <w:t> </w:t>
      </w:r>
      <w:r>
        <w:rPr>
          <w:color w:val="231F20"/>
          <w:sz w:val="14"/>
        </w:rPr>
        <w:t>clustering</w:t>
      </w:r>
      <w:r>
        <w:rPr>
          <w:color w:val="231F20"/>
          <w:spacing w:val="-4"/>
          <w:sz w:val="14"/>
        </w:rPr>
        <w:t> </w:t>
      </w:r>
      <w:r>
        <w:rPr>
          <w:color w:val="231F20"/>
          <w:sz w:val="14"/>
        </w:rPr>
        <w:t>by</w:t>
      </w:r>
      <w:r>
        <w:rPr>
          <w:color w:val="231F20"/>
          <w:spacing w:val="-4"/>
          <w:sz w:val="14"/>
        </w:rPr>
        <w:t> </w:t>
      </w:r>
      <w:r>
        <w:rPr>
          <w:color w:val="231F20"/>
          <w:sz w:val="14"/>
        </w:rPr>
        <w:t>both</w:t>
      </w:r>
      <w:r>
        <w:rPr>
          <w:color w:val="231F20"/>
          <w:spacing w:val="-4"/>
          <w:sz w:val="14"/>
        </w:rPr>
        <w:t> </w:t>
      </w:r>
      <w:r>
        <w:rPr>
          <w:color w:val="231F20"/>
          <w:sz w:val="14"/>
        </w:rPr>
        <w:t>firm</w:t>
      </w:r>
      <w:r>
        <w:rPr>
          <w:color w:val="231F20"/>
          <w:spacing w:val="-4"/>
          <w:sz w:val="14"/>
        </w:rPr>
        <w:t> </w:t>
      </w:r>
      <w:r>
        <w:rPr>
          <w:color w:val="231F20"/>
          <w:sz w:val="14"/>
        </w:rPr>
        <w:t>and</w:t>
      </w:r>
      <w:r>
        <w:rPr>
          <w:color w:val="231F20"/>
          <w:spacing w:val="-4"/>
          <w:sz w:val="14"/>
        </w:rPr>
        <w:t> </w:t>
      </w:r>
      <w:r>
        <w:rPr>
          <w:color w:val="231F20"/>
          <w:spacing w:val="-3"/>
          <w:sz w:val="14"/>
        </w:rPr>
        <w:t>year.</w:t>
      </w:r>
    </w:p>
    <w:p>
      <w:pPr>
        <w:spacing w:line="165" w:lineRule="exact" w:before="0"/>
        <w:ind w:left="305" w:right="0" w:firstLine="0"/>
        <w:jc w:val="center"/>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spacing w:after="0" w:line="165" w:lineRule="exact"/>
        <w:jc w:val="center"/>
        <w:rPr>
          <w:sz w:val="14"/>
        </w:rPr>
        <w:sectPr>
          <w:pgSz w:w="9720" w:h="14400"/>
          <w:pgMar w:header="1057" w:footer="0" w:top="1300" w:bottom="280" w:left="1280" w:right="1300"/>
        </w:sectPr>
      </w:pPr>
    </w:p>
    <w:p>
      <w:pPr>
        <w:pStyle w:val="BodyText"/>
        <w:spacing w:line="228" w:lineRule="auto" w:before="180"/>
        <w:ind w:left="162" w:right="519"/>
        <w:jc w:val="both"/>
      </w:pPr>
      <w:r>
        <w:rPr/>
        <w:t>near</w:t>
      </w:r>
      <w:r>
        <w:rPr>
          <w:spacing w:val="-18"/>
        </w:rPr>
        <w:t> </w:t>
      </w:r>
      <w:r>
        <w:rPr/>
        <w:t>insolvent</w:t>
      </w:r>
      <w:r>
        <w:rPr>
          <w:spacing w:val="-18"/>
        </w:rPr>
        <w:t> </w:t>
      </w:r>
      <w:r>
        <w:rPr/>
        <w:t>firm</w:t>
      </w:r>
      <w:r>
        <w:rPr>
          <w:spacing w:val="-18"/>
        </w:rPr>
        <w:t> </w:t>
      </w:r>
      <w:r>
        <w:rPr/>
        <w:t>approaches</w:t>
      </w:r>
      <w:r>
        <w:rPr>
          <w:spacing w:val="-18"/>
        </w:rPr>
        <w:t> </w:t>
      </w:r>
      <w:r>
        <w:rPr/>
        <w:t>default</w:t>
      </w:r>
      <w:r>
        <w:rPr>
          <w:spacing w:val="-18"/>
        </w:rPr>
        <w:t> </w:t>
      </w:r>
      <w:r>
        <w:rPr/>
        <w:t>and,</w:t>
      </w:r>
      <w:r>
        <w:rPr>
          <w:spacing w:val="-18"/>
        </w:rPr>
        <w:t> </w:t>
      </w:r>
      <w:r>
        <w:rPr/>
        <w:t>in</w:t>
      </w:r>
      <w:r>
        <w:rPr>
          <w:spacing w:val="-18"/>
        </w:rPr>
        <w:t> </w:t>
      </w:r>
      <w:r>
        <w:rPr>
          <w:spacing w:val="-3"/>
        </w:rPr>
        <w:t>particular,</w:t>
      </w:r>
      <w:r>
        <w:rPr>
          <w:spacing w:val="-18"/>
        </w:rPr>
        <w:t> </w:t>
      </w:r>
      <w:r>
        <w:rPr/>
        <w:t>if</w:t>
      </w:r>
      <w:r>
        <w:rPr>
          <w:spacing w:val="-18"/>
        </w:rPr>
        <w:t> </w:t>
      </w:r>
      <w:r>
        <w:rPr/>
        <w:t>debt</w:t>
      </w:r>
      <w:r>
        <w:rPr>
          <w:spacing w:val="-18"/>
        </w:rPr>
        <w:t> </w:t>
      </w:r>
      <w:r>
        <w:rPr/>
        <w:t>covenants are</w:t>
      </w:r>
      <w:r>
        <w:rPr>
          <w:spacing w:val="-24"/>
        </w:rPr>
        <w:t> </w:t>
      </w:r>
      <w:r>
        <w:rPr/>
        <w:t>violated,</w:t>
      </w:r>
      <w:r>
        <w:rPr>
          <w:color w:val="231F20"/>
          <w:position w:val="7"/>
          <w:sz w:val="14"/>
        </w:rPr>
        <w:t>28</w:t>
      </w:r>
      <w:r>
        <w:rPr>
          <w:color w:val="231F20"/>
          <w:spacing w:val="-13"/>
          <w:position w:val="7"/>
          <w:sz w:val="14"/>
        </w:rPr>
        <w:t> </w:t>
      </w:r>
      <w:r>
        <w:rPr/>
        <w:t>such</w:t>
      </w:r>
      <w:r>
        <w:rPr>
          <w:spacing w:val="-24"/>
        </w:rPr>
        <w:t> </w:t>
      </w:r>
      <w:r>
        <w:rPr/>
        <w:t>one-time</w:t>
      </w:r>
      <w:r>
        <w:rPr>
          <w:spacing w:val="-24"/>
        </w:rPr>
        <w:t> </w:t>
      </w:r>
      <w:r>
        <w:rPr/>
        <w:t>actions</w:t>
      </w:r>
      <w:r>
        <w:rPr>
          <w:spacing w:val="-23"/>
        </w:rPr>
        <w:t> </w:t>
      </w:r>
      <w:r>
        <w:rPr/>
        <w:t>could</w:t>
      </w:r>
      <w:r>
        <w:rPr>
          <w:spacing w:val="-24"/>
        </w:rPr>
        <w:t> </w:t>
      </w:r>
      <w:r>
        <w:rPr/>
        <w:t>disproportionally</w:t>
      </w:r>
      <w:r>
        <w:rPr>
          <w:spacing w:val="-24"/>
        </w:rPr>
        <w:t> </w:t>
      </w:r>
      <w:r>
        <w:rPr/>
        <w:t>affect</w:t>
      </w:r>
      <w:r>
        <w:rPr>
          <w:spacing w:val="-23"/>
        </w:rPr>
        <w:t> </w:t>
      </w:r>
      <w:r>
        <w:rPr/>
        <w:t>near</w:t>
      </w:r>
      <w:r>
        <w:rPr>
          <w:spacing w:val="-24"/>
        </w:rPr>
        <w:t> </w:t>
      </w:r>
      <w:r>
        <w:rPr/>
        <w:t>in- solvent Delaware firms in the post-ruling period. </w:t>
      </w:r>
      <w:r>
        <w:rPr>
          <w:spacing w:val="-6"/>
        </w:rPr>
        <w:t>We </w:t>
      </w:r>
      <w:r>
        <w:rPr/>
        <w:t>therefore identify a number of control variables for operating and real changes to isolate the effect of the court ruling on</w:t>
      </w:r>
      <w:r>
        <w:rPr>
          <w:spacing w:val="-2"/>
        </w:rPr>
        <w:t> </w:t>
      </w:r>
      <w:r>
        <w:rPr/>
        <w:t>conservatism.</w:t>
      </w:r>
    </w:p>
    <w:p>
      <w:pPr>
        <w:pStyle w:val="ListParagraph"/>
        <w:numPr>
          <w:ilvl w:val="2"/>
          <w:numId w:val="5"/>
        </w:numPr>
        <w:tabs>
          <w:tab w:pos="940" w:val="left" w:leader="none"/>
        </w:tabs>
        <w:spacing w:line="230" w:lineRule="auto" w:before="153" w:after="0"/>
        <w:ind w:left="162" w:right="519" w:firstLine="199"/>
        <w:jc w:val="both"/>
        <w:rPr>
          <w:sz w:val="20"/>
        </w:rPr>
      </w:pPr>
      <w:r>
        <w:rPr/>
        <w:pict>
          <v:line style="position:absolute;mso-position-horizontal-relative:page;mso-position-vertical-relative:paragraph;z-index:-65656" from="287.954987pt,100.349388pt" to="290.951987pt,100.349388pt" stroked="true" strokeweight=".405pt" strokecolor="#000000">
            <v:stroke dashstyle="solid"/>
            <w10:wrap type="none"/>
          </v:line>
        </w:pict>
      </w:r>
      <w:r>
        <w:rPr/>
        <w:pict>
          <v:line style="position:absolute;mso-position-horizontal-relative:page;mso-position-vertical-relative:paragraph;z-index:-65632" from="340.803009pt,124.26239pt" to="343.800009pt,124.26239pt" stroked="true" strokeweight=".405pt" strokecolor="#000000">
            <v:stroke dashstyle="solid"/>
            <w10:wrap type="none"/>
          </v:line>
        </w:pict>
      </w:r>
      <w:r>
        <w:rPr/>
        <w:pict>
          <v:line style="position:absolute;mso-position-horizontal-relative:page;mso-position-vertical-relative:paragraph;z-index:-65608" from="312.30899pt,148.166397pt" to="315.30599pt,148.166397pt" stroked="true" strokeweight=".405pt" strokecolor="#000000">
            <v:stroke dashstyle="solid"/>
            <w10:wrap type="none"/>
          </v:line>
        </w:pict>
      </w:r>
      <w:r>
        <w:rPr>
          <w:i/>
          <w:sz w:val="20"/>
        </w:rPr>
        <w:t>Real Actions. </w:t>
      </w:r>
      <w:r>
        <w:rPr>
          <w:sz w:val="20"/>
        </w:rPr>
        <w:t>Asquith, </w:t>
      </w:r>
      <w:r>
        <w:rPr>
          <w:spacing w:val="-3"/>
          <w:sz w:val="20"/>
        </w:rPr>
        <w:t>Gertner, </w:t>
      </w:r>
      <w:r>
        <w:rPr>
          <w:sz w:val="20"/>
        </w:rPr>
        <w:t>and Scharfstein [1994] show that, as firms approach distress, they engage in asset sales, or improve their operating efficiency through optimizing the inventory and discretionary expenditure policies. The authors also suggest that better performing distressed firms are more likely to avoid insolvency. </w:t>
      </w:r>
      <w:r>
        <w:rPr>
          <w:spacing w:val="-9"/>
          <w:sz w:val="20"/>
        </w:rPr>
        <w:t>To </w:t>
      </w:r>
      <w:r>
        <w:rPr>
          <w:sz w:val="20"/>
        </w:rPr>
        <w:t>mitigate the concern that our observed change in conservatism could be driven by real actions taken by firms, we augment our model (1) with additional controls for the following real actions: (i) </w:t>
      </w:r>
      <w:r>
        <w:rPr>
          <w:i/>
          <w:sz w:val="20"/>
        </w:rPr>
        <w:t>DEC CAPEX</w:t>
      </w:r>
      <w:r>
        <w:rPr>
          <w:sz w:val="20"/>
        </w:rPr>
        <w:t>, a dichotomous variable equal to one if a firm’s capital expenditure decreases when compared to the prior year and zero otherwise; (ii) </w:t>
      </w:r>
      <w:r>
        <w:rPr>
          <w:i/>
          <w:sz w:val="20"/>
        </w:rPr>
        <w:t>INC SPPE</w:t>
      </w:r>
      <w:r>
        <w:rPr>
          <w:sz w:val="20"/>
        </w:rPr>
        <w:t>, a di- chotomous variable equal to one if a firm’s sale  of  PP&amp;E  increases  from the prior year and zero otherwise; (iii) </w:t>
      </w:r>
      <w:r>
        <w:rPr>
          <w:i/>
          <w:sz w:val="20"/>
        </w:rPr>
        <w:t>DEC NSEG</w:t>
      </w:r>
      <w:r>
        <w:rPr>
          <w:sz w:val="20"/>
        </w:rPr>
        <w:t>, a  dichoto-  mous variable equal to one if a firm decreases the number of  its  business</w:t>
      </w:r>
      <w:r>
        <w:rPr>
          <w:spacing w:val="31"/>
          <w:sz w:val="20"/>
        </w:rPr>
        <w:t> </w:t>
      </w:r>
      <w:r>
        <w:rPr>
          <w:sz w:val="20"/>
        </w:rPr>
        <w:t>or</w:t>
      </w:r>
      <w:r>
        <w:rPr>
          <w:spacing w:val="31"/>
          <w:sz w:val="20"/>
        </w:rPr>
        <w:t> </w:t>
      </w:r>
      <w:r>
        <w:rPr>
          <w:sz w:val="20"/>
        </w:rPr>
        <w:t>geographic</w:t>
      </w:r>
      <w:r>
        <w:rPr>
          <w:spacing w:val="31"/>
          <w:sz w:val="20"/>
        </w:rPr>
        <w:t> </w:t>
      </w:r>
      <w:r>
        <w:rPr>
          <w:sz w:val="20"/>
        </w:rPr>
        <w:t>segments</w:t>
      </w:r>
      <w:r>
        <w:rPr>
          <w:spacing w:val="31"/>
          <w:sz w:val="20"/>
        </w:rPr>
        <w:t> </w:t>
      </w:r>
      <w:r>
        <w:rPr>
          <w:sz w:val="20"/>
        </w:rPr>
        <w:t>during</w:t>
      </w:r>
      <w:r>
        <w:rPr>
          <w:spacing w:val="31"/>
          <w:sz w:val="20"/>
        </w:rPr>
        <w:t> </w:t>
      </w:r>
      <w:r>
        <w:rPr>
          <w:sz w:val="20"/>
        </w:rPr>
        <w:t>the</w:t>
      </w:r>
      <w:r>
        <w:rPr>
          <w:spacing w:val="31"/>
          <w:sz w:val="20"/>
        </w:rPr>
        <w:t> </w:t>
      </w:r>
      <w:r>
        <w:rPr>
          <w:sz w:val="20"/>
        </w:rPr>
        <w:t>year</w:t>
      </w:r>
      <w:r>
        <w:rPr>
          <w:spacing w:val="31"/>
          <w:sz w:val="20"/>
        </w:rPr>
        <w:t> </w:t>
      </w:r>
      <w:r>
        <w:rPr>
          <w:sz w:val="20"/>
        </w:rPr>
        <w:t>and</w:t>
      </w:r>
      <w:r>
        <w:rPr>
          <w:spacing w:val="31"/>
          <w:sz w:val="20"/>
        </w:rPr>
        <w:t> </w:t>
      </w:r>
      <w:r>
        <w:rPr>
          <w:sz w:val="20"/>
        </w:rPr>
        <w:t>zero</w:t>
      </w:r>
      <w:r>
        <w:rPr>
          <w:spacing w:val="31"/>
          <w:sz w:val="20"/>
        </w:rPr>
        <w:t> </w:t>
      </w:r>
      <w:r>
        <w:rPr>
          <w:sz w:val="20"/>
        </w:rPr>
        <w:t>otherwise;</w:t>
      </w:r>
    </w:p>
    <w:p>
      <w:pPr>
        <w:pStyle w:val="BodyText"/>
        <w:spacing w:line="228" w:lineRule="auto" w:before="9"/>
        <w:ind w:left="162" w:right="519"/>
        <w:jc w:val="both"/>
      </w:pPr>
      <w:r>
        <w:rPr/>
        <w:pict>
          <v:line style="position:absolute;mso-position-horizontal-relative:page;mso-position-vertical-relative:paragraph;z-index:-65584" from="118.161003pt,9.370996pt" to="121.158003pt,9.370996pt" stroked="true" strokeweight=".405pt" strokecolor="#000000">
            <v:stroke dashstyle="solid"/>
            <w10:wrap type="none"/>
          </v:line>
        </w:pict>
      </w:r>
      <w:r>
        <w:rPr/>
        <w:pict>
          <v:line style="position:absolute;mso-position-horizontal-relative:page;mso-position-vertical-relative:paragraph;z-index:-65560" from="201.807007pt,21.331995pt" to="204.804007pt,21.331995pt" stroked="true" strokeweight=".405pt" strokecolor="#000000">
            <v:stroke dashstyle="solid"/>
            <w10:wrap type="none"/>
          </v:line>
        </w:pict>
      </w:r>
      <w:r>
        <w:rPr/>
        <w:pict>
          <v:shape style="position:absolute;margin-left:241.462891pt;margin-top:13.604767pt;width:29.35pt;height:17.45pt;mso-position-horizontal-relative:page;mso-position-vertical-relative:paragraph;z-index:-65536" type="#_x0000_t202" filled="false" stroked="false">
            <v:textbox inset="0,0,0,0">
              <w:txbxContent>
                <w:p>
                  <w:pPr>
                    <w:pStyle w:val="BodyText"/>
                    <w:tabs>
                      <w:tab w:pos="430"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63.827316pt;margin-top:1.643666pt;width:28.6pt;height:17.45pt;mso-position-horizontal-relative:page;mso-position-vertical-relative:paragraph;z-index:-65512" type="#_x0000_t202" filled="false" stroked="false">
            <v:textbox inset="0,0,0,0">
              <w:txbxContent>
                <w:p>
                  <w:pPr>
                    <w:pStyle w:val="BodyText"/>
                    <w:tabs>
                      <w:tab w:pos="414"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62.208405pt;margin-top:37.517998pt;width:33.8pt;height:17.45pt;mso-position-horizontal-relative:page;mso-position-vertical-relative:paragraph;z-index:-65488"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pict>
          <v:shape style="position:absolute;margin-left:106.793999pt;margin-top:61.421768pt;width:76.5pt;height:17.45pt;mso-position-horizontal-relative:page;mso-position-vertical-relative:paragraph;z-index:-65464" type="#_x0000_t202" filled="false" stroked="false">
            <v:textbox inset="0,0,0,0">
              <w:txbxContent>
                <w:p>
                  <w:pPr>
                    <w:pStyle w:val="BodyText"/>
                    <w:tabs>
                      <w:tab w:pos="1374"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5.740997pt;margin-top:85.33477pt;width:70.75pt;height:17.45pt;mso-position-horizontal-relative:page;mso-position-vertical-relative:paragraph;z-index:-65440" type="#_x0000_t202" filled="false" stroked="false">
            <v:textbox inset="0,0,0,0">
              <w:txbxContent>
                <w:p>
                  <w:pPr>
                    <w:pStyle w:val="BodyText"/>
                    <w:tabs>
                      <w:tab w:pos="1259"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(iv) </w:t>
      </w:r>
      <w:r>
        <w:rPr>
          <w:i/>
        </w:rPr>
        <w:t>NABN DISEXP</w:t>
      </w:r>
      <w:r>
        <w:rPr/>
        <w:t>, ( 1) abnormal discretionary expenses (Roychowd- hury [2006]), and (v) </w:t>
      </w:r>
      <w:r>
        <w:rPr>
          <w:i/>
        </w:rPr>
        <w:t>NABN PROD</w:t>
      </w:r>
      <w:r>
        <w:rPr/>
        <w:t>, ( 1) abnormal production costs (Roychowdhury [2006]). As reported in table 8, we continue to find the coefficient on </w:t>
      </w:r>
      <w:r>
        <w:rPr>
          <w:i/>
        </w:rPr>
        <w:t>POST DEL HEDF93 </w:t>
      </w:r>
      <w:r>
        <w:rPr/>
        <w:t>to be positive and significant when either controlling for the five real actions variables themselves (column (i):  </w:t>
      </w:r>
      <w:r>
        <w:rPr>
          <w:rFonts w:ascii="Verdana" w:hAnsi="Verdana"/>
          <w:i/>
          <w:spacing w:val="5"/>
        </w:rPr>
        <w:t>β</w:t>
      </w:r>
      <w:r>
        <w:rPr>
          <w:color w:val="231F20"/>
          <w:spacing w:val="5"/>
          <w:vertAlign w:val="subscript"/>
        </w:rPr>
        <w:t>7</w:t>
      </w:r>
      <w:r>
        <w:rPr>
          <w:color w:val="231F20"/>
          <w:spacing w:val="5"/>
          <w:vertAlign w:val="baseline"/>
        </w:rPr>
        <w:t> </w:t>
      </w:r>
      <w:r>
        <w:rPr>
          <w:color w:val="231F20"/>
          <w:spacing w:val="61"/>
          <w:vertAlign w:val="baseline"/>
        </w:rPr>
        <w:t> </w:t>
      </w:r>
      <w:r>
        <w:rPr>
          <w:vertAlign w:val="baseline"/>
        </w:rPr>
        <w:t>0.472,  </w:t>
      </w:r>
      <w:r>
        <w:rPr>
          <w:i/>
          <w:vertAlign w:val="baseline"/>
        </w:rPr>
        <w:t>t</w:t>
      </w:r>
      <w:r>
        <w:rPr>
          <w:vertAlign w:val="baseline"/>
        </w:rPr>
        <w:t>-stat    3.67),  or  controlling  for  both  these  variables and their interactions with all the seven ruling-related variables (column (ii): </w:t>
      </w:r>
      <w:r>
        <w:rPr>
          <w:rFonts w:ascii="Verdana" w:hAnsi="Verdana"/>
          <w:i/>
          <w:spacing w:val="5"/>
          <w:vertAlign w:val="baseline"/>
        </w:rPr>
        <w:t>β</w:t>
      </w:r>
      <w:r>
        <w:rPr>
          <w:color w:val="231F20"/>
          <w:spacing w:val="5"/>
          <w:vertAlign w:val="subscript"/>
        </w:rPr>
        <w:t>7</w:t>
      </w:r>
      <w:r>
        <w:rPr>
          <w:color w:val="231F20"/>
          <w:spacing w:val="5"/>
          <w:vertAlign w:val="baseline"/>
        </w:rPr>
        <w:t> </w:t>
      </w:r>
      <w:r>
        <w:rPr>
          <w:color w:val="231F20"/>
          <w:spacing w:val="61"/>
          <w:vertAlign w:val="baseline"/>
        </w:rPr>
        <w:t> </w:t>
      </w:r>
      <w:r>
        <w:rPr>
          <w:vertAlign w:val="baseline"/>
        </w:rPr>
        <w:t>0.326, </w:t>
      </w:r>
      <w:r>
        <w:rPr>
          <w:i/>
          <w:vertAlign w:val="baseline"/>
        </w:rPr>
        <w:t>t</w:t>
      </w:r>
      <w:r>
        <w:rPr>
          <w:vertAlign w:val="baseline"/>
        </w:rPr>
        <w:t>-stat    1.70). In sum, the robust results after controlling for</w:t>
      </w:r>
      <w:r>
        <w:rPr>
          <w:spacing w:val="-6"/>
          <w:vertAlign w:val="baseline"/>
        </w:rPr>
        <w:t> </w:t>
      </w:r>
      <w:r>
        <w:rPr>
          <w:vertAlign w:val="baseline"/>
        </w:rPr>
        <w:t>real</w:t>
      </w:r>
      <w:r>
        <w:rPr>
          <w:spacing w:val="-6"/>
          <w:vertAlign w:val="baseline"/>
        </w:rPr>
        <w:t> </w:t>
      </w:r>
      <w:r>
        <w:rPr>
          <w:vertAlign w:val="baseline"/>
        </w:rPr>
        <w:t>actions</w:t>
      </w:r>
      <w:r>
        <w:rPr>
          <w:spacing w:val="-6"/>
          <w:vertAlign w:val="baseline"/>
        </w:rPr>
        <w:t> </w:t>
      </w:r>
      <w:r>
        <w:rPr>
          <w:vertAlign w:val="baseline"/>
        </w:rPr>
        <w:t>corroborate</w:t>
      </w:r>
      <w:r>
        <w:rPr>
          <w:spacing w:val="-6"/>
          <w:vertAlign w:val="baseline"/>
        </w:rPr>
        <w:t> </w:t>
      </w:r>
      <w:r>
        <w:rPr>
          <w:vertAlign w:val="baseline"/>
        </w:rPr>
        <w:t>the</w:t>
      </w:r>
      <w:r>
        <w:rPr>
          <w:spacing w:val="-6"/>
          <w:vertAlign w:val="baseline"/>
        </w:rPr>
        <w:t> </w:t>
      </w:r>
      <w:r>
        <w:rPr>
          <w:vertAlign w:val="baseline"/>
        </w:rPr>
        <w:t>main</w:t>
      </w:r>
      <w:r>
        <w:rPr>
          <w:spacing w:val="-6"/>
          <w:vertAlign w:val="baseline"/>
        </w:rPr>
        <w:t> </w:t>
      </w:r>
      <w:r>
        <w:rPr>
          <w:vertAlign w:val="baseline"/>
        </w:rPr>
        <w:t>findings</w:t>
      </w:r>
      <w:r>
        <w:rPr>
          <w:spacing w:val="-6"/>
          <w:vertAlign w:val="baseline"/>
        </w:rPr>
        <w:t> </w:t>
      </w:r>
      <w:r>
        <w:rPr>
          <w:vertAlign w:val="baseline"/>
        </w:rPr>
        <w:t>in</w:t>
      </w:r>
      <w:r>
        <w:rPr>
          <w:spacing w:val="-6"/>
          <w:vertAlign w:val="baseline"/>
        </w:rPr>
        <w:t> </w:t>
      </w:r>
      <w:r>
        <w:rPr>
          <w:vertAlign w:val="baseline"/>
        </w:rPr>
        <w:t>table</w:t>
      </w:r>
      <w:r>
        <w:rPr>
          <w:spacing w:val="-6"/>
          <w:vertAlign w:val="baseline"/>
        </w:rPr>
        <w:t> </w:t>
      </w:r>
      <w:r>
        <w:rPr>
          <w:vertAlign w:val="baseline"/>
        </w:rPr>
        <w:t>4</w:t>
      </w:r>
      <w:r>
        <w:rPr>
          <w:spacing w:val="-6"/>
          <w:vertAlign w:val="baseline"/>
        </w:rPr>
        <w:t> </w:t>
      </w:r>
      <w:r>
        <w:rPr>
          <w:vertAlign w:val="baseline"/>
        </w:rPr>
        <w:t>and</w:t>
      </w:r>
      <w:r>
        <w:rPr>
          <w:spacing w:val="-6"/>
          <w:vertAlign w:val="baseline"/>
        </w:rPr>
        <w:t> </w:t>
      </w:r>
      <w:r>
        <w:rPr>
          <w:vertAlign w:val="baseline"/>
        </w:rPr>
        <w:t>lend</w:t>
      </w:r>
      <w:r>
        <w:rPr>
          <w:spacing w:val="-6"/>
          <w:vertAlign w:val="baseline"/>
        </w:rPr>
        <w:t> </w:t>
      </w:r>
      <w:r>
        <w:rPr>
          <w:vertAlign w:val="baseline"/>
        </w:rPr>
        <w:t>stronger support to our hypothesis.</w:t>
      </w:r>
    </w:p>
    <w:p>
      <w:pPr>
        <w:pStyle w:val="ListParagraph"/>
        <w:numPr>
          <w:ilvl w:val="2"/>
          <w:numId w:val="5"/>
        </w:numPr>
        <w:tabs>
          <w:tab w:pos="940" w:val="left" w:leader="none"/>
        </w:tabs>
        <w:spacing w:line="230" w:lineRule="auto" w:before="162" w:after="0"/>
        <w:ind w:left="162" w:right="519" w:firstLine="199"/>
        <w:jc w:val="both"/>
        <w:rPr>
          <w:sz w:val="20"/>
        </w:rPr>
      </w:pPr>
      <w:r>
        <w:rPr/>
        <w:pict>
          <v:shape style="position:absolute;margin-left:272.106445pt;margin-top:81.120819pt;width:29.1pt;height:17.45pt;mso-position-horizontal-relative:page;mso-position-vertical-relative:paragraph;z-index:-65416" type="#_x0000_t202" filled="false" stroked="false">
            <v:textbox inset="0,0,0,0">
              <w:txbxContent>
                <w:p>
                  <w:pPr>
                    <w:pStyle w:val="BodyText"/>
                    <w:tabs>
                      <w:tab w:pos="425"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w w:val="105"/>
          <w:sz w:val="20"/>
        </w:rPr>
        <w:t>Special Items. </w:t>
      </w:r>
      <w:r>
        <w:rPr>
          <w:w w:val="105"/>
          <w:sz w:val="20"/>
        </w:rPr>
        <w:t>Negative special items could be one mechanism </w:t>
      </w:r>
      <w:r>
        <w:rPr>
          <w:sz w:val="20"/>
        </w:rPr>
        <w:t>through which firms adopt more accounting conservatism (Callen,</w:t>
      </w:r>
      <w:r>
        <w:rPr>
          <w:spacing w:val="-8"/>
          <w:sz w:val="20"/>
        </w:rPr>
        <w:t> </w:t>
      </w:r>
      <w:r>
        <w:rPr>
          <w:sz w:val="20"/>
        </w:rPr>
        <w:t>Segal, </w:t>
      </w:r>
      <w:r>
        <w:rPr>
          <w:w w:val="105"/>
          <w:sz w:val="20"/>
        </w:rPr>
        <w:t>and</w:t>
      </w:r>
      <w:r>
        <w:rPr>
          <w:spacing w:val="-23"/>
          <w:w w:val="105"/>
          <w:sz w:val="20"/>
        </w:rPr>
        <w:t> </w:t>
      </w:r>
      <w:r>
        <w:rPr>
          <w:w w:val="105"/>
          <w:sz w:val="20"/>
        </w:rPr>
        <w:t>Hope</w:t>
      </w:r>
      <w:r>
        <w:rPr>
          <w:spacing w:val="-23"/>
          <w:w w:val="105"/>
          <w:sz w:val="20"/>
        </w:rPr>
        <w:t> </w:t>
      </w:r>
      <w:r>
        <w:rPr>
          <w:w w:val="105"/>
          <w:sz w:val="20"/>
        </w:rPr>
        <w:t>[2010]).</w:t>
      </w:r>
      <w:r>
        <w:rPr>
          <w:spacing w:val="-23"/>
          <w:w w:val="105"/>
          <w:sz w:val="20"/>
        </w:rPr>
        <w:t> </w:t>
      </w:r>
      <w:r>
        <w:rPr>
          <w:spacing w:val="-9"/>
          <w:w w:val="105"/>
          <w:sz w:val="20"/>
        </w:rPr>
        <w:t>To</w:t>
      </w:r>
      <w:r>
        <w:rPr>
          <w:spacing w:val="-23"/>
          <w:w w:val="105"/>
          <w:sz w:val="20"/>
        </w:rPr>
        <w:t> </w:t>
      </w:r>
      <w:r>
        <w:rPr>
          <w:w w:val="105"/>
          <w:sz w:val="20"/>
        </w:rPr>
        <w:t>the</w:t>
      </w:r>
      <w:r>
        <w:rPr>
          <w:spacing w:val="-23"/>
          <w:w w:val="105"/>
          <w:sz w:val="20"/>
        </w:rPr>
        <w:t> </w:t>
      </w:r>
      <w:r>
        <w:rPr>
          <w:w w:val="105"/>
          <w:sz w:val="20"/>
        </w:rPr>
        <w:t>extent</w:t>
      </w:r>
      <w:r>
        <w:rPr>
          <w:spacing w:val="-23"/>
          <w:w w:val="105"/>
          <w:sz w:val="20"/>
        </w:rPr>
        <w:t> </w:t>
      </w:r>
      <w:r>
        <w:rPr>
          <w:w w:val="105"/>
          <w:sz w:val="20"/>
        </w:rPr>
        <w:t>that</w:t>
      </w:r>
      <w:r>
        <w:rPr>
          <w:spacing w:val="-23"/>
          <w:w w:val="105"/>
          <w:sz w:val="20"/>
        </w:rPr>
        <w:t> </w:t>
      </w:r>
      <w:r>
        <w:rPr>
          <w:w w:val="105"/>
          <w:sz w:val="20"/>
        </w:rPr>
        <w:t>negative</w:t>
      </w:r>
      <w:r>
        <w:rPr>
          <w:spacing w:val="-23"/>
          <w:w w:val="105"/>
          <w:sz w:val="20"/>
        </w:rPr>
        <w:t> </w:t>
      </w:r>
      <w:r>
        <w:rPr>
          <w:w w:val="105"/>
          <w:sz w:val="20"/>
        </w:rPr>
        <w:t>special</w:t>
      </w:r>
      <w:r>
        <w:rPr>
          <w:spacing w:val="-23"/>
          <w:w w:val="105"/>
          <w:sz w:val="20"/>
        </w:rPr>
        <w:t> </w:t>
      </w:r>
      <w:r>
        <w:rPr>
          <w:w w:val="105"/>
          <w:sz w:val="20"/>
        </w:rPr>
        <w:t>items,</w:t>
      </w:r>
      <w:r>
        <w:rPr>
          <w:spacing w:val="-23"/>
          <w:w w:val="105"/>
          <w:sz w:val="20"/>
        </w:rPr>
        <w:t> </w:t>
      </w:r>
      <w:r>
        <w:rPr>
          <w:w w:val="105"/>
          <w:sz w:val="20"/>
        </w:rPr>
        <w:t>for</w:t>
      </w:r>
      <w:r>
        <w:rPr>
          <w:spacing w:val="-23"/>
          <w:w w:val="105"/>
          <w:sz w:val="20"/>
        </w:rPr>
        <w:t> </w:t>
      </w:r>
      <w:r>
        <w:rPr>
          <w:w w:val="105"/>
          <w:sz w:val="20"/>
        </w:rPr>
        <w:t>example, </w:t>
      </w:r>
      <w:r>
        <w:rPr>
          <w:sz w:val="20"/>
        </w:rPr>
        <w:t>one-time</w:t>
      </w:r>
      <w:r>
        <w:rPr>
          <w:spacing w:val="-5"/>
          <w:sz w:val="20"/>
        </w:rPr>
        <w:t> </w:t>
      </w:r>
      <w:r>
        <w:rPr>
          <w:sz w:val="20"/>
        </w:rPr>
        <w:t>write-offs,</w:t>
      </w:r>
      <w:r>
        <w:rPr>
          <w:spacing w:val="-5"/>
          <w:sz w:val="20"/>
        </w:rPr>
        <w:t> </w:t>
      </w:r>
      <w:r>
        <w:rPr>
          <w:sz w:val="20"/>
        </w:rPr>
        <w:t>could</w:t>
      </w:r>
      <w:r>
        <w:rPr>
          <w:spacing w:val="-5"/>
          <w:sz w:val="20"/>
        </w:rPr>
        <w:t> </w:t>
      </w:r>
      <w:r>
        <w:rPr>
          <w:sz w:val="20"/>
        </w:rPr>
        <w:t>be</w:t>
      </w:r>
      <w:r>
        <w:rPr>
          <w:spacing w:val="-5"/>
          <w:sz w:val="20"/>
        </w:rPr>
        <w:t> </w:t>
      </w:r>
      <w:r>
        <w:rPr>
          <w:sz w:val="20"/>
        </w:rPr>
        <w:t>more</w:t>
      </w:r>
      <w:r>
        <w:rPr>
          <w:spacing w:val="-5"/>
          <w:sz w:val="20"/>
        </w:rPr>
        <w:t> </w:t>
      </w:r>
      <w:r>
        <w:rPr>
          <w:sz w:val="20"/>
        </w:rPr>
        <w:t>prevalent</w:t>
      </w:r>
      <w:r>
        <w:rPr>
          <w:spacing w:val="-5"/>
          <w:sz w:val="20"/>
        </w:rPr>
        <w:t> </w:t>
      </w:r>
      <w:r>
        <w:rPr>
          <w:sz w:val="20"/>
        </w:rPr>
        <w:t>among</w:t>
      </w:r>
      <w:r>
        <w:rPr>
          <w:spacing w:val="-4"/>
          <w:sz w:val="20"/>
        </w:rPr>
        <w:t> </w:t>
      </w:r>
      <w:r>
        <w:rPr>
          <w:sz w:val="20"/>
        </w:rPr>
        <w:t>near</w:t>
      </w:r>
      <w:r>
        <w:rPr>
          <w:spacing w:val="-4"/>
          <w:sz w:val="20"/>
        </w:rPr>
        <w:t> </w:t>
      </w:r>
      <w:r>
        <w:rPr>
          <w:sz w:val="20"/>
        </w:rPr>
        <w:t>insolvent</w:t>
      </w:r>
      <w:r>
        <w:rPr>
          <w:spacing w:val="-5"/>
          <w:sz w:val="20"/>
        </w:rPr>
        <w:t> </w:t>
      </w:r>
      <w:r>
        <w:rPr>
          <w:sz w:val="20"/>
        </w:rPr>
        <w:t>firms, the</w:t>
      </w:r>
      <w:r>
        <w:rPr>
          <w:spacing w:val="-12"/>
          <w:sz w:val="20"/>
        </w:rPr>
        <w:t> </w:t>
      </w:r>
      <w:r>
        <w:rPr>
          <w:sz w:val="20"/>
        </w:rPr>
        <w:t>presence</w:t>
      </w:r>
      <w:r>
        <w:rPr>
          <w:spacing w:val="-12"/>
          <w:sz w:val="20"/>
        </w:rPr>
        <w:t> </w:t>
      </w:r>
      <w:r>
        <w:rPr>
          <w:sz w:val="20"/>
        </w:rPr>
        <w:t>of</w:t>
      </w:r>
      <w:r>
        <w:rPr>
          <w:spacing w:val="-12"/>
          <w:sz w:val="20"/>
        </w:rPr>
        <w:t> </w:t>
      </w:r>
      <w:r>
        <w:rPr>
          <w:sz w:val="20"/>
        </w:rPr>
        <w:t>negative</w:t>
      </w:r>
      <w:r>
        <w:rPr>
          <w:spacing w:val="-12"/>
          <w:sz w:val="20"/>
        </w:rPr>
        <w:t> </w:t>
      </w:r>
      <w:r>
        <w:rPr>
          <w:sz w:val="20"/>
        </w:rPr>
        <w:t>special</w:t>
      </w:r>
      <w:r>
        <w:rPr>
          <w:spacing w:val="-12"/>
          <w:sz w:val="20"/>
        </w:rPr>
        <w:t> </w:t>
      </w:r>
      <w:r>
        <w:rPr>
          <w:sz w:val="20"/>
        </w:rPr>
        <w:t>items</w:t>
      </w:r>
      <w:r>
        <w:rPr>
          <w:spacing w:val="-12"/>
          <w:sz w:val="20"/>
        </w:rPr>
        <w:t> </w:t>
      </w:r>
      <w:r>
        <w:rPr>
          <w:sz w:val="20"/>
        </w:rPr>
        <w:t>could</w:t>
      </w:r>
      <w:r>
        <w:rPr>
          <w:spacing w:val="-12"/>
          <w:sz w:val="20"/>
        </w:rPr>
        <w:t> </w:t>
      </w:r>
      <w:r>
        <w:rPr>
          <w:sz w:val="20"/>
        </w:rPr>
        <w:t>confound</w:t>
      </w:r>
      <w:r>
        <w:rPr>
          <w:spacing w:val="-12"/>
          <w:sz w:val="20"/>
        </w:rPr>
        <w:t> </w:t>
      </w:r>
      <w:r>
        <w:rPr>
          <w:sz w:val="20"/>
        </w:rPr>
        <w:t>our</w:t>
      </w:r>
      <w:r>
        <w:rPr>
          <w:spacing w:val="-12"/>
          <w:sz w:val="20"/>
        </w:rPr>
        <w:t> </w:t>
      </w:r>
      <w:r>
        <w:rPr>
          <w:sz w:val="20"/>
        </w:rPr>
        <w:t>results.</w:t>
      </w:r>
      <w:r>
        <w:rPr>
          <w:spacing w:val="-12"/>
          <w:sz w:val="20"/>
        </w:rPr>
        <w:t> </w:t>
      </w:r>
      <w:r>
        <w:rPr>
          <w:spacing w:val="-6"/>
          <w:sz w:val="20"/>
        </w:rPr>
        <w:t>We</w:t>
      </w:r>
      <w:r>
        <w:rPr>
          <w:spacing w:val="-12"/>
          <w:sz w:val="20"/>
        </w:rPr>
        <w:t> </w:t>
      </w:r>
      <w:r>
        <w:rPr>
          <w:sz w:val="20"/>
        </w:rPr>
        <w:t>con- trol for the presence of negative special items by including sales-deflated </w:t>
      </w:r>
      <w:r>
        <w:rPr>
          <w:w w:val="105"/>
          <w:sz w:val="20"/>
        </w:rPr>
        <w:t>negative special items </w:t>
      </w:r>
      <w:r>
        <w:rPr>
          <w:i/>
          <w:w w:val="105"/>
          <w:sz w:val="20"/>
        </w:rPr>
        <w:t>SI</w:t>
      </w:r>
      <w:r>
        <w:rPr>
          <w:w w:val="105"/>
          <w:sz w:val="20"/>
        </w:rPr>
        <w:t>, which is equal to (  1)  SPI/SALES if SPI </w:t>
      </w:r>
      <w:r>
        <w:rPr>
          <w:rFonts w:ascii="Verdana"/>
          <w:i/>
          <w:w w:val="105"/>
          <w:sz w:val="20"/>
        </w:rPr>
        <w:t>&lt; </w:t>
      </w:r>
      <w:r>
        <w:rPr>
          <w:w w:val="105"/>
          <w:sz w:val="20"/>
        </w:rPr>
        <w:t>0</w:t>
      </w:r>
      <w:r>
        <w:rPr>
          <w:spacing w:val="-10"/>
          <w:w w:val="105"/>
          <w:sz w:val="20"/>
        </w:rPr>
        <w:t> </w:t>
      </w:r>
      <w:r>
        <w:rPr>
          <w:w w:val="105"/>
          <w:sz w:val="20"/>
        </w:rPr>
        <w:t>and</w:t>
      </w:r>
      <w:r>
        <w:rPr>
          <w:spacing w:val="-10"/>
          <w:w w:val="105"/>
          <w:sz w:val="20"/>
        </w:rPr>
        <w:t> </w:t>
      </w:r>
      <w:r>
        <w:rPr>
          <w:w w:val="105"/>
          <w:sz w:val="20"/>
        </w:rPr>
        <w:t>0</w:t>
      </w:r>
      <w:r>
        <w:rPr>
          <w:spacing w:val="-10"/>
          <w:w w:val="105"/>
          <w:sz w:val="20"/>
        </w:rPr>
        <w:t> </w:t>
      </w:r>
      <w:r>
        <w:rPr>
          <w:w w:val="105"/>
          <w:sz w:val="20"/>
        </w:rPr>
        <w:t>otherwise,</w:t>
      </w:r>
      <w:r>
        <w:rPr>
          <w:spacing w:val="-10"/>
          <w:w w:val="105"/>
          <w:sz w:val="20"/>
        </w:rPr>
        <w:t> </w:t>
      </w:r>
      <w:r>
        <w:rPr>
          <w:w w:val="105"/>
          <w:sz w:val="20"/>
        </w:rPr>
        <w:t>and</w:t>
      </w:r>
      <w:r>
        <w:rPr>
          <w:spacing w:val="-10"/>
          <w:w w:val="105"/>
          <w:sz w:val="20"/>
        </w:rPr>
        <w:t> </w:t>
      </w:r>
      <w:r>
        <w:rPr>
          <w:w w:val="105"/>
          <w:sz w:val="20"/>
        </w:rPr>
        <w:t>its</w:t>
      </w:r>
      <w:r>
        <w:rPr>
          <w:spacing w:val="-10"/>
          <w:w w:val="105"/>
          <w:sz w:val="20"/>
        </w:rPr>
        <w:t> </w:t>
      </w:r>
      <w:r>
        <w:rPr>
          <w:w w:val="105"/>
          <w:sz w:val="20"/>
        </w:rPr>
        <w:t>interactions</w:t>
      </w:r>
      <w:r>
        <w:rPr>
          <w:spacing w:val="-10"/>
          <w:w w:val="105"/>
          <w:sz w:val="20"/>
        </w:rPr>
        <w:t> </w:t>
      </w:r>
      <w:r>
        <w:rPr>
          <w:w w:val="105"/>
          <w:sz w:val="20"/>
        </w:rPr>
        <w:t>with</w:t>
      </w:r>
      <w:r>
        <w:rPr>
          <w:spacing w:val="-10"/>
          <w:w w:val="105"/>
          <w:sz w:val="20"/>
        </w:rPr>
        <w:t> </w:t>
      </w:r>
      <w:r>
        <w:rPr>
          <w:w w:val="105"/>
          <w:sz w:val="20"/>
        </w:rPr>
        <w:t>all</w:t>
      </w:r>
      <w:r>
        <w:rPr>
          <w:spacing w:val="-10"/>
          <w:w w:val="105"/>
          <w:sz w:val="20"/>
        </w:rPr>
        <w:t> </w:t>
      </w:r>
      <w:r>
        <w:rPr>
          <w:w w:val="105"/>
          <w:sz w:val="20"/>
        </w:rPr>
        <w:t>the</w:t>
      </w:r>
      <w:r>
        <w:rPr>
          <w:spacing w:val="-10"/>
          <w:w w:val="105"/>
          <w:sz w:val="20"/>
        </w:rPr>
        <w:t> </w:t>
      </w:r>
      <w:r>
        <w:rPr>
          <w:w w:val="105"/>
          <w:sz w:val="20"/>
        </w:rPr>
        <w:t>seven</w:t>
      </w:r>
      <w:r>
        <w:rPr>
          <w:spacing w:val="-10"/>
          <w:w w:val="105"/>
          <w:sz w:val="20"/>
        </w:rPr>
        <w:t> </w:t>
      </w:r>
      <w:r>
        <w:rPr>
          <w:w w:val="105"/>
          <w:sz w:val="20"/>
        </w:rPr>
        <w:t>ruling-related variables</w:t>
      </w:r>
      <w:r>
        <w:rPr>
          <w:spacing w:val="-14"/>
          <w:w w:val="105"/>
          <w:sz w:val="20"/>
        </w:rPr>
        <w:t> </w:t>
      </w:r>
      <w:r>
        <w:rPr>
          <w:w w:val="105"/>
          <w:sz w:val="20"/>
        </w:rPr>
        <w:t>in</w:t>
      </w:r>
      <w:r>
        <w:rPr>
          <w:spacing w:val="-14"/>
          <w:w w:val="105"/>
          <w:sz w:val="20"/>
        </w:rPr>
        <w:t> </w:t>
      </w:r>
      <w:r>
        <w:rPr>
          <w:w w:val="105"/>
          <w:sz w:val="20"/>
        </w:rPr>
        <w:t>addition</w:t>
      </w:r>
      <w:r>
        <w:rPr>
          <w:spacing w:val="-14"/>
          <w:w w:val="105"/>
          <w:sz w:val="20"/>
        </w:rPr>
        <w:t> </w:t>
      </w:r>
      <w:r>
        <w:rPr>
          <w:w w:val="105"/>
          <w:sz w:val="20"/>
        </w:rPr>
        <w:t>to</w:t>
      </w:r>
      <w:r>
        <w:rPr>
          <w:spacing w:val="-14"/>
          <w:w w:val="105"/>
          <w:sz w:val="20"/>
        </w:rPr>
        <w:t> </w:t>
      </w:r>
      <w:r>
        <w:rPr>
          <w:w w:val="105"/>
          <w:sz w:val="20"/>
        </w:rPr>
        <w:t>other</w:t>
      </w:r>
      <w:r>
        <w:rPr>
          <w:spacing w:val="-14"/>
          <w:w w:val="105"/>
          <w:sz w:val="20"/>
        </w:rPr>
        <w:t> </w:t>
      </w:r>
      <w:r>
        <w:rPr>
          <w:w w:val="105"/>
          <w:sz w:val="20"/>
        </w:rPr>
        <w:t>control</w:t>
      </w:r>
      <w:r>
        <w:rPr>
          <w:spacing w:val="-14"/>
          <w:w w:val="105"/>
          <w:sz w:val="20"/>
        </w:rPr>
        <w:t> </w:t>
      </w:r>
      <w:r>
        <w:rPr>
          <w:w w:val="105"/>
          <w:sz w:val="20"/>
        </w:rPr>
        <w:t>variables</w:t>
      </w:r>
      <w:r>
        <w:rPr>
          <w:spacing w:val="-14"/>
          <w:w w:val="105"/>
          <w:sz w:val="20"/>
        </w:rPr>
        <w:t> </w:t>
      </w:r>
      <w:r>
        <w:rPr>
          <w:w w:val="105"/>
          <w:sz w:val="20"/>
        </w:rPr>
        <w:t>in</w:t>
      </w:r>
      <w:r>
        <w:rPr>
          <w:spacing w:val="-14"/>
          <w:w w:val="105"/>
          <w:sz w:val="20"/>
        </w:rPr>
        <w:t> </w:t>
      </w:r>
      <w:r>
        <w:rPr>
          <w:w w:val="105"/>
          <w:sz w:val="20"/>
        </w:rPr>
        <w:t>model</w:t>
      </w:r>
      <w:r>
        <w:rPr>
          <w:spacing w:val="-14"/>
          <w:w w:val="105"/>
          <w:sz w:val="20"/>
        </w:rPr>
        <w:t> </w:t>
      </w:r>
      <w:r>
        <w:rPr>
          <w:w w:val="105"/>
          <w:sz w:val="20"/>
        </w:rPr>
        <w:t>(1).</w:t>
      </w:r>
      <w:r>
        <w:rPr>
          <w:spacing w:val="-14"/>
          <w:w w:val="105"/>
          <w:sz w:val="20"/>
        </w:rPr>
        <w:t> </w:t>
      </w:r>
      <w:r>
        <w:rPr>
          <w:w w:val="105"/>
          <w:sz w:val="20"/>
        </w:rPr>
        <w:t>The</w:t>
      </w:r>
      <w:r>
        <w:rPr>
          <w:spacing w:val="-14"/>
          <w:w w:val="105"/>
          <w:sz w:val="20"/>
        </w:rPr>
        <w:t> </w:t>
      </w:r>
      <w:r>
        <w:rPr>
          <w:w w:val="105"/>
          <w:sz w:val="20"/>
        </w:rPr>
        <w:t>results (online</w:t>
      </w:r>
      <w:r>
        <w:rPr>
          <w:spacing w:val="-18"/>
          <w:w w:val="105"/>
          <w:sz w:val="20"/>
        </w:rPr>
        <w:t> </w:t>
      </w:r>
      <w:r>
        <w:rPr>
          <w:w w:val="105"/>
          <w:sz w:val="20"/>
        </w:rPr>
        <w:t>appendix</w:t>
      </w:r>
      <w:r>
        <w:rPr>
          <w:spacing w:val="-18"/>
          <w:w w:val="105"/>
          <w:sz w:val="20"/>
        </w:rPr>
        <w:t> </w:t>
      </w:r>
      <w:r>
        <w:rPr>
          <w:w w:val="105"/>
          <w:sz w:val="20"/>
        </w:rPr>
        <w:t>table</w:t>
      </w:r>
      <w:r>
        <w:rPr>
          <w:spacing w:val="-18"/>
          <w:w w:val="105"/>
          <w:sz w:val="20"/>
        </w:rPr>
        <w:t> </w:t>
      </w:r>
      <w:r>
        <w:rPr>
          <w:w w:val="105"/>
          <w:sz w:val="20"/>
        </w:rPr>
        <w:t>A10)</w:t>
      </w:r>
      <w:r>
        <w:rPr>
          <w:spacing w:val="-18"/>
          <w:w w:val="105"/>
          <w:sz w:val="20"/>
        </w:rPr>
        <w:t> </w:t>
      </w:r>
      <w:r>
        <w:rPr>
          <w:w w:val="105"/>
          <w:sz w:val="20"/>
        </w:rPr>
        <w:t>show</w:t>
      </w:r>
      <w:r>
        <w:rPr>
          <w:spacing w:val="-18"/>
          <w:w w:val="105"/>
          <w:sz w:val="20"/>
        </w:rPr>
        <w:t> </w:t>
      </w:r>
      <w:r>
        <w:rPr>
          <w:w w:val="105"/>
          <w:sz w:val="20"/>
        </w:rPr>
        <w:t>that</w:t>
      </w:r>
      <w:r>
        <w:rPr>
          <w:spacing w:val="-18"/>
          <w:w w:val="105"/>
          <w:sz w:val="20"/>
        </w:rPr>
        <w:t> </w:t>
      </w:r>
      <w:r>
        <w:rPr>
          <w:w w:val="105"/>
          <w:sz w:val="20"/>
        </w:rPr>
        <w:t>controlling</w:t>
      </w:r>
      <w:r>
        <w:rPr>
          <w:spacing w:val="-18"/>
          <w:w w:val="105"/>
          <w:sz w:val="20"/>
        </w:rPr>
        <w:t> </w:t>
      </w:r>
      <w:r>
        <w:rPr>
          <w:w w:val="105"/>
          <w:sz w:val="20"/>
        </w:rPr>
        <w:t>for</w:t>
      </w:r>
      <w:r>
        <w:rPr>
          <w:spacing w:val="-18"/>
          <w:w w:val="105"/>
          <w:sz w:val="20"/>
        </w:rPr>
        <w:t> </w:t>
      </w:r>
      <w:r>
        <w:rPr>
          <w:w w:val="105"/>
          <w:sz w:val="20"/>
        </w:rPr>
        <w:t>the</w:t>
      </w:r>
      <w:r>
        <w:rPr>
          <w:spacing w:val="-18"/>
          <w:w w:val="105"/>
          <w:sz w:val="20"/>
        </w:rPr>
        <w:t> </w:t>
      </w:r>
      <w:r>
        <w:rPr>
          <w:w w:val="105"/>
          <w:sz w:val="20"/>
        </w:rPr>
        <w:t>effect</w:t>
      </w:r>
      <w:r>
        <w:rPr>
          <w:spacing w:val="-18"/>
          <w:w w:val="105"/>
          <w:sz w:val="20"/>
        </w:rPr>
        <w:t> </w:t>
      </w:r>
      <w:r>
        <w:rPr>
          <w:w w:val="105"/>
          <w:sz w:val="20"/>
        </w:rPr>
        <w:t>of</w:t>
      </w:r>
      <w:r>
        <w:rPr>
          <w:spacing w:val="-18"/>
          <w:w w:val="105"/>
          <w:sz w:val="20"/>
        </w:rPr>
        <w:t> </w:t>
      </w:r>
      <w:r>
        <w:rPr>
          <w:w w:val="105"/>
          <w:sz w:val="20"/>
        </w:rPr>
        <w:t>nega- </w:t>
      </w:r>
      <w:r>
        <w:rPr>
          <w:sz w:val="20"/>
        </w:rPr>
        <w:t>tive</w:t>
      </w:r>
      <w:r>
        <w:rPr>
          <w:spacing w:val="-17"/>
          <w:sz w:val="20"/>
        </w:rPr>
        <w:t> </w:t>
      </w:r>
      <w:r>
        <w:rPr>
          <w:sz w:val="20"/>
        </w:rPr>
        <w:t>special</w:t>
      </w:r>
      <w:r>
        <w:rPr>
          <w:spacing w:val="-16"/>
          <w:sz w:val="20"/>
        </w:rPr>
        <w:t> </w:t>
      </w:r>
      <w:r>
        <w:rPr>
          <w:sz w:val="20"/>
        </w:rPr>
        <w:t>items</w:t>
      </w:r>
      <w:r>
        <w:rPr>
          <w:spacing w:val="-17"/>
          <w:sz w:val="20"/>
        </w:rPr>
        <w:t> </w:t>
      </w:r>
      <w:r>
        <w:rPr>
          <w:sz w:val="20"/>
        </w:rPr>
        <w:t>on</w:t>
      </w:r>
      <w:r>
        <w:rPr>
          <w:spacing w:val="-16"/>
          <w:sz w:val="20"/>
        </w:rPr>
        <w:t> </w:t>
      </w:r>
      <w:r>
        <w:rPr>
          <w:sz w:val="20"/>
        </w:rPr>
        <w:t>conservatism</w:t>
      </w:r>
      <w:r>
        <w:rPr>
          <w:spacing w:val="-17"/>
          <w:sz w:val="20"/>
        </w:rPr>
        <w:t> </w:t>
      </w:r>
      <w:r>
        <w:rPr>
          <w:sz w:val="20"/>
        </w:rPr>
        <w:t>as</w:t>
      </w:r>
      <w:r>
        <w:rPr>
          <w:spacing w:val="-16"/>
          <w:sz w:val="20"/>
        </w:rPr>
        <w:t> </w:t>
      </w:r>
      <w:r>
        <w:rPr>
          <w:sz w:val="20"/>
        </w:rPr>
        <w:t>well</w:t>
      </w:r>
      <w:r>
        <w:rPr>
          <w:spacing w:val="-16"/>
          <w:sz w:val="20"/>
        </w:rPr>
        <w:t> </w:t>
      </w:r>
      <w:r>
        <w:rPr>
          <w:sz w:val="20"/>
        </w:rPr>
        <w:t>as</w:t>
      </w:r>
      <w:r>
        <w:rPr>
          <w:spacing w:val="-16"/>
          <w:sz w:val="20"/>
        </w:rPr>
        <w:t> </w:t>
      </w:r>
      <w:r>
        <w:rPr>
          <w:sz w:val="20"/>
        </w:rPr>
        <w:t>their</w:t>
      </w:r>
      <w:r>
        <w:rPr>
          <w:spacing w:val="-16"/>
          <w:sz w:val="20"/>
        </w:rPr>
        <w:t> </w:t>
      </w:r>
      <w:r>
        <w:rPr>
          <w:sz w:val="20"/>
        </w:rPr>
        <w:t>possible</w:t>
      </w:r>
      <w:r>
        <w:rPr>
          <w:spacing w:val="-17"/>
          <w:sz w:val="20"/>
        </w:rPr>
        <w:t> </w:t>
      </w:r>
      <w:r>
        <w:rPr>
          <w:sz w:val="20"/>
        </w:rPr>
        <w:t>variations</w:t>
      </w:r>
      <w:r>
        <w:rPr>
          <w:spacing w:val="-16"/>
          <w:sz w:val="20"/>
        </w:rPr>
        <w:t> </w:t>
      </w:r>
      <w:r>
        <w:rPr>
          <w:sz w:val="20"/>
        </w:rPr>
        <w:t>along</w:t>
      </w:r>
    </w:p>
    <w:p>
      <w:pPr>
        <w:pStyle w:val="BodyText"/>
        <w:spacing w:before="10"/>
        <w:rPr>
          <w:sz w:val="27"/>
        </w:rPr>
      </w:pPr>
      <w:r>
        <w:rPr/>
        <w:pict>
          <v:line style="position:absolute;mso-position-horizontal-relative:page;mso-position-vertical-relative:paragraph;z-index:6040;mso-wrap-distance-left:0;mso-wrap-distance-right:0" from="72.125999pt,19.554268pt" to="107.999999pt,19.554268pt" stroked="true" strokeweight=".504pt" strokecolor="#000000">
            <v:stroke dashstyle="solid"/>
            <w10:wrap type="topAndBottom"/>
          </v:line>
        </w:pict>
      </w:r>
    </w:p>
    <w:p>
      <w:pPr>
        <w:spacing w:before="72"/>
        <w:ind w:left="162" w:right="519" w:firstLine="179"/>
        <w:jc w:val="both"/>
        <w:rPr>
          <w:sz w:val="16"/>
        </w:rPr>
      </w:pPr>
      <w:r>
        <w:rPr>
          <w:color w:val="231F20"/>
          <w:position w:val="6"/>
          <w:sz w:val="12"/>
        </w:rPr>
        <w:t>28</w:t>
      </w:r>
      <w:r>
        <w:rPr>
          <w:color w:val="231F20"/>
          <w:spacing w:val="-15"/>
          <w:position w:val="6"/>
          <w:sz w:val="12"/>
        </w:rPr>
        <w:t> </w:t>
      </w:r>
      <w:r>
        <w:rPr>
          <w:color w:val="231F20"/>
          <w:sz w:val="16"/>
        </w:rPr>
        <w:t>For</w:t>
      </w:r>
      <w:r>
        <w:rPr>
          <w:color w:val="231F20"/>
          <w:spacing w:val="-8"/>
          <w:sz w:val="16"/>
        </w:rPr>
        <w:t> </w:t>
      </w:r>
      <w:r>
        <w:rPr>
          <w:color w:val="231F20"/>
          <w:sz w:val="16"/>
        </w:rPr>
        <w:t>instance,</w:t>
      </w:r>
      <w:r>
        <w:rPr>
          <w:color w:val="231F20"/>
          <w:spacing w:val="-8"/>
          <w:sz w:val="16"/>
        </w:rPr>
        <w:t> </w:t>
      </w:r>
      <w:r>
        <w:rPr>
          <w:color w:val="231F20"/>
          <w:sz w:val="16"/>
        </w:rPr>
        <w:t>Chava</w:t>
      </w:r>
      <w:r>
        <w:rPr>
          <w:color w:val="231F20"/>
          <w:spacing w:val="-8"/>
          <w:sz w:val="16"/>
        </w:rPr>
        <w:t> </w:t>
      </w:r>
      <w:r>
        <w:rPr>
          <w:color w:val="231F20"/>
          <w:sz w:val="16"/>
        </w:rPr>
        <w:t>and</w:t>
      </w:r>
      <w:r>
        <w:rPr>
          <w:color w:val="231F20"/>
          <w:spacing w:val="-8"/>
          <w:sz w:val="16"/>
        </w:rPr>
        <w:t> </w:t>
      </w:r>
      <w:r>
        <w:rPr>
          <w:color w:val="231F20"/>
          <w:sz w:val="16"/>
        </w:rPr>
        <w:t>Roberts</w:t>
      </w:r>
      <w:r>
        <w:rPr>
          <w:color w:val="231F20"/>
          <w:spacing w:val="-8"/>
          <w:sz w:val="16"/>
        </w:rPr>
        <w:t> </w:t>
      </w:r>
      <w:r>
        <w:rPr>
          <w:color w:val="231F20"/>
          <w:sz w:val="16"/>
        </w:rPr>
        <w:t>[2008]</w:t>
      </w:r>
      <w:r>
        <w:rPr>
          <w:color w:val="231F20"/>
          <w:spacing w:val="-8"/>
          <w:sz w:val="16"/>
        </w:rPr>
        <w:t> </w:t>
      </w:r>
      <w:r>
        <w:rPr>
          <w:color w:val="231F20"/>
          <w:sz w:val="16"/>
        </w:rPr>
        <w:t>show</w:t>
      </w:r>
      <w:r>
        <w:rPr>
          <w:color w:val="231F20"/>
          <w:spacing w:val="-8"/>
          <w:sz w:val="16"/>
        </w:rPr>
        <w:t> </w:t>
      </w:r>
      <w:r>
        <w:rPr>
          <w:color w:val="231F20"/>
          <w:sz w:val="16"/>
        </w:rPr>
        <w:t>that</w:t>
      </w:r>
      <w:r>
        <w:rPr>
          <w:color w:val="231F20"/>
          <w:spacing w:val="-8"/>
          <w:sz w:val="16"/>
        </w:rPr>
        <w:t> </w:t>
      </w:r>
      <w:r>
        <w:rPr>
          <w:color w:val="231F20"/>
          <w:sz w:val="16"/>
        </w:rPr>
        <w:t>capital</w:t>
      </w:r>
      <w:r>
        <w:rPr>
          <w:color w:val="231F20"/>
          <w:spacing w:val="-8"/>
          <w:sz w:val="16"/>
        </w:rPr>
        <w:t> </w:t>
      </w:r>
      <w:r>
        <w:rPr>
          <w:color w:val="231F20"/>
          <w:sz w:val="16"/>
        </w:rPr>
        <w:t>expenditures</w:t>
      </w:r>
      <w:r>
        <w:rPr>
          <w:color w:val="231F20"/>
          <w:spacing w:val="-8"/>
          <w:sz w:val="16"/>
        </w:rPr>
        <w:t> </w:t>
      </w:r>
      <w:r>
        <w:rPr>
          <w:color w:val="231F20"/>
          <w:sz w:val="16"/>
        </w:rPr>
        <w:t>decrease</w:t>
      </w:r>
      <w:r>
        <w:rPr>
          <w:color w:val="231F20"/>
          <w:spacing w:val="-8"/>
          <w:sz w:val="16"/>
        </w:rPr>
        <w:t> </w:t>
      </w:r>
      <w:r>
        <w:rPr>
          <w:color w:val="231F20"/>
          <w:sz w:val="16"/>
        </w:rPr>
        <w:t>follow- ing violations of debt covenants. </w:t>
      </w:r>
      <w:r>
        <w:rPr>
          <w:color w:val="231F20"/>
          <w:spacing w:val="-6"/>
          <w:sz w:val="16"/>
        </w:rPr>
        <w:t>Tan </w:t>
      </w:r>
      <w:r>
        <w:rPr>
          <w:color w:val="231F20"/>
          <w:sz w:val="16"/>
        </w:rPr>
        <w:t>[2013] further elaborates on the mechanism of how creditors can impose restructuring changes on defaulting</w:t>
      </w:r>
      <w:r>
        <w:rPr>
          <w:color w:val="231F20"/>
          <w:spacing w:val="-8"/>
          <w:sz w:val="16"/>
        </w:rPr>
        <w:t> </w:t>
      </w:r>
      <w:r>
        <w:rPr>
          <w:color w:val="231F20"/>
          <w:sz w:val="16"/>
        </w:rPr>
        <w:t>borrowers.</w:t>
      </w:r>
    </w:p>
    <w:p>
      <w:pPr>
        <w:spacing w:after="0"/>
        <w:jc w:val="both"/>
        <w:rPr>
          <w:sz w:val="16"/>
        </w:rPr>
        <w:sectPr>
          <w:pgSz w:w="9720" w:h="14400"/>
          <w:pgMar w:header="1055" w:footer="0" w:top="1300" w:bottom="280" w:left="1280" w:right="1300"/>
        </w:sectPr>
      </w:pPr>
    </w:p>
    <w:p>
      <w:pPr>
        <w:pStyle w:val="BodyText"/>
        <w:spacing w:before="9"/>
        <w:rPr>
          <w:sz w:val="13"/>
        </w:rPr>
      </w:pPr>
    </w:p>
    <w:p>
      <w:pPr>
        <w:spacing w:before="0"/>
        <w:ind w:left="495" w:right="152" w:firstLine="0"/>
        <w:jc w:val="center"/>
        <w:rPr>
          <w:rFonts w:ascii="Times New Roman"/>
          <w:b/>
          <w:sz w:val="16"/>
        </w:rPr>
      </w:pPr>
      <w:r>
        <w:rPr>
          <w:rFonts w:ascii="Times New Roman"/>
          <w:b/>
          <w:color w:val="231F20"/>
          <w:sz w:val="16"/>
        </w:rPr>
        <w:t>TA B L E  8</w:t>
      </w:r>
    </w:p>
    <w:p>
      <w:pPr>
        <w:spacing w:before="17" w:after="19"/>
        <w:ind w:left="495" w:right="115" w:firstLine="0"/>
        <w:jc w:val="center"/>
        <w:rPr>
          <w:i/>
          <w:sz w:val="16"/>
        </w:rPr>
      </w:pPr>
      <w:r>
        <w:rPr/>
        <w:pict>
          <v:shape style="position:absolute;margin-left:88.128326pt;margin-top:13.845228pt;width:327.8pt;height:226.8pt;mso-position-horizontal-relative:page;mso-position-vertical-relative:paragraph;z-index:68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8"/>
                    <w:gridCol w:w="1147"/>
                    <w:gridCol w:w="995"/>
                    <w:gridCol w:w="647"/>
                    <w:gridCol w:w="953"/>
                    <w:gridCol w:w="562"/>
                  </w:tblGrid>
                  <w:tr>
                    <w:trPr>
                      <w:trHeight w:val="334" w:hRule="atLeast"/>
                    </w:trPr>
                    <w:tc>
                      <w:tcPr>
                        <w:tcW w:w="3395" w:type="dxa"/>
                        <w:gridSpan w:val="2"/>
                        <w:tcBorders>
                          <w:top w:val="single" w:sz="6" w:space="0" w:color="000000"/>
                        </w:tcBorders>
                      </w:tcPr>
                      <w:p>
                        <w:pPr>
                          <w:pStyle w:val="TableParagraph"/>
                          <w:tabs>
                            <w:tab w:pos="818" w:val="left" w:leader="none"/>
                            <w:tab w:pos="3301" w:val="left" w:leader="none"/>
                          </w:tabs>
                          <w:spacing w:before="23"/>
                          <w:ind w:left="50"/>
                          <w:rPr>
                            <w:i/>
                            <w:sz w:val="16"/>
                          </w:rPr>
                        </w:pPr>
                        <w:r>
                          <w:rPr>
                            <w:color w:val="231F20"/>
                            <w:w w:val="103"/>
                            <w:sz w:val="16"/>
                            <w:u w:val="single" w:color="000000"/>
                          </w:rPr>
                          <w:t> </w:t>
                        </w:r>
                        <w:r>
                          <w:rPr>
                            <w:color w:val="231F20"/>
                            <w:sz w:val="16"/>
                            <w:u w:val="single" w:color="000000"/>
                          </w:rPr>
                          <w:tab/>
                          <w:t>Dep.</w:t>
                        </w:r>
                        <w:r>
                          <w:rPr>
                            <w:color w:val="231F20"/>
                            <w:spacing w:val="-16"/>
                            <w:sz w:val="16"/>
                            <w:u w:val="single" w:color="000000"/>
                          </w:rPr>
                          <w:t> </w:t>
                        </w:r>
                        <w:r>
                          <w:rPr>
                            <w:color w:val="231F20"/>
                            <w:spacing w:val="-6"/>
                            <w:sz w:val="16"/>
                            <w:u w:val="single" w:color="000000"/>
                          </w:rPr>
                          <w:t>Var.</w:t>
                        </w:r>
                        <w:r>
                          <w:rPr>
                            <w:color w:val="231F20"/>
                            <w:spacing w:val="-16"/>
                            <w:sz w:val="16"/>
                            <w:u w:val="single" w:color="000000"/>
                          </w:rPr>
                          <w:t> </w:t>
                        </w:r>
                        <w:r>
                          <w:rPr>
                            <w:rFonts w:ascii="Lucida Sans Unicode"/>
                            <w:color w:val="231F20"/>
                            <w:sz w:val="16"/>
                            <w:u w:val="single" w:color="000000"/>
                          </w:rPr>
                          <w:t>=</w:t>
                        </w:r>
                        <w:r>
                          <w:rPr>
                            <w:rFonts w:ascii="Lucida Sans Unicode"/>
                            <w:color w:val="231F20"/>
                            <w:spacing w:val="-26"/>
                            <w:sz w:val="16"/>
                            <w:u w:val="single" w:color="000000"/>
                          </w:rPr>
                          <w:t> </w:t>
                        </w:r>
                        <w:r>
                          <w:rPr>
                            <w:i/>
                            <w:color w:val="231F20"/>
                            <w:sz w:val="16"/>
                            <w:u w:val="single" w:color="000000"/>
                          </w:rPr>
                          <w:t>CRANK</w:t>
                        </w:r>
                        <w:r>
                          <w:rPr>
                            <w:i/>
                            <w:color w:val="231F20"/>
                            <w:spacing w:val="-6"/>
                            <w:sz w:val="16"/>
                            <w:u w:val="single" w:color="000000"/>
                          </w:rPr>
                          <w:t> </w:t>
                        </w:r>
                        <w:r>
                          <w:rPr>
                            <w:i/>
                            <w:color w:val="231F20"/>
                            <w:sz w:val="16"/>
                            <w:u w:val="single" w:color="000000"/>
                          </w:rPr>
                          <w:t>ALL</w:t>
                          <w:tab/>
                        </w:r>
                      </w:p>
                    </w:tc>
                    <w:tc>
                      <w:tcPr>
                        <w:tcW w:w="1642" w:type="dxa"/>
                        <w:gridSpan w:val="2"/>
                        <w:tcBorders>
                          <w:top w:val="single" w:sz="6" w:space="0" w:color="000000"/>
                        </w:tcBorders>
                      </w:tcPr>
                      <w:p>
                        <w:pPr>
                          <w:pStyle w:val="TableParagraph"/>
                          <w:tabs>
                            <w:tab w:pos="729" w:val="left" w:leader="none"/>
                            <w:tab w:pos="1550" w:val="left" w:leader="none"/>
                          </w:tabs>
                          <w:spacing w:before="45"/>
                          <w:ind w:left="94"/>
                          <w:rPr>
                            <w:sz w:val="16"/>
                          </w:rPr>
                        </w:pPr>
                        <w:r>
                          <w:rPr>
                            <w:color w:val="231F20"/>
                            <w:w w:val="103"/>
                            <w:sz w:val="16"/>
                            <w:u w:val="single" w:color="000000"/>
                          </w:rPr>
                          <w:t> </w:t>
                        </w:r>
                        <w:r>
                          <w:rPr>
                            <w:color w:val="231F20"/>
                            <w:sz w:val="16"/>
                            <w:u w:val="single" w:color="000000"/>
                          </w:rPr>
                          <w:tab/>
                        </w:r>
                        <w:r>
                          <w:rPr>
                            <w:color w:val="231F20"/>
                            <w:w w:val="120"/>
                            <w:sz w:val="16"/>
                            <w:u w:val="single" w:color="000000"/>
                          </w:rPr>
                          <w:t>(i)</w:t>
                        </w:r>
                        <w:r>
                          <w:rPr>
                            <w:color w:val="231F20"/>
                            <w:sz w:val="16"/>
                            <w:u w:val="single" w:color="000000"/>
                          </w:rPr>
                          <w:tab/>
                        </w:r>
                      </w:p>
                    </w:tc>
                    <w:tc>
                      <w:tcPr>
                        <w:tcW w:w="1515" w:type="dxa"/>
                        <w:gridSpan w:val="2"/>
                        <w:tcBorders>
                          <w:top w:val="single" w:sz="6" w:space="0" w:color="000000"/>
                        </w:tcBorders>
                      </w:tcPr>
                      <w:p>
                        <w:pPr>
                          <w:pStyle w:val="TableParagraph"/>
                          <w:tabs>
                            <w:tab w:pos="667" w:val="left" w:leader="none"/>
                            <w:tab w:pos="1468" w:val="left" w:leader="none"/>
                          </w:tabs>
                          <w:spacing w:before="45"/>
                          <w:ind w:left="95"/>
                          <w:rPr>
                            <w:sz w:val="16"/>
                          </w:rPr>
                        </w:pPr>
                        <w:r>
                          <w:rPr>
                            <w:color w:val="231F20"/>
                            <w:w w:val="103"/>
                            <w:sz w:val="16"/>
                            <w:u w:val="single" w:color="000000"/>
                          </w:rPr>
                          <w:t> </w:t>
                        </w:r>
                        <w:r>
                          <w:rPr>
                            <w:color w:val="231F20"/>
                            <w:sz w:val="16"/>
                            <w:u w:val="single" w:color="000000"/>
                          </w:rPr>
                          <w:tab/>
                        </w:r>
                        <w:r>
                          <w:rPr>
                            <w:color w:val="231F20"/>
                            <w:w w:val="115"/>
                            <w:sz w:val="16"/>
                            <w:u w:val="single" w:color="000000"/>
                          </w:rPr>
                          <w:t>(ii)</w:t>
                        </w:r>
                        <w:r>
                          <w:rPr>
                            <w:color w:val="231F20"/>
                            <w:sz w:val="16"/>
                            <w:u w:val="single" w:color="000000"/>
                          </w:rPr>
                          <w:tab/>
                        </w:r>
                      </w:p>
                    </w:tc>
                  </w:tr>
                  <w:tr>
                    <w:trPr>
                      <w:trHeight w:val="214" w:hRule="atLeast"/>
                    </w:trPr>
                    <w:tc>
                      <w:tcPr>
                        <w:tcW w:w="3395" w:type="dxa"/>
                        <w:gridSpan w:val="2"/>
                        <w:tcBorders>
                          <w:bottom w:val="single" w:sz="6" w:space="0" w:color="000000"/>
                        </w:tcBorders>
                      </w:tcPr>
                      <w:p>
                        <w:pPr>
                          <w:pStyle w:val="TableParagraph"/>
                          <w:spacing w:line="178" w:lineRule="exact"/>
                          <w:ind w:left="50"/>
                          <w:rPr>
                            <w:sz w:val="16"/>
                          </w:rPr>
                        </w:pPr>
                        <w:r>
                          <w:rPr>
                            <w:color w:val="231F20"/>
                            <w:sz w:val="16"/>
                          </w:rPr>
                          <w:t>Independent Var.</w:t>
                        </w:r>
                      </w:p>
                    </w:tc>
                    <w:tc>
                      <w:tcPr>
                        <w:tcW w:w="1642" w:type="dxa"/>
                        <w:gridSpan w:val="2"/>
                        <w:tcBorders>
                          <w:bottom w:val="single" w:sz="6" w:space="0" w:color="000000"/>
                        </w:tcBorders>
                      </w:tcPr>
                      <w:p>
                        <w:pPr>
                          <w:pStyle w:val="TableParagraph"/>
                          <w:tabs>
                            <w:tab w:pos="1142" w:val="left" w:leader="none"/>
                          </w:tabs>
                          <w:spacing w:line="178" w:lineRule="exact"/>
                          <w:ind w:left="295"/>
                          <w:rPr>
                            <w:sz w:val="16"/>
                          </w:rPr>
                        </w:pPr>
                        <w:r>
                          <w:rPr>
                            <w:color w:val="231F20"/>
                            <w:sz w:val="16"/>
                          </w:rPr>
                          <w:t>Coef.</w:t>
                          <w:tab/>
                        </w:r>
                        <w:r>
                          <w:rPr>
                            <w:i/>
                            <w:color w:val="231F20"/>
                            <w:sz w:val="16"/>
                          </w:rPr>
                          <w:t>t</w:t>
                        </w:r>
                        <w:r>
                          <w:rPr>
                            <w:color w:val="231F20"/>
                            <w:sz w:val="16"/>
                          </w:rPr>
                          <w:t>-stat</w:t>
                        </w:r>
                      </w:p>
                    </w:tc>
                    <w:tc>
                      <w:tcPr>
                        <w:tcW w:w="1515" w:type="dxa"/>
                        <w:gridSpan w:val="2"/>
                        <w:tcBorders>
                          <w:bottom w:val="single" w:sz="6" w:space="0" w:color="000000"/>
                        </w:tcBorders>
                      </w:tcPr>
                      <w:p>
                        <w:pPr>
                          <w:pStyle w:val="TableParagraph"/>
                          <w:tabs>
                            <w:tab w:pos="1102" w:val="left" w:leader="none"/>
                          </w:tabs>
                          <w:spacing w:line="178" w:lineRule="exact"/>
                          <w:ind w:left="296"/>
                          <w:rPr>
                            <w:sz w:val="16"/>
                          </w:rPr>
                        </w:pPr>
                        <w:r>
                          <w:rPr>
                            <w:color w:val="231F20"/>
                            <w:sz w:val="16"/>
                          </w:rPr>
                          <w:t>Coef.</w:t>
                          <w:tab/>
                        </w:r>
                        <w:r>
                          <w:rPr>
                            <w:i/>
                            <w:color w:val="231F20"/>
                            <w:sz w:val="16"/>
                          </w:rPr>
                          <w:t>t</w:t>
                        </w:r>
                        <w:r>
                          <w:rPr>
                            <w:color w:val="231F20"/>
                            <w:sz w:val="16"/>
                          </w:rPr>
                          <w:t>-stat</w:t>
                        </w:r>
                      </w:p>
                    </w:tc>
                  </w:tr>
                  <w:tr>
                    <w:trPr>
                      <w:trHeight w:val="227" w:hRule="atLeast"/>
                    </w:trPr>
                    <w:tc>
                      <w:tcPr>
                        <w:tcW w:w="3395" w:type="dxa"/>
                        <w:gridSpan w:val="2"/>
                        <w:tcBorders>
                          <w:top w:val="single" w:sz="6" w:space="0" w:color="000000"/>
                        </w:tcBorders>
                      </w:tcPr>
                      <w:p>
                        <w:pPr>
                          <w:pStyle w:val="TableParagraph"/>
                          <w:tabs>
                            <w:tab w:pos="3125" w:val="left" w:leader="none"/>
                          </w:tabs>
                          <w:spacing w:line="183" w:lineRule="exact" w:before="24"/>
                          <w:ind w:left="50"/>
                          <w:rPr>
                            <w:i/>
                            <w:sz w:val="9"/>
                          </w:rPr>
                        </w:pPr>
                        <w:r>
                          <w:rPr>
                            <w:color w:val="231F20"/>
                            <w:sz w:val="16"/>
                          </w:rPr>
                          <w:t>Intercept</w:t>
                          <w:tab/>
                        </w:r>
                        <w:r>
                          <w:rPr>
                            <w:i/>
                            <w:color w:val="231F20"/>
                            <w:sz w:val="16"/>
                          </w:rPr>
                          <w:t>ß</w:t>
                        </w:r>
                        <w:r>
                          <w:rPr>
                            <w:i/>
                            <w:color w:val="231F20"/>
                            <w:position w:val="-1"/>
                            <w:sz w:val="9"/>
                          </w:rPr>
                          <w:t>0</w:t>
                        </w:r>
                      </w:p>
                    </w:tc>
                    <w:tc>
                      <w:tcPr>
                        <w:tcW w:w="1642" w:type="dxa"/>
                        <w:gridSpan w:val="2"/>
                        <w:tcBorders>
                          <w:top w:val="single" w:sz="6" w:space="0" w:color="000000"/>
                        </w:tcBorders>
                      </w:tcPr>
                      <w:p>
                        <w:pPr>
                          <w:pStyle w:val="TableParagraph"/>
                          <w:spacing w:line="188" w:lineRule="exact" w:before="19"/>
                          <w:ind w:left="343"/>
                          <w:rPr>
                            <w:sz w:val="16"/>
                          </w:rPr>
                        </w:pPr>
                        <w:r>
                          <w:rPr>
                            <w:color w:val="231F20"/>
                            <w:sz w:val="16"/>
                          </w:rPr>
                          <w:t>4.482</w:t>
                        </w:r>
                        <w:r>
                          <w:rPr>
                            <w:rFonts w:ascii="Lucida Sans Unicode" w:hAnsi="Lucida Sans Unicode"/>
                            <w:color w:val="231F20"/>
                            <w:position w:val="6"/>
                            <w:sz w:val="9"/>
                          </w:rPr>
                          <w:t>∗∗∗ </w:t>
                        </w:r>
                        <w:r>
                          <w:rPr>
                            <w:color w:val="231F20"/>
                            <w:sz w:val="16"/>
                          </w:rPr>
                          <w:t>39.81</w:t>
                        </w:r>
                      </w:p>
                    </w:tc>
                    <w:tc>
                      <w:tcPr>
                        <w:tcW w:w="1515" w:type="dxa"/>
                        <w:gridSpan w:val="2"/>
                        <w:tcBorders>
                          <w:top w:val="single" w:sz="6" w:space="0" w:color="000000"/>
                        </w:tcBorders>
                      </w:tcPr>
                      <w:p>
                        <w:pPr>
                          <w:pStyle w:val="TableParagraph"/>
                          <w:spacing w:line="188" w:lineRule="exact" w:before="19"/>
                          <w:ind w:left="344"/>
                          <w:rPr>
                            <w:sz w:val="16"/>
                          </w:rPr>
                        </w:pPr>
                        <w:r>
                          <w:rPr>
                            <w:color w:val="231F20"/>
                            <w:sz w:val="16"/>
                          </w:rPr>
                          <w:t>4.517</w:t>
                        </w:r>
                        <w:r>
                          <w:rPr>
                            <w:rFonts w:ascii="Lucida Sans Unicode" w:hAnsi="Lucida Sans Unicode"/>
                            <w:color w:val="231F20"/>
                            <w:position w:val="6"/>
                            <w:sz w:val="9"/>
                          </w:rPr>
                          <w:t>∗∗∗ </w:t>
                        </w:r>
                        <w:r>
                          <w:rPr>
                            <w:color w:val="231F20"/>
                            <w:sz w:val="16"/>
                          </w:rPr>
                          <w:t>39.07</w:t>
                        </w:r>
                      </w:p>
                    </w:tc>
                  </w:tr>
                  <w:tr>
                    <w:trPr>
                      <w:trHeight w:val="848" w:hRule="atLeast"/>
                    </w:trPr>
                    <w:tc>
                      <w:tcPr>
                        <w:tcW w:w="3395" w:type="dxa"/>
                        <w:gridSpan w:val="2"/>
                      </w:tcPr>
                      <w:p>
                        <w:pPr>
                          <w:pStyle w:val="TableParagraph"/>
                          <w:tabs>
                            <w:tab w:pos="3125" w:val="left" w:leader="none"/>
                          </w:tabs>
                          <w:spacing w:before="2"/>
                          <w:ind w:left="50"/>
                          <w:rPr>
                            <w:i/>
                            <w:sz w:val="9"/>
                          </w:rPr>
                        </w:pPr>
                        <w:r>
                          <w:rPr>
                            <w:i/>
                            <w:color w:val="231F20"/>
                            <w:sz w:val="16"/>
                          </w:rPr>
                          <w:t>DEL</w:t>
                          <w:tab/>
                          <w:t>ß</w:t>
                        </w:r>
                        <w:r>
                          <w:rPr>
                            <w:i/>
                            <w:color w:val="231F20"/>
                            <w:position w:val="-1"/>
                            <w:sz w:val="9"/>
                          </w:rPr>
                          <w:t>1</w:t>
                        </w:r>
                      </w:p>
                      <w:p>
                        <w:pPr>
                          <w:pStyle w:val="TableParagraph"/>
                          <w:tabs>
                            <w:tab w:pos="3125" w:val="left" w:leader="none"/>
                          </w:tabs>
                          <w:spacing w:line="183" w:lineRule="exact" w:before="6"/>
                          <w:ind w:left="50"/>
                          <w:rPr>
                            <w:i/>
                            <w:sz w:val="9"/>
                          </w:rPr>
                        </w:pPr>
                        <w:r>
                          <w:rPr>
                            <w:i/>
                            <w:color w:val="231F20"/>
                            <w:sz w:val="16"/>
                          </w:rPr>
                          <w:t>HEDF93</w:t>
                          <w:tab/>
                          <w:t>ß</w:t>
                        </w:r>
                        <w:r>
                          <w:rPr>
                            <w:i/>
                            <w:color w:val="231F20"/>
                            <w:position w:val="-1"/>
                            <w:sz w:val="9"/>
                          </w:rPr>
                          <w:t>2</w:t>
                        </w:r>
                      </w:p>
                      <w:p>
                        <w:pPr>
                          <w:pStyle w:val="TableParagraph"/>
                          <w:tabs>
                            <w:tab w:pos="3125" w:val="left" w:leader="none"/>
                          </w:tabs>
                          <w:spacing w:line="235" w:lineRule="exact"/>
                          <w:ind w:left="50"/>
                          <w:rPr>
                            <w:i/>
                            <w:sz w:val="9"/>
                          </w:rPr>
                        </w:pPr>
                        <w:r>
                          <w:rPr>
                            <w:i/>
                            <w:color w:val="231F20"/>
                            <w:sz w:val="16"/>
                          </w:rPr>
                          <w:t>DEL</w:t>
                        </w:r>
                        <w:r>
                          <w:rPr>
                            <w:rFonts w:ascii="Lucida Sans Unicode" w:hAnsi="Lucida Sans Unicode"/>
                            <w:color w:val="231F20"/>
                            <w:sz w:val="16"/>
                          </w:rPr>
                          <w:t>×</w:t>
                        </w:r>
                        <w:r>
                          <w:rPr>
                            <w:i/>
                            <w:color w:val="231F20"/>
                            <w:sz w:val="16"/>
                          </w:rPr>
                          <w:t>HEDF93</w:t>
                          <w:tab/>
                          <w:t>ß</w:t>
                        </w:r>
                        <w:r>
                          <w:rPr>
                            <w:i/>
                            <w:color w:val="231F20"/>
                            <w:position w:val="-1"/>
                            <w:sz w:val="9"/>
                          </w:rPr>
                          <w:t>3</w:t>
                        </w:r>
                      </w:p>
                    </w:tc>
                    <w:tc>
                      <w:tcPr>
                        <w:tcW w:w="1642" w:type="dxa"/>
                        <w:gridSpan w:val="2"/>
                      </w:tcPr>
                      <w:p>
                        <w:pPr>
                          <w:pStyle w:val="TableParagraph"/>
                          <w:tabs>
                            <w:tab w:pos="1135" w:val="left" w:leader="none"/>
                          </w:tabs>
                          <w:spacing w:line="220" w:lineRule="exact"/>
                          <w:ind w:left="218"/>
                          <w:rPr>
                            <w:sz w:val="16"/>
                          </w:rPr>
                        </w:pPr>
                        <w:r>
                          <w:rPr>
                            <w:rFonts w:ascii="Lucida Sans Unicode" w:hAnsi="Lucida Sans Unicode"/>
                            <w:color w:val="231F20"/>
                            <w:w w:val="105"/>
                            <w:sz w:val="16"/>
                          </w:rPr>
                          <w:t>−</w:t>
                        </w:r>
                        <w:r>
                          <w:rPr>
                            <w:color w:val="231F20"/>
                            <w:w w:val="105"/>
                            <w:sz w:val="16"/>
                          </w:rPr>
                          <w:t>0.042</w:t>
                          <w:tab/>
                        </w:r>
                        <w:r>
                          <w:rPr>
                            <w:rFonts w:ascii="Lucida Sans Unicode" w:hAnsi="Lucida Sans Unicode"/>
                            <w:color w:val="231F20"/>
                            <w:w w:val="105"/>
                            <w:sz w:val="16"/>
                          </w:rPr>
                          <w:t>−</w:t>
                        </w:r>
                        <w:r>
                          <w:rPr>
                            <w:color w:val="231F20"/>
                            <w:w w:val="105"/>
                            <w:sz w:val="16"/>
                          </w:rPr>
                          <w:t>1.14</w:t>
                        </w:r>
                      </w:p>
                      <w:p>
                        <w:pPr>
                          <w:pStyle w:val="TableParagraph"/>
                          <w:spacing w:before="152"/>
                          <w:ind w:left="218"/>
                          <w:rPr>
                            <w:sz w:val="16"/>
                          </w:rPr>
                        </w:pPr>
                        <w:r>
                          <w:rPr>
                            <w:rFonts w:ascii="Lucida Sans Unicode" w:hAnsi="Lucida Sans Unicode"/>
                            <w:color w:val="231F20"/>
                            <w:sz w:val="16"/>
                          </w:rPr>
                          <w:t>−</w:t>
                        </w:r>
                        <w:r>
                          <w:rPr>
                            <w:color w:val="231F20"/>
                            <w:sz w:val="16"/>
                          </w:rPr>
                          <w:t>0.319</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3.52</w:t>
                        </w:r>
                      </w:p>
                    </w:tc>
                    <w:tc>
                      <w:tcPr>
                        <w:tcW w:w="1515" w:type="dxa"/>
                        <w:gridSpan w:val="2"/>
                      </w:tcPr>
                      <w:p>
                        <w:pPr>
                          <w:pStyle w:val="TableParagraph"/>
                          <w:tabs>
                            <w:tab w:pos="1053" w:val="left" w:leader="none"/>
                          </w:tabs>
                          <w:spacing w:line="220" w:lineRule="exact"/>
                          <w:ind w:left="220"/>
                          <w:rPr>
                            <w:sz w:val="16"/>
                          </w:rPr>
                        </w:pPr>
                        <w:r>
                          <w:rPr>
                            <w:rFonts w:ascii="Lucida Sans Unicode" w:hAnsi="Lucida Sans Unicode"/>
                            <w:color w:val="231F20"/>
                            <w:w w:val="105"/>
                            <w:sz w:val="16"/>
                          </w:rPr>
                          <w:t>−</w:t>
                        </w:r>
                        <w:r>
                          <w:rPr>
                            <w:color w:val="231F20"/>
                            <w:w w:val="105"/>
                            <w:sz w:val="16"/>
                          </w:rPr>
                          <w:t>0.077</w:t>
                          <w:tab/>
                        </w:r>
                        <w:r>
                          <w:rPr>
                            <w:rFonts w:ascii="Lucida Sans Unicode" w:hAnsi="Lucida Sans Unicode"/>
                            <w:color w:val="231F20"/>
                            <w:w w:val="105"/>
                            <w:sz w:val="16"/>
                          </w:rPr>
                          <w:t>−</w:t>
                        </w:r>
                        <w:r>
                          <w:rPr>
                            <w:color w:val="231F20"/>
                            <w:w w:val="105"/>
                            <w:sz w:val="16"/>
                          </w:rPr>
                          <w:t>1.43</w:t>
                        </w:r>
                      </w:p>
                      <w:p>
                        <w:pPr>
                          <w:pStyle w:val="TableParagraph"/>
                          <w:spacing w:line="223" w:lineRule="exact" w:before="152"/>
                          <w:ind w:left="220"/>
                          <w:rPr>
                            <w:sz w:val="16"/>
                          </w:rPr>
                        </w:pPr>
                        <w:r>
                          <w:rPr>
                            <w:rFonts w:ascii="Lucida Sans Unicode" w:hAnsi="Lucida Sans Unicode"/>
                            <w:color w:val="231F20"/>
                            <w:sz w:val="16"/>
                          </w:rPr>
                          <w:t>−</w:t>
                        </w:r>
                        <w:r>
                          <w:rPr>
                            <w:color w:val="231F20"/>
                            <w:sz w:val="16"/>
                          </w:rPr>
                          <w:t>0.286</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2.05</w:t>
                        </w:r>
                      </w:p>
                      <w:p>
                        <w:pPr>
                          <w:pStyle w:val="TableParagraph"/>
                          <w:tabs>
                            <w:tab w:pos="1053" w:val="left" w:leader="none"/>
                          </w:tabs>
                          <w:spacing w:line="223" w:lineRule="exact"/>
                          <w:ind w:left="220"/>
                          <w:rPr>
                            <w:sz w:val="16"/>
                          </w:rPr>
                        </w:pPr>
                        <w:r>
                          <w:rPr>
                            <w:rFonts w:ascii="Lucida Sans Unicode" w:hAnsi="Lucida Sans Unicode"/>
                            <w:color w:val="231F20"/>
                            <w:w w:val="105"/>
                            <w:sz w:val="16"/>
                          </w:rPr>
                          <w:t>−</w:t>
                        </w:r>
                        <w:r>
                          <w:rPr>
                            <w:color w:val="231F20"/>
                            <w:w w:val="105"/>
                            <w:sz w:val="16"/>
                          </w:rPr>
                          <w:t>0.043</w:t>
                          <w:tab/>
                        </w:r>
                        <w:r>
                          <w:rPr>
                            <w:rFonts w:ascii="Lucida Sans Unicode" w:hAnsi="Lucida Sans Unicode"/>
                            <w:color w:val="231F20"/>
                            <w:w w:val="105"/>
                            <w:sz w:val="16"/>
                          </w:rPr>
                          <w:t>−</w:t>
                        </w:r>
                        <w:r>
                          <w:rPr>
                            <w:color w:val="231F20"/>
                            <w:w w:val="105"/>
                            <w:sz w:val="16"/>
                          </w:rPr>
                          <w:t>0.64</w:t>
                        </w:r>
                      </w:p>
                    </w:tc>
                  </w:tr>
                  <w:tr>
                    <w:trPr>
                      <w:trHeight w:val="996" w:hRule="atLeast"/>
                    </w:trPr>
                    <w:tc>
                      <w:tcPr>
                        <w:tcW w:w="3395" w:type="dxa"/>
                        <w:gridSpan w:val="2"/>
                      </w:tcPr>
                      <w:p>
                        <w:pPr>
                          <w:pStyle w:val="TableParagraph"/>
                          <w:tabs>
                            <w:tab w:pos="3125" w:val="left" w:leader="none"/>
                          </w:tabs>
                          <w:spacing w:line="169" w:lineRule="exact"/>
                          <w:ind w:left="50"/>
                          <w:rPr>
                            <w:i/>
                            <w:sz w:val="9"/>
                          </w:rPr>
                        </w:pPr>
                        <w:r>
                          <w:rPr>
                            <w:i/>
                            <w:color w:val="231F20"/>
                            <w:sz w:val="16"/>
                          </w:rPr>
                          <w:t>POST</w:t>
                        </w:r>
                        <w:r>
                          <w:rPr>
                            <w:rFonts w:ascii="Lucida Sans Unicode" w:hAnsi="Lucida Sans Unicode"/>
                            <w:color w:val="231F20"/>
                            <w:sz w:val="16"/>
                          </w:rPr>
                          <w:t>×</w:t>
                        </w:r>
                        <w:r>
                          <w:rPr>
                            <w:i/>
                            <w:color w:val="231F20"/>
                            <w:sz w:val="16"/>
                          </w:rPr>
                          <w:t>DEL</w:t>
                          <w:tab/>
                          <w:t>ß</w:t>
                        </w:r>
                        <w:r>
                          <w:rPr>
                            <w:i/>
                            <w:color w:val="231F20"/>
                            <w:position w:val="-1"/>
                            <w:sz w:val="9"/>
                          </w:rPr>
                          <w:t>5</w:t>
                        </w:r>
                      </w:p>
                      <w:p>
                        <w:pPr>
                          <w:pStyle w:val="TableParagraph"/>
                          <w:tabs>
                            <w:tab w:pos="3125" w:val="left" w:leader="none"/>
                          </w:tabs>
                          <w:spacing w:before="152"/>
                          <w:ind w:left="50"/>
                          <w:rPr>
                            <w:i/>
                            <w:sz w:val="9"/>
                          </w:rPr>
                        </w:pPr>
                        <w:r>
                          <w:rPr>
                            <w:i/>
                            <w:color w:val="231F20"/>
                            <w:w w:val="95"/>
                            <w:sz w:val="16"/>
                          </w:rPr>
                          <w:t>POST</w:t>
                        </w:r>
                        <w:r>
                          <w:rPr>
                            <w:rFonts w:ascii="Lucida Sans Unicode" w:hAnsi="Lucida Sans Unicode"/>
                            <w:color w:val="231F20"/>
                            <w:w w:val="95"/>
                            <w:sz w:val="16"/>
                          </w:rPr>
                          <w:t>×</w:t>
                        </w:r>
                        <w:r>
                          <w:rPr>
                            <w:i/>
                            <w:color w:val="231F20"/>
                            <w:w w:val="95"/>
                            <w:sz w:val="16"/>
                          </w:rPr>
                          <w:t>DEL</w:t>
                        </w:r>
                        <w:r>
                          <w:rPr>
                            <w:rFonts w:ascii="Lucida Sans Unicode" w:hAnsi="Lucida Sans Unicode"/>
                            <w:color w:val="231F20"/>
                            <w:w w:val="95"/>
                            <w:sz w:val="16"/>
                          </w:rPr>
                          <w:t>×</w:t>
                        </w:r>
                        <w:r>
                          <w:rPr>
                            <w:i/>
                            <w:color w:val="231F20"/>
                            <w:w w:val="95"/>
                            <w:sz w:val="16"/>
                          </w:rPr>
                          <w:t>HEDF93</w:t>
                          <w:tab/>
                        </w:r>
                        <w:r>
                          <w:rPr>
                            <w:i/>
                            <w:color w:val="231F20"/>
                            <w:sz w:val="16"/>
                          </w:rPr>
                          <w:t>ß</w:t>
                        </w:r>
                        <w:r>
                          <w:rPr>
                            <w:i/>
                            <w:color w:val="231F20"/>
                            <w:position w:val="-1"/>
                            <w:sz w:val="9"/>
                          </w:rPr>
                          <w:t>7</w:t>
                        </w:r>
                      </w:p>
                      <w:p>
                        <w:pPr>
                          <w:pStyle w:val="TableParagraph"/>
                          <w:tabs>
                            <w:tab w:pos="3125" w:val="left" w:leader="none"/>
                          </w:tabs>
                          <w:spacing w:before="180"/>
                          <w:ind w:left="50"/>
                          <w:rPr>
                            <w:i/>
                            <w:sz w:val="9"/>
                          </w:rPr>
                        </w:pPr>
                        <w:r>
                          <w:rPr>
                            <w:i/>
                            <w:color w:val="231F20"/>
                            <w:sz w:val="16"/>
                          </w:rPr>
                          <w:t>LEV</w:t>
                          <w:tab/>
                          <w:t>ß</w:t>
                        </w:r>
                        <w:r>
                          <w:rPr>
                            <w:i/>
                            <w:color w:val="231F20"/>
                            <w:position w:val="-1"/>
                            <w:sz w:val="9"/>
                          </w:rPr>
                          <w:t>9</w:t>
                        </w:r>
                      </w:p>
                    </w:tc>
                    <w:tc>
                      <w:tcPr>
                        <w:tcW w:w="1642" w:type="dxa"/>
                        <w:gridSpan w:val="2"/>
                      </w:tcPr>
                      <w:p>
                        <w:pPr>
                          <w:pStyle w:val="TableParagraph"/>
                          <w:tabs>
                            <w:tab w:pos="1168" w:val="left" w:leader="none"/>
                          </w:tabs>
                          <w:spacing w:line="133" w:lineRule="exact"/>
                          <w:ind w:left="251"/>
                          <w:jc w:val="center"/>
                          <w:rPr>
                            <w:sz w:val="16"/>
                          </w:rPr>
                        </w:pPr>
                        <w:r>
                          <w:rPr>
                            <w:color w:val="231F20"/>
                            <w:w w:val="105"/>
                            <w:sz w:val="16"/>
                          </w:rPr>
                          <w:t>0.044</w:t>
                          <w:tab/>
                          <w:t>0.86</w:t>
                        </w:r>
                      </w:p>
                      <w:p>
                        <w:pPr>
                          <w:pStyle w:val="TableParagraph"/>
                          <w:tabs>
                            <w:tab w:pos="1043" w:val="left" w:leader="none"/>
                          </w:tabs>
                          <w:spacing w:line="235" w:lineRule="exact"/>
                          <w:ind w:left="127"/>
                          <w:jc w:val="center"/>
                          <w:rPr>
                            <w:sz w:val="16"/>
                          </w:rPr>
                        </w:pPr>
                        <w:r>
                          <w:rPr>
                            <w:rFonts w:ascii="Lucida Sans Unicode" w:hAnsi="Lucida Sans Unicode"/>
                            <w:color w:val="231F20"/>
                            <w:w w:val="105"/>
                            <w:sz w:val="16"/>
                          </w:rPr>
                          <w:t>−</w:t>
                        </w:r>
                        <w:r>
                          <w:rPr>
                            <w:color w:val="231F20"/>
                            <w:w w:val="105"/>
                            <w:sz w:val="16"/>
                          </w:rPr>
                          <w:t>0.038</w:t>
                          <w:tab/>
                        </w:r>
                        <w:r>
                          <w:rPr>
                            <w:rFonts w:ascii="Lucida Sans Unicode" w:hAnsi="Lucida Sans Unicode"/>
                            <w:color w:val="231F20"/>
                            <w:w w:val="105"/>
                            <w:sz w:val="16"/>
                          </w:rPr>
                          <w:t>−</w:t>
                        </w:r>
                        <w:r>
                          <w:rPr>
                            <w:color w:val="231F20"/>
                            <w:w w:val="105"/>
                            <w:sz w:val="16"/>
                          </w:rPr>
                          <w:t>0.41</w:t>
                        </w:r>
                      </w:p>
                      <w:p>
                        <w:pPr>
                          <w:pStyle w:val="TableParagraph"/>
                          <w:spacing w:before="152"/>
                          <w:ind w:left="127"/>
                          <w:jc w:val="center"/>
                          <w:rPr>
                            <w:sz w:val="16"/>
                          </w:rPr>
                        </w:pPr>
                        <w:r>
                          <w:rPr>
                            <w:rFonts w:ascii="Lucida Sans Unicode" w:hAnsi="Lucida Sans Unicode"/>
                            <w:color w:val="231F20"/>
                            <w:sz w:val="16"/>
                          </w:rPr>
                          <w:t>−</w:t>
                        </w:r>
                        <w:r>
                          <w:rPr>
                            <w:color w:val="231F20"/>
                            <w:sz w:val="16"/>
                          </w:rPr>
                          <w:t>0.025</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2.59</w:t>
                        </w:r>
                      </w:p>
                    </w:tc>
                    <w:tc>
                      <w:tcPr>
                        <w:tcW w:w="1515" w:type="dxa"/>
                        <w:gridSpan w:val="2"/>
                      </w:tcPr>
                      <w:p>
                        <w:pPr>
                          <w:pStyle w:val="TableParagraph"/>
                          <w:tabs>
                            <w:tab w:pos="1131" w:val="left" w:leader="none"/>
                          </w:tabs>
                          <w:spacing w:line="133" w:lineRule="exact"/>
                          <w:ind w:left="298"/>
                          <w:jc w:val="center"/>
                          <w:rPr>
                            <w:sz w:val="16"/>
                          </w:rPr>
                        </w:pPr>
                        <w:r>
                          <w:rPr>
                            <w:color w:val="231F20"/>
                            <w:w w:val="105"/>
                            <w:sz w:val="16"/>
                          </w:rPr>
                          <w:t>0.083</w:t>
                          <w:tab/>
                          <w:t>1.11</w:t>
                        </w:r>
                      </w:p>
                      <w:p>
                        <w:pPr>
                          <w:pStyle w:val="TableParagraph"/>
                          <w:tabs>
                            <w:tab w:pos="1007" w:val="left" w:leader="none"/>
                          </w:tabs>
                          <w:spacing w:line="235" w:lineRule="exact"/>
                          <w:ind w:left="174"/>
                          <w:jc w:val="center"/>
                          <w:rPr>
                            <w:sz w:val="16"/>
                          </w:rPr>
                        </w:pPr>
                        <w:r>
                          <w:rPr>
                            <w:rFonts w:ascii="Lucida Sans Unicode" w:hAnsi="Lucida Sans Unicode"/>
                            <w:color w:val="231F20"/>
                            <w:w w:val="105"/>
                            <w:sz w:val="16"/>
                          </w:rPr>
                          <w:t>−</w:t>
                        </w:r>
                        <w:r>
                          <w:rPr>
                            <w:color w:val="231F20"/>
                            <w:w w:val="105"/>
                            <w:sz w:val="16"/>
                          </w:rPr>
                          <w:t>0.010</w:t>
                          <w:tab/>
                        </w:r>
                        <w:r>
                          <w:rPr>
                            <w:rFonts w:ascii="Lucida Sans Unicode" w:hAnsi="Lucida Sans Unicode"/>
                            <w:color w:val="231F20"/>
                            <w:w w:val="105"/>
                            <w:sz w:val="16"/>
                          </w:rPr>
                          <w:t>−</w:t>
                        </w:r>
                        <w:r>
                          <w:rPr>
                            <w:color w:val="231F20"/>
                            <w:w w:val="105"/>
                            <w:sz w:val="16"/>
                          </w:rPr>
                          <w:t>0.07</w:t>
                        </w:r>
                      </w:p>
                      <w:p>
                        <w:pPr>
                          <w:pStyle w:val="TableParagraph"/>
                          <w:spacing w:before="152"/>
                          <w:ind w:left="174"/>
                          <w:jc w:val="center"/>
                          <w:rPr>
                            <w:sz w:val="16"/>
                          </w:rPr>
                        </w:pPr>
                        <w:r>
                          <w:rPr>
                            <w:rFonts w:ascii="Lucida Sans Unicode" w:hAnsi="Lucida Sans Unicode"/>
                            <w:color w:val="231F20"/>
                            <w:sz w:val="16"/>
                          </w:rPr>
                          <w:t>−</w:t>
                        </w:r>
                        <w:r>
                          <w:rPr>
                            <w:color w:val="231F20"/>
                            <w:sz w:val="16"/>
                          </w:rPr>
                          <w:t>0.024</w:t>
                        </w:r>
                        <w:r>
                          <w:rPr>
                            <w:rFonts w:ascii="Lucida Sans Unicode" w:hAnsi="Lucida Sans Unicode"/>
                            <w:color w:val="231F20"/>
                            <w:position w:val="6"/>
                            <w:sz w:val="9"/>
                          </w:rPr>
                          <w:t>∗∗ </w:t>
                        </w:r>
                        <w:r>
                          <w:rPr>
                            <w:rFonts w:ascii="Lucida Sans Unicode" w:hAnsi="Lucida Sans Unicode"/>
                            <w:color w:val="231F20"/>
                            <w:sz w:val="16"/>
                          </w:rPr>
                          <w:t>−</w:t>
                        </w:r>
                        <w:r>
                          <w:rPr>
                            <w:color w:val="231F20"/>
                            <w:sz w:val="16"/>
                          </w:rPr>
                          <w:t>2.56</w:t>
                        </w:r>
                      </w:p>
                    </w:tc>
                  </w:tr>
                  <w:tr>
                    <w:trPr>
                      <w:trHeight w:val="597" w:hRule="atLeast"/>
                    </w:trPr>
                    <w:tc>
                      <w:tcPr>
                        <w:tcW w:w="2248" w:type="dxa"/>
                      </w:tcPr>
                      <w:p>
                        <w:pPr>
                          <w:pStyle w:val="TableParagraph"/>
                          <w:spacing w:line="143" w:lineRule="exact"/>
                          <w:ind w:left="50"/>
                          <w:rPr>
                            <w:i/>
                            <w:sz w:val="16"/>
                          </w:rPr>
                        </w:pPr>
                        <w:r>
                          <w:rPr>
                            <w:i/>
                            <w:color w:val="231F20"/>
                            <w:sz w:val="16"/>
                          </w:rPr>
                          <w:t>BTM</w:t>
                        </w:r>
                      </w:p>
                      <w:p>
                        <w:pPr>
                          <w:pStyle w:val="TableParagraph"/>
                          <w:spacing w:line="247" w:lineRule="auto" w:before="6"/>
                          <w:ind w:left="50" w:right="1495" w:hanging="1"/>
                          <w:rPr>
                            <w:i/>
                            <w:sz w:val="16"/>
                          </w:rPr>
                        </w:pPr>
                        <w:r>
                          <w:rPr>
                            <w:i/>
                            <w:color w:val="231F20"/>
                            <w:w w:val="95"/>
                            <w:sz w:val="16"/>
                          </w:rPr>
                          <w:t>GROWTH </w:t>
                        </w:r>
                        <w:r>
                          <w:rPr>
                            <w:i/>
                            <w:color w:val="231F20"/>
                            <w:sz w:val="16"/>
                          </w:rPr>
                          <w:t>LITIG</w:t>
                        </w:r>
                      </w:p>
                    </w:tc>
                    <w:tc>
                      <w:tcPr>
                        <w:tcW w:w="1147" w:type="dxa"/>
                      </w:tcPr>
                      <w:p>
                        <w:pPr>
                          <w:pStyle w:val="TableParagraph"/>
                          <w:spacing w:line="147" w:lineRule="exact"/>
                          <w:ind w:right="100"/>
                          <w:jc w:val="right"/>
                          <w:rPr>
                            <w:i/>
                            <w:sz w:val="9"/>
                          </w:rPr>
                        </w:pPr>
                        <w:r>
                          <w:rPr>
                            <w:i/>
                            <w:color w:val="231F20"/>
                            <w:position w:val="2"/>
                            <w:sz w:val="16"/>
                          </w:rPr>
                          <w:t>ß</w:t>
                        </w:r>
                        <w:r>
                          <w:rPr>
                            <w:i/>
                            <w:color w:val="231F20"/>
                            <w:sz w:val="9"/>
                          </w:rPr>
                          <w:t>10</w:t>
                        </w:r>
                      </w:p>
                      <w:p>
                        <w:pPr>
                          <w:pStyle w:val="TableParagraph"/>
                          <w:spacing w:line="247" w:lineRule="auto" w:before="6"/>
                          <w:ind w:left="836" w:right="100" w:hanging="1"/>
                          <w:jc w:val="right"/>
                          <w:rPr>
                            <w:i/>
                            <w:sz w:val="9"/>
                          </w:rPr>
                        </w:pPr>
                        <w:r>
                          <w:rPr>
                            <w:i/>
                            <w:color w:val="231F20"/>
                            <w:position w:val="2"/>
                            <w:sz w:val="16"/>
                          </w:rPr>
                          <w:t>ß</w:t>
                        </w:r>
                        <w:r>
                          <w:rPr>
                            <w:i/>
                            <w:color w:val="231F20"/>
                            <w:sz w:val="9"/>
                          </w:rPr>
                          <w:t>11</w:t>
                        </w:r>
                        <w:r>
                          <w:rPr>
                            <w:i/>
                            <w:color w:val="231F20"/>
                            <w:w w:val="103"/>
                            <w:sz w:val="9"/>
                          </w:rPr>
                          <w:t> </w:t>
                        </w:r>
                        <w:r>
                          <w:rPr>
                            <w:i/>
                            <w:color w:val="231F20"/>
                            <w:position w:val="2"/>
                            <w:sz w:val="16"/>
                          </w:rPr>
                          <w:t>ß</w:t>
                        </w:r>
                        <w:r>
                          <w:rPr>
                            <w:i/>
                            <w:color w:val="231F20"/>
                            <w:sz w:val="9"/>
                          </w:rPr>
                          <w:t>12</w:t>
                        </w:r>
                      </w:p>
                    </w:tc>
                    <w:tc>
                      <w:tcPr>
                        <w:tcW w:w="995" w:type="dxa"/>
                      </w:tcPr>
                      <w:p>
                        <w:pPr>
                          <w:pStyle w:val="TableParagraph"/>
                          <w:spacing w:line="145" w:lineRule="exact"/>
                          <w:ind w:left="218"/>
                          <w:rPr>
                            <w:sz w:val="16"/>
                          </w:rPr>
                        </w:pPr>
                        <w:r>
                          <w:rPr>
                            <w:rFonts w:ascii="Lucida Sans Unicode" w:hAnsi="Lucida Sans Unicode"/>
                            <w:color w:val="231F20"/>
                            <w:w w:val="105"/>
                            <w:sz w:val="16"/>
                          </w:rPr>
                          <w:t>−</w:t>
                        </w:r>
                        <w:r>
                          <w:rPr>
                            <w:color w:val="231F20"/>
                            <w:w w:val="105"/>
                            <w:sz w:val="16"/>
                          </w:rPr>
                          <w:t>0.039</w:t>
                        </w:r>
                      </w:p>
                      <w:p>
                        <w:pPr>
                          <w:pStyle w:val="TableParagraph"/>
                          <w:spacing w:line="223" w:lineRule="exact"/>
                          <w:ind w:left="218"/>
                          <w:rPr>
                            <w:rFonts w:ascii="Lucida Sans Unicode" w:hAnsi="Lucida Sans Unicode"/>
                            <w:sz w:val="9"/>
                          </w:rPr>
                        </w:pPr>
                        <w:r>
                          <w:rPr>
                            <w:rFonts w:ascii="Lucida Sans Unicode" w:hAnsi="Lucida Sans Unicode"/>
                            <w:color w:val="231F20"/>
                            <w:sz w:val="16"/>
                          </w:rPr>
                          <w:t>−</w:t>
                        </w:r>
                        <w:r>
                          <w:rPr>
                            <w:color w:val="231F20"/>
                            <w:sz w:val="16"/>
                          </w:rPr>
                          <w:t>0.227</w:t>
                        </w:r>
                        <w:r>
                          <w:rPr>
                            <w:rFonts w:ascii="Lucida Sans Unicode" w:hAnsi="Lucida Sans Unicode"/>
                            <w:color w:val="231F20"/>
                            <w:position w:val="6"/>
                            <w:sz w:val="9"/>
                          </w:rPr>
                          <w:t>∗∗∗</w:t>
                        </w:r>
                      </w:p>
                    </w:tc>
                    <w:tc>
                      <w:tcPr>
                        <w:tcW w:w="647" w:type="dxa"/>
                      </w:tcPr>
                      <w:p>
                        <w:pPr>
                          <w:pStyle w:val="TableParagraph"/>
                          <w:spacing w:line="145" w:lineRule="exact"/>
                          <w:ind w:left="140"/>
                          <w:rPr>
                            <w:sz w:val="16"/>
                          </w:rPr>
                        </w:pPr>
                        <w:r>
                          <w:rPr>
                            <w:rFonts w:ascii="Lucida Sans Unicode" w:hAnsi="Lucida Sans Unicode"/>
                            <w:color w:val="231F20"/>
                            <w:w w:val="105"/>
                            <w:sz w:val="16"/>
                          </w:rPr>
                          <w:t>−</w:t>
                        </w:r>
                        <w:r>
                          <w:rPr>
                            <w:color w:val="231F20"/>
                            <w:w w:val="105"/>
                            <w:sz w:val="16"/>
                          </w:rPr>
                          <w:t>1.33</w:t>
                        </w:r>
                      </w:p>
                      <w:p>
                        <w:pPr>
                          <w:pStyle w:val="TableParagraph"/>
                          <w:spacing w:line="223" w:lineRule="exact"/>
                          <w:ind w:left="140"/>
                          <w:rPr>
                            <w:sz w:val="16"/>
                          </w:rPr>
                        </w:pPr>
                        <w:r>
                          <w:rPr>
                            <w:rFonts w:ascii="Lucida Sans Unicode" w:hAnsi="Lucida Sans Unicode"/>
                            <w:color w:val="231F20"/>
                            <w:w w:val="105"/>
                            <w:sz w:val="16"/>
                          </w:rPr>
                          <w:t>−</w:t>
                        </w:r>
                        <w:r>
                          <w:rPr>
                            <w:color w:val="231F20"/>
                            <w:w w:val="105"/>
                            <w:sz w:val="16"/>
                          </w:rPr>
                          <w:t>6.19</w:t>
                        </w:r>
                      </w:p>
                    </w:tc>
                    <w:tc>
                      <w:tcPr>
                        <w:tcW w:w="953" w:type="dxa"/>
                      </w:tcPr>
                      <w:p>
                        <w:pPr>
                          <w:pStyle w:val="TableParagraph"/>
                          <w:spacing w:line="145" w:lineRule="exact"/>
                          <w:ind w:left="220"/>
                          <w:rPr>
                            <w:sz w:val="16"/>
                          </w:rPr>
                        </w:pPr>
                        <w:r>
                          <w:rPr>
                            <w:rFonts w:ascii="Lucida Sans Unicode" w:hAnsi="Lucida Sans Unicode"/>
                            <w:color w:val="231F20"/>
                            <w:w w:val="105"/>
                            <w:sz w:val="16"/>
                          </w:rPr>
                          <w:t>−</w:t>
                        </w:r>
                        <w:r>
                          <w:rPr>
                            <w:color w:val="231F20"/>
                            <w:w w:val="105"/>
                            <w:sz w:val="16"/>
                          </w:rPr>
                          <w:t>0.043</w:t>
                        </w:r>
                      </w:p>
                      <w:p>
                        <w:pPr>
                          <w:pStyle w:val="TableParagraph"/>
                          <w:spacing w:line="223" w:lineRule="exact"/>
                          <w:ind w:left="220"/>
                          <w:rPr>
                            <w:rFonts w:ascii="Lucida Sans Unicode" w:hAnsi="Lucida Sans Unicode"/>
                            <w:sz w:val="9"/>
                          </w:rPr>
                        </w:pPr>
                        <w:r>
                          <w:rPr>
                            <w:rFonts w:ascii="Lucida Sans Unicode" w:hAnsi="Lucida Sans Unicode"/>
                            <w:color w:val="231F20"/>
                            <w:w w:val="95"/>
                            <w:sz w:val="16"/>
                          </w:rPr>
                          <w:t>−</w:t>
                        </w:r>
                        <w:r>
                          <w:rPr>
                            <w:color w:val="231F20"/>
                            <w:w w:val="95"/>
                            <w:sz w:val="16"/>
                          </w:rPr>
                          <w:t>0.229</w:t>
                        </w:r>
                        <w:r>
                          <w:rPr>
                            <w:rFonts w:ascii="Lucida Sans Unicode" w:hAnsi="Lucida Sans Unicode"/>
                            <w:color w:val="231F20"/>
                            <w:w w:val="95"/>
                            <w:position w:val="6"/>
                            <w:sz w:val="9"/>
                          </w:rPr>
                          <w:t>∗∗∗</w:t>
                        </w:r>
                      </w:p>
                    </w:tc>
                    <w:tc>
                      <w:tcPr>
                        <w:tcW w:w="562" w:type="dxa"/>
                      </w:tcPr>
                      <w:p>
                        <w:pPr>
                          <w:pStyle w:val="TableParagraph"/>
                          <w:spacing w:line="169" w:lineRule="exact"/>
                          <w:ind w:left="100"/>
                          <w:rPr>
                            <w:sz w:val="16"/>
                          </w:rPr>
                        </w:pPr>
                        <w:r>
                          <w:rPr>
                            <w:rFonts w:ascii="Lucida Sans Unicode" w:hAnsi="Lucida Sans Unicode"/>
                            <w:color w:val="231F20"/>
                            <w:w w:val="105"/>
                            <w:sz w:val="16"/>
                          </w:rPr>
                          <w:t>−</w:t>
                        </w:r>
                        <w:r>
                          <w:rPr>
                            <w:color w:val="231F20"/>
                            <w:w w:val="105"/>
                            <w:sz w:val="16"/>
                          </w:rPr>
                          <w:t>1.46</w:t>
                        </w:r>
                      </w:p>
                      <w:p>
                        <w:pPr>
                          <w:pStyle w:val="TableParagraph"/>
                          <w:spacing w:before="174"/>
                          <w:ind w:left="142"/>
                          <w:rPr>
                            <w:sz w:val="16"/>
                          </w:rPr>
                        </w:pPr>
                        <w:r>
                          <w:rPr>
                            <w:color w:val="231F20"/>
                            <w:w w:val="105"/>
                            <w:sz w:val="16"/>
                          </w:rPr>
                          <w:t>10.88</w:t>
                        </w:r>
                      </w:p>
                    </w:tc>
                  </w:tr>
                  <w:tr>
                    <w:trPr>
                      <w:trHeight w:val="344" w:hRule="atLeast"/>
                    </w:trPr>
                    <w:tc>
                      <w:tcPr>
                        <w:tcW w:w="2248" w:type="dxa"/>
                      </w:tcPr>
                      <w:p>
                        <w:pPr>
                          <w:pStyle w:val="TableParagraph"/>
                          <w:spacing w:line="143" w:lineRule="exact"/>
                          <w:ind w:left="50"/>
                          <w:rPr>
                            <w:i/>
                            <w:sz w:val="16"/>
                          </w:rPr>
                        </w:pPr>
                        <w:r>
                          <w:rPr>
                            <w:i/>
                            <w:color w:val="231F20"/>
                            <w:sz w:val="16"/>
                          </w:rPr>
                          <w:t>INSTOWN</w:t>
                        </w:r>
                      </w:p>
                      <w:p>
                        <w:pPr>
                          <w:pStyle w:val="TableParagraph"/>
                          <w:spacing w:line="181" w:lineRule="exact" w:before="1"/>
                          <w:ind w:left="50"/>
                          <w:rPr>
                            <w:sz w:val="16"/>
                          </w:rPr>
                        </w:pPr>
                        <w:r>
                          <w:rPr>
                            <w:i/>
                            <w:color w:val="231F20"/>
                            <w:sz w:val="16"/>
                          </w:rPr>
                          <w:t>Real Action Controls</w:t>
                        </w:r>
                        <w:r>
                          <w:rPr>
                            <w:color w:val="231F20"/>
                            <w:sz w:val="16"/>
                          </w:rPr>
                          <w:t>:</w:t>
                        </w:r>
                      </w:p>
                    </w:tc>
                    <w:tc>
                      <w:tcPr>
                        <w:tcW w:w="1147" w:type="dxa"/>
                      </w:tcPr>
                      <w:p>
                        <w:pPr>
                          <w:pStyle w:val="TableParagraph"/>
                          <w:spacing w:line="147" w:lineRule="exact"/>
                          <w:ind w:right="100"/>
                          <w:jc w:val="right"/>
                          <w:rPr>
                            <w:i/>
                            <w:sz w:val="9"/>
                          </w:rPr>
                        </w:pPr>
                        <w:r>
                          <w:rPr>
                            <w:i/>
                            <w:color w:val="231F20"/>
                            <w:position w:val="2"/>
                            <w:sz w:val="16"/>
                          </w:rPr>
                          <w:t>ß</w:t>
                        </w:r>
                        <w:r>
                          <w:rPr>
                            <w:i/>
                            <w:color w:val="231F20"/>
                            <w:sz w:val="9"/>
                          </w:rPr>
                          <w:t>13</w:t>
                        </w:r>
                      </w:p>
                    </w:tc>
                    <w:tc>
                      <w:tcPr>
                        <w:tcW w:w="995" w:type="dxa"/>
                      </w:tcPr>
                      <w:p>
                        <w:pPr>
                          <w:pStyle w:val="TableParagraph"/>
                          <w:spacing w:line="143" w:lineRule="exact"/>
                          <w:ind w:right="135"/>
                          <w:jc w:val="right"/>
                          <w:rPr>
                            <w:rFonts w:ascii="Lucida Sans Unicode" w:hAnsi="Lucida Sans Unicode"/>
                            <w:sz w:val="9"/>
                          </w:rPr>
                        </w:pPr>
                        <w:r>
                          <w:rPr>
                            <w:color w:val="231F20"/>
                            <w:w w:val="85"/>
                            <w:sz w:val="16"/>
                          </w:rPr>
                          <w:t>0.804</w:t>
                        </w:r>
                        <w:r>
                          <w:rPr>
                            <w:rFonts w:ascii="Lucida Sans Unicode" w:hAnsi="Lucida Sans Unicode"/>
                            <w:color w:val="231F20"/>
                            <w:w w:val="85"/>
                            <w:position w:val="6"/>
                            <w:sz w:val="9"/>
                          </w:rPr>
                          <w:t>∗∗∗</w:t>
                        </w:r>
                      </w:p>
                    </w:tc>
                    <w:tc>
                      <w:tcPr>
                        <w:tcW w:w="647" w:type="dxa"/>
                      </w:tcPr>
                      <w:p>
                        <w:pPr>
                          <w:pStyle w:val="TableParagraph"/>
                          <w:spacing w:line="143" w:lineRule="exact"/>
                          <w:ind w:right="89"/>
                          <w:jc w:val="right"/>
                          <w:rPr>
                            <w:sz w:val="16"/>
                          </w:rPr>
                        </w:pPr>
                        <w:r>
                          <w:rPr>
                            <w:color w:val="231F20"/>
                            <w:sz w:val="16"/>
                          </w:rPr>
                          <w:t>9.60</w:t>
                        </w:r>
                      </w:p>
                    </w:tc>
                    <w:tc>
                      <w:tcPr>
                        <w:tcW w:w="953" w:type="dxa"/>
                      </w:tcPr>
                      <w:p>
                        <w:pPr>
                          <w:pStyle w:val="TableParagraph"/>
                          <w:spacing w:line="143" w:lineRule="exact"/>
                          <w:ind w:left="344"/>
                          <w:rPr>
                            <w:rFonts w:ascii="Lucida Sans Unicode" w:hAnsi="Lucida Sans Unicode"/>
                            <w:sz w:val="9"/>
                          </w:rPr>
                        </w:pPr>
                        <w:r>
                          <w:rPr>
                            <w:color w:val="231F20"/>
                            <w:sz w:val="16"/>
                          </w:rPr>
                          <w:t>0.809</w:t>
                        </w:r>
                        <w:r>
                          <w:rPr>
                            <w:rFonts w:ascii="Lucida Sans Unicode" w:hAnsi="Lucida Sans Unicode"/>
                            <w:color w:val="231F20"/>
                            <w:position w:val="6"/>
                            <w:sz w:val="9"/>
                          </w:rPr>
                          <w:t>∗∗∗</w:t>
                        </w:r>
                      </w:p>
                    </w:tc>
                    <w:tc>
                      <w:tcPr>
                        <w:tcW w:w="562" w:type="dxa"/>
                      </w:tcPr>
                      <w:p>
                        <w:pPr>
                          <w:pStyle w:val="TableParagraph"/>
                          <w:spacing w:line="143" w:lineRule="exact"/>
                          <w:ind w:right="44"/>
                          <w:jc w:val="right"/>
                          <w:rPr>
                            <w:sz w:val="16"/>
                          </w:rPr>
                        </w:pPr>
                        <w:r>
                          <w:rPr>
                            <w:color w:val="231F20"/>
                            <w:sz w:val="16"/>
                          </w:rPr>
                          <w:t>9.64</w:t>
                        </w:r>
                      </w:p>
                    </w:tc>
                  </w:tr>
                  <w:tr>
                    <w:trPr>
                      <w:trHeight w:val="200" w:hRule="atLeast"/>
                    </w:trPr>
                    <w:tc>
                      <w:tcPr>
                        <w:tcW w:w="2248" w:type="dxa"/>
                      </w:tcPr>
                      <w:p>
                        <w:pPr>
                          <w:pStyle w:val="TableParagraph"/>
                          <w:spacing w:line="177" w:lineRule="exact" w:before="4"/>
                          <w:ind w:left="50"/>
                          <w:rPr>
                            <w:i/>
                            <w:sz w:val="16"/>
                          </w:rPr>
                        </w:pPr>
                        <w:r>
                          <w:rPr>
                            <w:i/>
                            <w:color w:val="231F20"/>
                            <w:sz w:val="16"/>
                          </w:rPr>
                          <w:t>DEC CAPEX</w:t>
                        </w:r>
                      </w:p>
                    </w:tc>
                    <w:tc>
                      <w:tcPr>
                        <w:tcW w:w="1147" w:type="dxa"/>
                      </w:tcPr>
                      <w:p>
                        <w:pPr>
                          <w:pStyle w:val="TableParagraph"/>
                          <w:spacing w:line="173" w:lineRule="exact" w:before="8"/>
                          <w:ind w:right="100"/>
                          <w:jc w:val="right"/>
                          <w:rPr>
                            <w:i/>
                            <w:sz w:val="9"/>
                          </w:rPr>
                        </w:pPr>
                        <w:r>
                          <w:rPr>
                            <w:i/>
                            <w:color w:val="231F20"/>
                            <w:position w:val="2"/>
                            <w:sz w:val="16"/>
                          </w:rPr>
                          <w:t>ß</w:t>
                        </w:r>
                        <w:r>
                          <w:rPr>
                            <w:i/>
                            <w:color w:val="231F20"/>
                            <w:sz w:val="9"/>
                          </w:rPr>
                          <w:t>14</w:t>
                        </w:r>
                      </w:p>
                    </w:tc>
                    <w:tc>
                      <w:tcPr>
                        <w:tcW w:w="995" w:type="dxa"/>
                      </w:tcPr>
                      <w:p>
                        <w:pPr>
                          <w:pStyle w:val="TableParagraph"/>
                          <w:spacing w:line="181" w:lineRule="exact"/>
                          <w:ind w:right="135"/>
                          <w:jc w:val="right"/>
                          <w:rPr>
                            <w:rFonts w:ascii="Lucida Sans Unicode" w:hAnsi="Lucida Sans Unicode"/>
                            <w:sz w:val="9"/>
                          </w:rPr>
                        </w:pPr>
                        <w:r>
                          <w:rPr>
                            <w:color w:val="231F20"/>
                            <w:w w:val="85"/>
                            <w:sz w:val="16"/>
                          </w:rPr>
                          <w:t>0.115</w:t>
                        </w:r>
                        <w:r>
                          <w:rPr>
                            <w:rFonts w:ascii="Lucida Sans Unicode" w:hAnsi="Lucida Sans Unicode"/>
                            <w:color w:val="231F20"/>
                            <w:w w:val="85"/>
                            <w:position w:val="6"/>
                            <w:sz w:val="9"/>
                          </w:rPr>
                          <w:t>∗∗∗</w:t>
                        </w:r>
                      </w:p>
                    </w:tc>
                    <w:tc>
                      <w:tcPr>
                        <w:tcW w:w="647" w:type="dxa"/>
                      </w:tcPr>
                      <w:p>
                        <w:pPr>
                          <w:pStyle w:val="TableParagraph"/>
                          <w:spacing w:line="181" w:lineRule="exact"/>
                          <w:ind w:right="89"/>
                          <w:jc w:val="right"/>
                          <w:rPr>
                            <w:sz w:val="16"/>
                          </w:rPr>
                        </w:pPr>
                        <w:r>
                          <w:rPr>
                            <w:color w:val="231F20"/>
                            <w:sz w:val="16"/>
                          </w:rPr>
                          <w:t>4.77</w:t>
                        </w:r>
                      </w:p>
                    </w:tc>
                    <w:tc>
                      <w:tcPr>
                        <w:tcW w:w="953" w:type="dxa"/>
                      </w:tcPr>
                      <w:p>
                        <w:pPr>
                          <w:pStyle w:val="TableParagraph"/>
                          <w:spacing w:line="181" w:lineRule="exact"/>
                          <w:ind w:left="344"/>
                          <w:rPr>
                            <w:sz w:val="16"/>
                          </w:rPr>
                        </w:pPr>
                        <w:r>
                          <w:rPr>
                            <w:color w:val="231F20"/>
                            <w:w w:val="105"/>
                            <w:sz w:val="16"/>
                          </w:rPr>
                          <w:t>0.045</w:t>
                        </w:r>
                      </w:p>
                    </w:tc>
                    <w:tc>
                      <w:tcPr>
                        <w:tcW w:w="562" w:type="dxa"/>
                      </w:tcPr>
                      <w:p>
                        <w:pPr>
                          <w:pStyle w:val="TableParagraph"/>
                          <w:spacing w:line="181" w:lineRule="exact"/>
                          <w:ind w:right="44"/>
                          <w:jc w:val="right"/>
                          <w:rPr>
                            <w:sz w:val="16"/>
                          </w:rPr>
                        </w:pPr>
                        <w:r>
                          <w:rPr>
                            <w:color w:val="231F20"/>
                            <w:sz w:val="16"/>
                          </w:rPr>
                          <w:t>0.88</w:t>
                        </w:r>
                      </w:p>
                    </w:tc>
                  </w:tr>
                  <w:tr>
                    <w:trPr>
                      <w:trHeight w:val="748" w:hRule="atLeast"/>
                    </w:trPr>
                    <w:tc>
                      <w:tcPr>
                        <w:tcW w:w="6552" w:type="dxa"/>
                        <w:gridSpan w:val="6"/>
                      </w:tcPr>
                      <w:p>
                        <w:pPr>
                          <w:pStyle w:val="TableParagraph"/>
                          <w:tabs>
                            <w:tab w:pos="3125" w:val="left" w:leader="none"/>
                            <w:tab w:pos="4530" w:val="left" w:leader="none"/>
                            <w:tab w:pos="5257" w:val="left" w:leader="none"/>
                            <w:tab w:pos="6090" w:val="left" w:leader="none"/>
                          </w:tabs>
                          <w:spacing w:line="198" w:lineRule="exact"/>
                          <w:ind w:left="50"/>
                          <w:rPr>
                            <w:sz w:val="16"/>
                          </w:rPr>
                        </w:pPr>
                        <w:r>
                          <w:rPr>
                            <w:i/>
                            <w:color w:val="231F20"/>
                            <w:sz w:val="16"/>
                          </w:rPr>
                          <w:t>INC</w:t>
                        </w:r>
                        <w:r>
                          <w:rPr>
                            <w:i/>
                            <w:color w:val="231F20"/>
                            <w:spacing w:val="-2"/>
                            <w:sz w:val="16"/>
                          </w:rPr>
                          <w:t> </w:t>
                        </w:r>
                        <w:r>
                          <w:rPr>
                            <w:i/>
                            <w:color w:val="231F20"/>
                            <w:sz w:val="16"/>
                          </w:rPr>
                          <w:t>SPPE</w:t>
                          <w:tab/>
                          <w:t>ß</w:t>
                        </w:r>
                        <w:r>
                          <w:rPr>
                            <w:i/>
                            <w:color w:val="231F20"/>
                            <w:position w:val="-1"/>
                            <w:sz w:val="9"/>
                          </w:rPr>
                          <w:t>15       </w:t>
                        </w:r>
                        <w:r>
                          <w:rPr>
                            <w:i/>
                            <w:color w:val="231F20"/>
                            <w:spacing w:val="2"/>
                            <w:position w:val="-1"/>
                            <w:sz w:val="9"/>
                          </w:rPr>
                          <w:t> </w:t>
                        </w:r>
                        <w:r>
                          <w:rPr>
                            <w:rFonts w:ascii="Lucida Sans Unicode" w:hAnsi="Lucida Sans Unicode"/>
                            <w:color w:val="231F20"/>
                            <w:sz w:val="16"/>
                          </w:rPr>
                          <w:t>−</w:t>
                        </w:r>
                        <w:r>
                          <w:rPr>
                            <w:color w:val="231F20"/>
                            <w:sz w:val="16"/>
                          </w:rPr>
                          <w:t>0.019</w:t>
                          <w:tab/>
                        </w:r>
                        <w:r>
                          <w:rPr>
                            <w:rFonts w:ascii="Lucida Sans Unicode" w:hAnsi="Lucida Sans Unicode"/>
                            <w:color w:val="231F20"/>
                            <w:sz w:val="16"/>
                          </w:rPr>
                          <w:t>−</w:t>
                        </w:r>
                        <w:r>
                          <w:rPr>
                            <w:color w:val="231F20"/>
                            <w:sz w:val="16"/>
                          </w:rPr>
                          <w:t>0.69</w:t>
                          <w:tab/>
                        </w:r>
                        <w:r>
                          <w:rPr>
                            <w:rFonts w:ascii="Lucida Sans Unicode" w:hAnsi="Lucida Sans Unicode"/>
                            <w:color w:val="231F20"/>
                            <w:sz w:val="16"/>
                          </w:rPr>
                          <w:t>−</w:t>
                        </w:r>
                        <w:r>
                          <w:rPr>
                            <w:color w:val="231F20"/>
                            <w:sz w:val="16"/>
                          </w:rPr>
                          <w:t>0.024</w:t>
                          <w:tab/>
                        </w:r>
                        <w:r>
                          <w:rPr>
                            <w:rFonts w:ascii="Lucida Sans Unicode" w:hAnsi="Lucida Sans Unicode"/>
                            <w:color w:val="231F20"/>
                            <w:sz w:val="16"/>
                          </w:rPr>
                          <w:t>−</w:t>
                        </w:r>
                        <w:r>
                          <w:rPr>
                            <w:color w:val="231F20"/>
                            <w:sz w:val="16"/>
                          </w:rPr>
                          <w:t>0.43</w:t>
                        </w:r>
                      </w:p>
                      <w:p>
                        <w:pPr>
                          <w:pStyle w:val="TableParagraph"/>
                          <w:tabs>
                            <w:tab w:pos="3125" w:val="left" w:leader="none"/>
                            <w:tab w:pos="4530" w:val="left" w:leader="none"/>
                            <w:tab w:pos="5257" w:val="left" w:leader="none"/>
                            <w:tab w:pos="6090" w:val="left" w:leader="none"/>
                          </w:tabs>
                          <w:spacing w:line="199" w:lineRule="exact"/>
                          <w:ind w:left="50"/>
                          <w:rPr>
                            <w:sz w:val="16"/>
                          </w:rPr>
                        </w:pPr>
                        <w:r>
                          <w:rPr>
                            <w:i/>
                            <w:color w:val="231F20"/>
                            <w:sz w:val="16"/>
                          </w:rPr>
                          <w:t>DEC</w:t>
                        </w:r>
                        <w:r>
                          <w:rPr>
                            <w:i/>
                            <w:color w:val="231F20"/>
                            <w:spacing w:val="-7"/>
                            <w:sz w:val="16"/>
                          </w:rPr>
                          <w:t> </w:t>
                        </w:r>
                        <w:r>
                          <w:rPr>
                            <w:i/>
                            <w:color w:val="231F20"/>
                            <w:sz w:val="16"/>
                          </w:rPr>
                          <w:t>NSEG</w:t>
                          <w:tab/>
                          <w:t>ß</w:t>
                        </w:r>
                        <w:r>
                          <w:rPr>
                            <w:i/>
                            <w:color w:val="231F20"/>
                            <w:position w:val="-1"/>
                            <w:sz w:val="9"/>
                          </w:rPr>
                          <w:t>16       </w:t>
                        </w:r>
                        <w:r>
                          <w:rPr>
                            <w:i/>
                            <w:color w:val="231F20"/>
                            <w:spacing w:val="2"/>
                            <w:position w:val="-1"/>
                            <w:sz w:val="9"/>
                          </w:rPr>
                          <w:t> </w:t>
                        </w:r>
                        <w:r>
                          <w:rPr>
                            <w:rFonts w:ascii="Lucida Sans Unicode" w:hAnsi="Lucida Sans Unicode"/>
                            <w:color w:val="231F20"/>
                            <w:sz w:val="16"/>
                          </w:rPr>
                          <w:t>−</w:t>
                        </w:r>
                        <w:r>
                          <w:rPr>
                            <w:color w:val="231F20"/>
                            <w:sz w:val="16"/>
                          </w:rPr>
                          <w:t>0.018</w:t>
                          <w:tab/>
                        </w:r>
                        <w:r>
                          <w:rPr>
                            <w:rFonts w:ascii="Lucida Sans Unicode" w:hAnsi="Lucida Sans Unicode"/>
                            <w:color w:val="231F20"/>
                            <w:sz w:val="16"/>
                          </w:rPr>
                          <w:t>−</w:t>
                        </w:r>
                        <w:r>
                          <w:rPr>
                            <w:color w:val="231F20"/>
                            <w:sz w:val="16"/>
                          </w:rPr>
                          <w:t>0.31</w:t>
                          <w:tab/>
                        </w:r>
                        <w:r>
                          <w:rPr>
                            <w:rFonts w:ascii="Lucida Sans Unicode" w:hAnsi="Lucida Sans Unicode"/>
                            <w:color w:val="231F20"/>
                            <w:sz w:val="16"/>
                          </w:rPr>
                          <w:t>−</w:t>
                        </w:r>
                        <w:r>
                          <w:rPr>
                            <w:color w:val="231F20"/>
                            <w:sz w:val="16"/>
                          </w:rPr>
                          <w:t>0.108</w:t>
                          <w:tab/>
                        </w:r>
                        <w:r>
                          <w:rPr>
                            <w:rFonts w:ascii="Lucida Sans Unicode" w:hAnsi="Lucida Sans Unicode"/>
                            <w:color w:val="231F20"/>
                            <w:sz w:val="16"/>
                          </w:rPr>
                          <w:t>−</w:t>
                        </w:r>
                        <w:r>
                          <w:rPr>
                            <w:color w:val="231F20"/>
                            <w:sz w:val="16"/>
                          </w:rPr>
                          <w:t>0.81</w:t>
                        </w:r>
                      </w:p>
                      <w:p>
                        <w:pPr>
                          <w:pStyle w:val="TableParagraph"/>
                          <w:tabs>
                            <w:tab w:pos="3125" w:val="left" w:leader="none"/>
                            <w:tab w:pos="5257" w:val="left" w:leader="none"/>
                          </w:tabs>
                          <w:spacing w:line="210" w:lineRule="exact"/>
                          <w:ind w:left="50"/>
                          <w:rPr>
                            <w:sz w:val="16"/>
                          </w:rPr>
                        </w:pPr>
                        <w:r>
                          <w:rPr>
                            <w:i/>
                            <w:color w:val="231F20"/>
                            <w:sz w:val="16"/>
                          </w:rPr>
                          <w:t>NABN</w:t>
                        </w:r>
                        <w:r>
                          <w:rPr>
                            <w:i/>
                            <w:color w:val="231F20"/>
                            <w:spacing w:val="-18"/>
                            <w:sz w:val="16"/>
                          </w:rPr>
                          <w:t> </w:t>
                        </w:r>
                        <w:r>
                          <w:rPr>
                            <w:i/>
                            <w:color w:val="231F20"/>
                            <w:sz w:val="16"/>
                          </w:rPr>
                          <w:t>DISEXP</w:t>
                          <w:tab/>
                          <w:t>ß</w:t>
                        </w:r>
                        <w:r>
                          <w:rPr>
                            <w:i/>
                            <w:color w:val="231F20"/>
                            <w:position w:val="-1"/>
                            <w:sz w:val="9"/>
                          </w:rPr>
                          <w:t>17     </w:t>
                        </w:r>
                        <w:r>
                          <w:rPr>
                            <w:i/>
                            <w:color w:val="231F20"/>
                            <w:spacing w:val="18"/>
                            <w:position w:val="-1"/>
                            <w:sz w:val="9"/>
                          </w:rPr>
                          <w:t> </w:t>
                        </w:r>
                        <w:r>
                          <w:rPr>
                            <w:rFonts w:ascii="Lucida Sans Unicode" w:hAnsi="Lucida Sans Unicode"/>
                            <w:color w:val="231F20"/>
                            <w:sz w:val="16"/>
                          </w:rPr>
                          <w:t>−</w:t>
                        </w:r>
                        <w:r>
                          <w:rPr>
                            <w:color w:val="231F20"/>
                            <w:sz w:val="16"/>
                          </w:rPr>
                          <w:t>0.680</w:t>
                        </w:r>
                        <w:r>
                          <w:rPr>
                            <w:rFonts w:ascii="Lucida Sans Unicode" w:hAnsi="Lucida Sans Unicode"/>
                            <w:color w:val="231F20"/>
                            <w:position w:val="6"/>
                            <w:sz w:val="9"/>
                          </w:rPr>
                          <w:t>∗∗∗  </w:t>
                        </w:r>
                        <w:r>
                          <w:rPr>
                            <w:rFonts w:ascii="Lucida Sans Unicode" w:hAnsi="Lucida Sans Unicode"/>
                            <w:color w:val="231F20"/>
                            <w:spacing w:val="7"/>
                            <w:position w:val="6"/>
                            <w:sz w:val="9"/>
                          </w:rPr>
                          <w:t> </w:t>
                        </w:r>
                        <w:r>
                          <w:rPr>
                            <w:rFonts w:ascii="Lucida Sans Unicode" w:hAnsi="Lucida Sans Unicode"/>
                            <w:color w:val="231F20"/>
                            <w:sz w:val="16"/>
                          </w:rPr>
                          <w:t>−</w:t>
                        </w:r>
                        <w:r>
                          <w:rPr>
                            <w:color w:val="231F20"/>
                            <w:sz w:val="16"/>
                          </w:rPr>
                          <w:t>10.25</w:t>
                          <w:tab/>
                        </w:r>
                        <w:r>
                          <w:rPr>
                            <w:rFonts w:ascii="Lucida Sans Unicode" w:hAnsi="Lucida Sans Unicode"/>
                            <w:color w:val="231F20"/>
                            <w:sz w:val="16"/>
                          </w:rPr>
                          <w:t>−</w:t>
                        </w:r>
                        <w:r>
                          <w:rPr>
                            <w:color w:val="231F20"/>
                            <w:sz w:val="16"/>
                          </w:rPr>
                          <w:t>0.529</w:t>
                        </w:r>
                        <w:r>
                          <w:rPr>
                            <w:rFonts w:ascii="Lucida Sans Unicode" w:hAnsi="Lucida Sans Unicode"/>
                            <w:color w:val="231F20"/>
                            <w:position w:val="6"/>
                            <w:sz w:val="9"/>
                          </w:rPr>
                          <w:t>∗∗∗</w:t>
                        </w:r>
                        <w:r>
                          <w:rPr>
                            <w:rFonts w:ascii="Lucida Sans Unicode" w:hAnsi="Lucida Sans Unicode"/>
                            <w:color w:val="231F20"/>
                            <w:spacing w:val="25"/>
                            <w:position w:val="6"/>
                            <w:sz w:val="9"/>
                          </w:rPr>
                          <w:t> </w:t>
                        </w:r>
                        <w:r>
                          <w:rPr>
                            <w:rFonts w:ascii="Lucida Sans Unicode" w:hAnsi="Lucida Sans Unicode"/>
                            <w:color w:val="231F20"/>
                            <w:sz w:val="16"/>
                          </w:rPr>
                          <w:t>−</w:t>
                        </w:r>
                        <w:r>
                          <w:rPr>
                            <w:color w:val="231F20"/>
                            <w:sz w:val="16"/>
                          </w:rPr>
                          <w:t>3.18</w:t>
                        </w:r>
                      </w:p>
                      <w:p>
                        <w:pPr>
                          <w:pStyle w:val="TableParagraph"/>
                          <w:tabs>
                            <w:tab w:pos="3125" w:val="left" w:leader="none"/>
                            <w:tab w:pos="3738" w:val="left" w:leader="none"/>
                            <w:tab w:pos="4654" w:val="left" w:leader="none"/>
                            <w:tab w:pos="5381" w:val="left" w:leader="none"/>
                            <w:tab w:pos="6505" w:val="right" w:leader="none"/>
                          </w:tabs>
                          <w:spacing w:line="121" w:lineRule="exact"/>
                          <w:ind w:left="50"/>
                          <w:rPr>
                            <w:sz w:val="16"/>
                          </w:rPr>
                        </w:pPr>
                        <w:r>
                          <w:rPr>
                            <w:i/>
                            <w:color w:val="231F20"/>
                            <w:sz w:val="16"/>
                          </w:rPr>
                          <w:t>NABN</w:t>
                        </w:r>
                        <w:r>
                          <w:rPr>
                            <w:i/>
                            <w:color w:val="231F20"/>
                            <w:spacing w:val="-16"/>
                            <w:sz w:val="16"/>
                          </w:rPr>
                          <w:t> </w:t>
                        </w:r>
                        <w:r>
                          <w:rPr>
                            <w:i/>
                            <w:color w:val="231F20"/>
                            <w:sz w:val="16"/>
                          </w:rPr>
                          <w:t>PROD</w:t>
                          <w:tab/>
                          <w:t>ß</w:t>
                        </w:r>
                        <w:r>
                          <w:rPr>
                            <w:i/>
                            <w:color w:val="231F20"/>
                            <w:position w:val="-1"/>
                            <w:sz w:val="9"/>
                          </w:rPr>
                          <w:t>18</w:t>
                          <w:tab/>
                        </w:r>
                        <w:r>
                          <w:rPr>
                            <w:color w:val="231F20"/>
                            <w:sz w:val="16"/>
                          </w:rPr>
                          <w:t>0.116</w:t>
                          <w:tab/>
                          <w:t>1.58</w:t>
                          <w:tab/>
                          <w:t>0.197</w:t>
                          <w:tab/>
                          <w:t>1.13</w:t>
                        </w:r>
                      </w:p>
                    </w:tc>
                  </w:tr>
                </w:tbl>
                <w:p>
                  <w:pPr>
                    <w:pStyle w:val="BodyText"/>
                  </w:pPr>
                </w:p>
              </w:txbxContent>
            </v:textbox>
            <w10:wrap type="none"/>
          </v:shape>
        </w:pict>
      </w:r>
      <w:r>
        <w:rPr>
          <w:i/>
          <w:color w:val="231F20"/>
          <w:sz w:val="16"/>
        </w:rPr>
        <w:t>Controlling for Real Actions</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pStyle w:val="BodyText"/>
        <w:rPr>
          <w:i/>
          <w:sz w:val="18"/>
        </w:rPr>
      </w:pPr>
    </w:p>
    <w:p>
      <w:pPr>
        <w:pStyle w:val="BodyText"/>
        <w:rPr>
          <w:i/>
          <w:sz w:val="18"/>
        </w:rPr>
      </w:pPr>
    </w:p>
    <w:p>
      <w:pPr>
        <w:pStyle w:val="BodyText"/>
        <w:rPr>
          <w:i/>
          <w:sz w:val="18"/>
        </w:rPr>
      </w:pPr>
    </w:p>
    <w:p>
      <w:pPr>
        <w:pStyle w:val="BodyText"/>
        <w:rPr>
          <w:i/>
          <w:sz w:val="18"/>
        </w:rPr>
      </w:pPr>
    </w:p>
    <w:p>
      <w:pPr>
        <w:tabs>
          <w:tab w:pos="5137" w:val="left" w:leader="none"/>
          <w:tab w:pos="5864" w:val="left" w:leader="none"/>
          <w:tab w:pos="6697" w:val="left" w:leader="none"/>
        </w:tabs>
        <w:spacing w:before="148"/>
        <w:ind w:left="4220" w:right="0" w:firstLine="0"/>
        <w:jc w:val="left"/>
        <w:rPr>
          <w:sz w:val="16"/>
        </w:rPr>
      </w:pPr>
      <w:r>
        <w:rPr>
          <w:color w:val="231F20"/>
          <w:sz w:val="16"/>
        </w:rPr>
        <w:t>0.163</w:t>
      </w:r>
      <w:r>
        <w:rPr>
          <w:rFonts w:ascii="Lucida Sans Unicode" w:hAnsi="Lucida Sans Unicode"/>
          <w:color w:val="231F20"/>
          <w:position w:val="6"/>
          <w:sz w:val="9"/>
        </w:rPr>
        <w:t>∗∗</w:t>
        <w:tab/>
      </w:r>
      <w:r>
        <w:rPr>
          <w:color w:val="231F20"/>
          <w:sz w:val="16"/>
        </w:rPr>
        <w:t>2.42</w:t>
        <w:tab/>
        <w:t>0.170</w:t>
        <w:tab/>
        <w:t>1.63</w:t>
      </w:r>
    </w:p>
    <w:p>
      <w:pPr>
        <w:tabs>
          <w:tab w:pos="3607" w:val="left" w:leader="none"/>
          <w:tab w:pos="4220" w:val="left" w:leader="none"/>
          <w:tab w:pos="5427" w:val="right" w:leader="none"/>
        </w:tabs>
        <w:spacing w:before="200"/>
        <w:ind w:left="532" w:right="0" w:firstLine="0"/>
        <w:jc w:val="left"/>
        <w:rPr>
          <w:sz w:val="16"/>
        </w:rPr>
      </w:pPr>
      <w:r>
        <w:rPr>
          <w:i/>
          <w:color w:val="231F20"/>
          <w:sz w:val="16"/>
        </w:rPr>
        <w:t>POST</w:t>
        <w:tab/>
        <w:t>ß</w:t>
      </w:r>
      <w:r>
        <w:rPr>
          <w:i/>
          <w:color w:val="231F20"/>
          <w:position w:val="-1"/>
          <w:sz w:val="9"/>
        </w:rPr>
        <w:t>4</w:t>
        <w:tab/>
      </w:r>
      <w:r>
        <w:rPr>
          <w:color w:val="231F20"/>
          <w:sz w:val="16"/>
        </w:rPr>
        <w:t>0.011</w:t>
        <w:tab/>
        <w:t>0.21</w:t>
      </w:r>
    </w:p>
    <w:p>
      <w:pPr>
        <w:tabs>
          <w:tab w:pos="3607" w:val="left" w:leader="none"/>
        </w:tabs>
        <w:spacing w:line="225" w:lineRule="exact" w:before="178"/>
        <w:ind w:left="532" w:right="0" w:firstLine="0"/>
        <w:jc w:val="left"/>
        <w:rPr>
          <w:i/>
          <w:sz w:val="9"/>
        </w:rPr>
      </w:pPr>
      <w:r>
        <w:rPr>
          <w:i/>
          <w:color w:val="231F20"/>
          <w:sz w:val="16"/>
        </w:rPr>
        <w:t>POST</w:t>
      </w:r>
      <w:r>
        <w:rPr>
          <w:rFonts w:ascii="Lucida Sans Unicode" w:hAnsi="Lucida Sans Unicode"/>
          <w:color w:val="231F20"/>
          <w:sz w:val="16"/>
        </w:rPr>
        <w:t>×</w:t>
      </w:r>
      <w:r>
        <w:rPr>
          <w:i/>
          <w:color w:val="231F20"/>
          <w:sz w:val="16"/>
        </w:rPr>
        <w:t>HEDF93</w:t>
        <w:tab/>
        <w:t>ß</w:t>
      </w:r>
      <w:r>
        <w:rPr>
          <w:i/>
          <w:color w:val="231F20"/>
          <w:position w:val="-1"/>
          <w:sz w:val="9"/>
        </w:rPr>
        <w:t>6</w:t>
      </w:r>
    </w:p>
    <w:p>
      <w:pPr>
        <w:spacing w:after="0" w:line="225" w:lineRule="exact"/>
        <w:jc w:val="left"/>
        <w:rPr>
          <w:sz w:val="9"/>
        </w:rPr>
        <w:sectPr>
          <w:headerReference w:type="default" r:id="rId22"/>
          <w:headerReference w:type="even" r:id="rId23"/>
          <w:pgSz w:w="9720" w:h="14400"/>
          <w:pgMar w:header="1066" w:footer="0" w:top="1300" w:bottom="280" w:left="1280" w:right="1300"/>
        </w:sectPr>
      </w:pPr>
    </w:p>
    <w:p>
      <w:pPr>
        <w:tabs>
          <w:tab w:pos="3607" w:val="left" w:leader="none"/>
        </w:tabs>
        <w:spacing w:before="200"/>
        <w:ind w:left="532" w:right="0" w:firstLine="0"/>
        <w:jc w:val="left"/>
        <w:rPr>
          <w:i/>
          <w:sz w:val="9"/>
        </w:rPr>
      </w:pPr>
      <w:r>
        <w:rPr>
          <w:i/>
          <w:color w:val="231F20"/>
          <w:sz w:val="16"/>
        </w:rPr>
        <w:t>LNMVE</w:t>
        <w:tab/>
      </w:r>
      <w:r>
        <w:rPr>
          <w:i/>
          <w:color w:val="231F20"/>
          <w:spacing w:val="-1"/>
          <w:w w:val="95"/>
          <w:sz w:val="16"/>
        </w:rPr>
        <w:t>ß</w:t>
      </w:r>
      <w:r>
        <w:rPr>
          <w:i/>
          <w:color w:val="231F20"/>
          <w:spacing w:val="-1"/>
          <w:w w:val="95"/>
          <w:position w:val="-1"/>
          <w:sz w:val="9"/>
        </w:rPr>
        <w:t>8</w:t>
      </w:r>
    </w:p>
    <w:p>
      <w:pPr>
        <w:tabs>
          <w:tab w:pos="916" w:val="left" w:leader="none"/>
          <w:tab w:pos="1643" w:val="left" w:leader="none"/>
          <w:tab w:pos="2476" w:val="left" w:leader="none"/>
        </w:tabs>
        <w:spacing w:line="195" w:lineRule="exact" w:before="0"/>
        <w:ind w:left="0" w:right="149" w:firstLine="0"/>
        <w:jc w:val="right"/>
        <w:rPr>
          <w:sz w:val="16"/>
        </w:rPr>
      </w:pPr>
      <w:r>
        <w:rPr/>
        <w:br w:type="column"/>
      </w:r>
      <w:r>
        <w:rPr>
          <w:color w:val="231F20"/>
          <w:sz w:val="16"/>
        </w:rPr>
        <w:t>0.472</w:t>
      </w:r>
      <w:r>
        <w:rPr>
          <w:rFonts w:ascii="Lucida Sans Unicode" w:hAnsi="Lucida Sans Unicode"/>
          <w:color w:val="231F20"/>
          <w:position w:val="6"/>
          <w:sz w:val="9"/>
        </w:rPr>
        <w:t>∗∗∗</w:t>
        <w:tab/>
      </w:r>
      <w:r>
        <w:rPr>
          <w:color w:val="231F20"/>
          <w:sz w:val="16"/>
        </w:rPr>
        <w:t>3.67</w:t>
        <w:tab/>
        <w:t>0.326</w:t>
      </w:r>
      <w:r>
        <w:rPr>
          <w:rFonts w:ascii="Lucida Sans Unicode" w:hAnsi="Lucida Sans Unicode"/>
          <w:color w:val="231F20"/>
          <w:position w:val="6"/>
          <w:sz w:val="9"/>
        </w:rPr>
        <w:t>∗</w:t>
        <w:tab/>
      </w:r>
      <w:r>
        <w:rPr>
          <w:color w:val="231F20"/>
          <w:sz w:val="16"/>
        </w:rPr>
        <w:t>1.70</w:t>
      </w:r>
    </w:p>
    <w:p>
      <w:pPr>
        <w:pStyle w:val="BodyText"/>
        <w:spacing w:before="8"/>
        <w:rPr>
          <w:sz w:val="15"/>
        </w:rPr>
      </w:pPr>
    </w:p>
    <w:p>
      <w:pPr>
        <w:tabs>
          <w:tab w:pos="916" w:val="left" w:leader="none"/>
          <w:tab w:pos="1643" w:val="left" w:leader="none"/>
        </w:tabs>
        <w:spacing w:before="0"/>
        <w:ind w:left="0" w:right="149" w:firstLine="0"/>
        <w:jc w:val="right"/>
        <w:rPr>
          <w:sz w:val="16"/>
        </w:rPr>
      </w:pPr>
      <w:r>
        <w:rPr>
          <w:color w:val="231F20"/>
          <w:sz w:val="16"/>
        </w:rPr>
        <w:t>0.226</w:t>
      </w:r>
      <w:r>
        <w:rPr>
          <w:rFonts w:ascii="Lucida Sans Unicode" w:hAnsi="Lucida Sans Unicode"/>
          <w:color w:val="231F20"/>
          <w:position w:val="6"/>
          <w:sz w:val="9"/>
        </w:rPr>
        <w:t>∗∗∗</w:t>
        <w:tab/>
      </w:r>
      <w:r>
        <w:rPr>
          <w:color w:val="231F20"/>
          <w:sz w:val="16"/>
        </w:rPr>
        <w:t>3.19</w:t>
        <w:tab/>
        <w:t>0.224</w:t>
      </w:r>
      <w:r>
        <w:rPr>
          <w:rFonts w:ascii="Lucida Sans Unicode" w:hAnsi="Lucida Sans Unicode"/>
          <w:color w:val="231F20"/>
          <w:position w:val="6"/>
          <w:sz w:val="9"/>
        </w:rPr>
        <w:t>∗∗∗   </w:t>
      </w:r>
      <w:r>
        <w:rPr>
          <w:rFonts w:ascii="Lucida Sans Unicode" w:hAnsi="Lucida Sans Unicode"/>
          <w:color w:val="231F20"/>
          <w:spacing w:val="13"/>
          <w:position w:val="6"/>
          <w:sz w:val="9"/>
        </w:rPr>
        <w:t> </w:t>
      </w:r>
      <w:r>
        <w:rPr>
          <w:color w:val="231F20"/>
          <w:sz w:val="16"/>
        </w:rPr>
        <w:t>3.14</w:t>
      </w:r>
    </w:p>
    <w:p>
      <w:pPr>
        <w:pStyle w:val="BodyText"/>
        <w:spacing w:before="4"/>
        <w:rPr>
          <w:sz w:val="14"/>
        </w:rPr>
      </w:pPr>
    </w:p>
    <w:p>
      <w:pPr>
        <w:spacing w:line="226" w:lineRule="exact" w:before="0"/>
        <w:ind w:left="0" w:right="149" w:firstLine="0"/>
        <w:jc w:val="right"/>
        <w:rPr>
          <w:sz w:val="16"/>
        </w:rPr>
      </w:pPr>
      <w:r>
        <w:rPr>
          <w:rFonts w:ascii="Lucida Sans Unicode" w:hAnsi="Lucida Sans Unicode"/>
          <w:color w:val="231F20"/>
          <w:sz w:val="16"/>
        </w:rPr>
        <w:t>−</w:t>
      </w:r>
      <w:r>
        <w:rPr>
          <w:color w:val="231F20"/>
          <w:sz w:val="16"/>
        </w:rPr>
        <w:t>6.20</w:t>
      </w:r>
    </w:p>
    <w:p>
      <w:pPr>
        <w:spacing w:after="0" w:line="226" w:lineRule="exact"/>
        <w:jc w:val="right"/>
        <w:rPr>
          <w:sz w:val="16"/>
        </w:rPr>
        <w:sectPr>
          <w:type w:val="continuous"/>
          <w:pgSz w:w="9720" w:h="14400"/>
          <w:pgMar w:top="40" w:bottom="280" w:left="1280" w:right="1300"/>
          <w:cols w:num="2" w:equalWidth="0">
            <w:col w:w="3728" w:space="40"/>
            <w:col w:w="3372"/>
          </w:cols>
        </w:sectPr>
      </w:pPr>
    </w:p>
    <w:p>
      <w:pPr>
        <w:tabs>
          <w:tab w:pos="5864" w:val="left" w:leader="none"/>
        </w:tabs>
        <w:spacing w:line="195" w:lineRule="exact" w:before="0"/>
        <w:ind w:left="4220" w:right="0" w:firstLine="0"/>
        <w:jc w:val="left"/>
        <w:rPr>
          <w:rFonts w:ascii="Lucida Sans Unicode" w:hAnsi="Lucida Sans Unicode"/>
          <w:sz w:val="9"/>
        </w:rPr>
      </w:pPr>
      <w:r>
        <w:rPr>
          <w:color w:val="231F20"/>
          <w:sz w:val="16"/>
        </w:rPr>
        <w:t>0.642</w:t>
      </w:r>
      <w:r>
        <w:rPr>
          <w:rFonts w:ascii="Lucida Sans Unicode" w:hAnsi="Lucida Sans Unicode"/>
          <w:color w:val="231F20"/>
          <w:position w:val="6"/>
          <w:sz w:val="9"/>
        </w:rPr>
        <w:t>∗∗∗    </w:t>
      </w:r>
      <w:r>
        <w:rPr>
          <w:rFonts w:ascii="Lucida Sans Unicode" w:hAnsi="Lucida Sans Unicode"/>
          <w:color w:val="231F20"/>
          <w:spacing w:val="5"/>
          <w:position w:val="6"/>
          <w:sz w:val="9"/>
        </w:rPr>
        <w:t> </w:t>
      </w:r>
      <w:r>
        <w:rPr>
          <w:color w:val="231F20"/>
          <w:sz w:val="16"/>
        </w:rPr>
        <w:t>10.95</w:t>
        <w:tab/>
        <w:t>0.638</w:t>
      </w:r>
      <w:r>
        <w:rPr>
          <w:rFonts w:ascii="Lucida Sans Unicode" w:hAnsi="Lucida Sans Unicode"/>
          <w:color w:val="231F20"/>
          <w:position w:val="6"/>
          <w:sz w:val="9"/>
        </w:rPr>
        <w:t>∗∗∗</w:t>
      </w:r>
    </w:p>
    <w:p>
      <w:pPr>
        <w:pStyle w:val="BodyText"/>
        <w:rPr>
          <w:rFonts w:ascii="Lucida Sans Unicode"/>
        </w:rPr>
      </w:pPr>
    </w:p>
    <w:p>
      <w:pPr>
        <w:pStyle w:val="BodyText"/>
        <w:spacing w:before="12"/>
        <w:rPr>
          <w:rFonts w:ascii="Lucida Sans Unicode"/>
          <w:sz w:val="12"/>
        </w:rPr>
      </w:pPr>
      <w:r>
        <w:rPr/>
        <w:pict>
          <v:line style="position:absolute;mso-position-horizontal-relative:page;mso-position-vertical-relative:paragraph;z-index:6352;mso-wrap-distance-left:0;mso-wrap-distance-right:0" from="105.794998pt,12.061983pt" to="108.197998pt,12.061983pt" stroked="true" strokeweight=".405pt" strokecolor="#000000">
            <v:stroke dashstyle="solid"/>
            <w10:wrap type="topAndBottom"/>
          </v:line>
        </w:pict>
      </w:r>
      <w:r>
        <w:rPr/>
        <w:pict>
          <v:line style="position:absolute;mso-position-horizontal-relative:page;mso-position-vertical-relative:paragraph;z-index:6376;mso-wrap-distance-left:0;mso-wrap-distance-right:0" from="104.355003pt,22.024982pt" to="106.758003pt,22.024982pt" stroked="true" strokeweight=".405pt" strokecolor="#000000">
            <v:stroke dashstyle="solid"/>
            <w10:wrap type="topAndBottom"/>
          </v:line>
        </w:pict>
      </w:r>
      <w:r>
        <w:rPr/>
        <w:pict>
          <v:line style="position:absolute;mso-position-horizontal-relative:page;mso-position-vertical-relative:paragraph;z-index:6400;mso-wrap-distance-left:0;mso-wrap-distance-right:0" from="105.794998pt,31.987984pt" to="108.197998pt,31.987984pt" stroked="true" strokeweight=".405pt" strokecolor="#000000">
            <v:stroke dashstyle="solid"/>
            <w10:wrap type="topAndBottom"/>
          </v:line>
        </w:pict>
      </w:r>
      <w:r>
        <w:rPr/>
        <w:pict>
          <v:line style="position:absolute;mso-position-horizontal-relative:page;mso-position-vertical-relative:paragraph;z-index:6424;mso-wrap-distance-left:0;mso-wrap-distance-right:0" from="112.176003pt,41.950985pt" to="114.579003pt,41.950985pt" stroked="true" strokeweight=".405pt" strokecolor="#000000">
            <v:stroke dashstyle="solid"/>
            <w10:wrap type="topAndBottom"/>
          </v:line>
        </w:pict>
      </w:r>
      <w:r>
        <w:rPr/>
        <w:pict>
          <v:line style="position:absolute;mso-position-horizontal-relative:page;mso-position-vertical-relative:paragraph;z-index:6448;mso-wrap-distance-left:0;mso-wrap-distance-right:0" from="112.176003pt,51.913982pt" to="114.579003pt,51.913982pt" stroked="true" strokeweight=".405pt" strokecolor="#000000">
            <v:stroke dashstyle="solid"/>
            <w10:wrap type="topAndBottom"/>
          </v:line>
        </w:pict>
      </w:r>
    </w:p>
    <w:p>
      <w:pPr>
        <w:pStyle w:val="BodyText"/>
        <w:spacing w:before="13"/>
        <w:rPr>
          <w:rFonts w:ascii="Lucida Sans Unicode"/>
          <w:sz w:val="7"/>
        </w:rPr>
      </w:pPr>
    </w:p>
    <w:p>
      <w:pPr>
        <w:pStyle w:val="BodyText"/>
        <w:spacing w:before="13"/>
        <w:rPr>
          <w:rFonts w:ascii="Lucida Sans Unicode"/>
          <w:sz w:val="7"/>
        </w:rPr>
      </w:pPr>
    </w:p>
    <w:p>
      <w:pPr>
        <w:pStyle w:val="BodyText"/>
        <w:spacing w:before="13"/>
        <w:rPr>
          <w:rFonts w:ascii="Lucida Sans Unicode"/>
          <w:sz w:val="7"/>
        </w:rPr>
      </w:pPr>
    </w:p>
    <w:p>
      <w:pPr>
        <w:pStyle w:val="BodyText"/>
        <w:spacing w:before="13"/>
        <w:rPr>
          <w:rFonts w:ascii="Lucida Sans Unicode"/>
          <w:sz w:val="7"/>
        </w:rPr>
      </w:pPr>
    </w:p>
    <w:p>
      <w:pPr>
        <w:tabs>
          <w:tab w:pos="5987" w:val="left" w:leader="none"/>
        </w:tabs>
        <w:spacing w:before="15"/>
        <w:ind w:left="532" w:right="0" w:firstLine="0"/>
        <w:jc w:val="left"/>
        <w:rPr>
          <w:sz w:val="16"/>
        </w:rPr>
      </w:pPr>
      <w:r>
        <w:rPr>
          <w:i/>
          <w:color w:val="231F20"/>
          <w:sz w:val="16"/>
        </w:rPr>
        <w:t>Real Action</w:t>
      </w:r>
      <w:r>
        <w:rPr>
          <w:i/>
          <w:color w:val="231F20"/>
          <w:spacing w:val="-30"/>
          <w:sz w:val="16"/>
        </w:rPr>
        <w:t> </w:t>
      </w:r>
      <w:r>
        <w:rPr>
          <w:i/>
          <w:color w:val="231F20"/>
          <w:sz w:val="16"/>
        </w:rPr>
        <w:t>Controls</w:t>
      </w:r>
      <w:r>
        <w:rPr>
          <w:i/>
          <w:color w:val="231F20"/>
          <w:spacing w:val="35"/>
          <w:sz w:val="16"/>
        </w:rPr>
        <w:t> </w:t>
      </w:r>
      <w:r>
        <w:rPr>
          <w:i/>
          <w:color w:val="231F20"/>
          <w:sz w:val="16"/>
        </w:rPr>
        <w:t>DEL</w:t>
        <w:tab/>
      </w:r>
      <w:r>
        <w:rPr>
          <w:color w:val="231F20"/>
          <w:sz w:val="16"/>
        </w:rPr>
        <w:t>Included</w:t>
      </w:r>
    </w:p>
    <w:p>
      <w:pPr>
        <w:tabs>
          <w:tab w:pos="5987" w:val="left" w:leader="none"/>
        </w:tabs>
        <w:spacing w:before="1"/>
        <w:ind w:left="532" w:right="0" w:firstLine="0"/>
        <w:jc w:val="left"/>
        <w:rPr>
          <w:sz w:val="16"/>
        </w:rPr>
      </w:pPr>
      <w:r>
        <w:rPr/>
        <w:pict>
          <v:shape style="position:absolute;margin-left:154.634872pt;margin-top:1.381423pt;width:6.3pt;height:14pt;mso-position-horizontal-relative:page;mso-position-vertical-relative:paragraph;z-index:-64912"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54.634872pt;margin-top:-8.581737pt;width:6.3pt;height:14pt;mso-position-horizontal-relative:page;mso-position-vertical-relative:paragraph;z-index:-6488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Real</w:t>
      </w:r>
      <w:r>
        <w:rPr>
          <w:i/>
          <w:color w:val="231F20"/>
          <w:spacing w:val="-17"/>
          <w:sz w:val="16"/>
        </w:rPr>
        <w:t> </w:t>
      </w:r>
      <w:r>
        <w:rPr>
          <w:i/>
          <w:color w:val="231F20"/>
          <w:sz w:val="16"/>
        </w:rPr>
        <w:t>Action</w:t>
      </w:r>
      <w:r>
        <w:rPr>
          <w:i/>
          <w:color w:val="231F20"/>
          <w:spacing w:val="-17"/>
          <w:sz w:val="16"/>
        </w:rPr>
        <w:t> </w:t>
      </w:r>
      <w:r>
        <w:rPr>
          <w:i/>
          <w:color w:val="231F20"/>
          <w:sz w:val="16"/>
        </w:rPr>
        <w:t>Controls</w:t>
      </w:r>
      <w:r>
        <w:rPr>
          <w:i/>
          <w:color w:val="231F20"/>
          <w:spacing w:val="30"/>
          <w:sz w:val="16"/>
        </w:rPr>
        <w:t> </w:t>
      </w:r>
      <w:r>
        <w:rPr>
          <w:i/>
          <w:color w:val="231F20"/>
          <w:sz w:val="16"/>
        </w:rPr>
        <w:t>HEDF93</w:t>
        <w:tab/>
      </w:r>
      <w:r>
        <w:rPr>
          <w:color w:val="231F20"/>
          <w:sz w:val="16"/>
        </w:rPr>
        <w:t>Included</w:t>
      </w:r>
    </w:p>
    <w:p>
      <w:pPr>
        <w:tabs>
          <w:tab w:pos="5987" w:val="left" w:leader="none"/>
        </w:tabs>
        <w:spacing w:before="0"/>
        <w:ind w:left="532" w:right="0" w:firstLine="0"/>
        <w:jc w:val="left"/>
        <w:rPr>
          <w:sz w:val="16"/>
        </w:rPr>
      </w:pPr>
      <w:r>
        <w:rPr/>
        <w:pict>
          <v:shape style="position:absolute;margin-left:154.634872pt;margin-top:1.331438pt;width:27.05pt;height:14pt;mso-position-horizontal-relative:page;mso-position-vertical-relative:paragraph;z-index:-64936" type="#_x0000_t202" filled="false" stroked="false">
            <v:textbox inset="0,0,0,0">
              <w:txbxContent>
                <w:p>
                  <w:pPr>
                    <w:tabs>
                      <w:tab w:pos="415"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12"/>
          <w:sz w:val="16"/>
        </w:rPr>
        <w:t> </w:t>
      </w:r>
      <w:r>
        <w:rPr>
          <w:i/>
          <w:color w:val="231F20"/>
          <w:sz w:val="16"/>
        </w:rPr>
        <w:t>DEL  HEDF93</w:t>
        <w:tab/>
      </w:r>
      <w:r>
        <w:rPr>
          <w:color w:val="231F20"/>
          <w:sz w:val="16"/>
        </w:rPr>
        <w:t>Included</w:t>
      </w:r>
    </w:p>
    <w:p>
      <w:pPr>
        <w:tabs>
          <w:tab w:pos="5987" w:val="left" w:leader="none"/>
        </w:tabs>
        <w:spacing w:before="1"/>
        <w:ind w:left="532" w:right="0" w:firstLine="0"/>
        <w:jc w:val="left"/>
        <w:rPr>
          <w:sz w:val="16"/>
        </w:rPr>
      </w:pPr>
      <w:r>
        <w:rPr/>
        <w:pict>
          <v:shape style="position:absolute;margin-left:154.634872pt;margin-top:1.381433pt;width:6.3pt;height:14pt;mso-position-horizontal-relative:page;mso-position-vertical-relative:paragraph;z-index:-6496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i/>
          <w:color w:val="231F20"/>
          <w:sz w:val="16"/>
        </w:rPr>
        <w:t>Real Action</w:t>
      </w:r>
      <w:r>
        <w:rPr>
          <w:i/>
          <w:color w:val="231F20"/>
          <w:spacing w:val="-33"/>
          <w:sz w:val="16"/>
        </w:rPr>
        <w:t> </w:t>
      </w:r>
      <w:r>
        <w:rPr>
          <w:i/>
          <w:color w:val="231F20"/>
          <w:sz w:val="16"/>
        </w:rPr>
        <w:t>Controls</w:t>
      </w:r>
      <w:r>
        <w:rPr>
          <w:i/>
          <w:color w:val="231F20"/>
          <w:spacing w:val="31"/>
          <w:sz w:val="16"/>
        </w:rPr>
        <w:t> </w:t>
      </w:r>
      <w:r>
        <w:rPr>
          <w:i/>
          <w:color w:val="231F20"/>
          <w:sz w:val="16"/>
        </w:rPr>
        <w:t>POST</w:t>
        <w:tab/>
      </w:r>
      <w:r>
        <w:rPr>
          <w:color w:val="231F20"/>
          <w:sz w:val="16"/>
        </w:rPr>
        <w:t>Included</w:t>
      </w:r>
    </w:p>
    <w:p>
      <w:pPr>
        <w:tabs>
          <w:tab w:pos="5987" w:val="left" w:leader="none"/>
        </w:tabs>
        <w:spacing w:before="0"/>
        <w:ind w:left="532" w:right="0" w:firstLine="0"/>
        <w:jc w:val="left"/>
        <w:rPr>
          <w:sz w:val="16"/>
        </w:rPr>
      </w:pPr>
      <w:r>
        <w:rPr/>
        <w:pict>
          <v:shape style="position:absolute;margin-left:154.635681pt;margin-top:1.331437pt;width:31.55pt;height:14pt;mso-position-horizontal-relative:page;mso-position-vertical-relative:paragraph;z-index:-64984" type="#_x0000_t202" filled="false" stroked="false">
            <v:textbox inset="0,0,0,0">
              <w:txbxContent>
                <w:p>
                  <w:pPr>
                    <w:tabs>
                      <w:tab w:pos="50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15"/>
          <w:sz w:val="16"/>
        </w:rPr>
        <w:t> </w:t>
      </w:r>
      <w:r>
        <w:rPr>
          <w:i/>
          <w:color w:val="231F20"/>
          <w:sz w:val="16"/>
        </w:rPr>
        <w:t>POST </w:t>
      </w:r>
      <w:r>
        <w:rPr>
          <w:i/>
          <w:color w:val="231F20"/>
          <w:spacing w:val="1"/>
          <w:sz w:val="16"/>
        </w:rPr>
        <w:t> </w:t>
      </w:r>
      <w:r>
        <w:rPr>
          <w:i/>
          <w:color w:val="231F20"/>
          <w:sz w:val="16"/>
        </w:rPr>
        <w:t>DEL</w:t>
        <w:tab/>
      </w:r>
      <w:r>
        <w:rPr>
          <w:color w:val="231F20"/>
          <w:sz w:val="16"/>
        </w:rPr>
        <w:t>Included</w:t>
      </w:r>
    </w:p>
    <w:p>
      <w:pPr>
        <w:tabs>
          <w:tab w:pos="5987" w:val="left" w:leader="none"/>
        </w:tabs>
        <w:spacing w:before="0"/>
        <w:ind w:left="532" w:right="0" w:firstLine="0"/>
        <w:jc w:val="left"/>
        <w:rPr>
          <w:sz w:val="16"/>
        </w:rPr>
      </w:pPr>
      <w:r>
        <w:rPr/>
        <w:pict>
          <v:shape style="position:absolute;margin-left:154.636475pt;margin-top:1.331421pt;width:31.55pt;height:14pt;mso-position-horizontal-relative:page;mso-position-vertical-relative:paragraph;z-index:-65008" type="#_x0000_t202" filled="false" stroked="false">
            <v:textbox inset="0,0,0,0">
              <w:txbxContent>
                <w:p>
                  <w:pPr>
                    <w:tabs>
                      <w:tab w:pos="504"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r>
                  <w:r>
                    <w:rPr>
                      <w:rFonts w:ascii="Lucida Sans Unicode" w:hAnsi="Lucida Sans Unicode"/>
                      <w:color w:val="231F20"/>
                      <w:w w:val="95"/>
                      <w:sz w:val="16"/>
                    </w:rPr>
                    <w:t>×</w:t>
                  </w:r>
                </w:p>
              </w:txbxContent>
            </v:textbox>
            <w10:wrap type="none"/>
          </v:shape>
        </w:pict>
      </w:r>
      <w:r>
        <w:rPr>
          <w:i/>
          <w:color w:val="231F20"/>
          <w:sz w:val="16"/>
        </w:rPr>
        <w:t>Real Action Controls</w:t>
      </w:r>
      <w:r>
        <w:rPr>
          <w:i/>
          <w:color w:val="231F20"/>
          <w:spacing w:val="8"/>
          <w:sz w:val="16"/>
        </w:rPr>
        <w:t> </w:t>
      </w:r>
      <w:r>
        <w:rPr>
          <w:i/>
          <w:color w:val="231F20"/>
          <w:sz w:val="16"/>
        </w:rPr>
        <w:t>POST</w:t>
      </w:r>
      <w:r>
        <w:rPr>
          <w:i/>
          <w:color w:val="231F20"/>
          <w:spacing w:val="37"/>
          <w:sz w:val="16"/>
        </w:rPr>
        <w:t> </w:t>
      </w:r>
      <w:r>
        <w:rPr>
          <w:i/>
          <w:color w:val="231F20"/>
          <w:sz w:val="16"/>
        </w:rPr>
        <w:t>HEDF93</w:t>
        <w:tab/>
      </w:r>
      <w:r>
        <w:rPr>
          <w:color w:val="231F20"/>
          <w:sz w:val="16"/>
        </w:rPr>
        <w:t>Included</w:t>
      </w:r>
    </w:p>
    <w:p>
      <w:pPr>
        <w:tabs>
          <w:tab w:pos="4385" w:val="left" w:leader="none"/>
          <w:tab w:pos="5987" w:val="left" w:leader="none"/>
        </w:tabs>
        <w:spacing w:before="1"/>
        <w:ind w:left="532" w:right="521" w:firstLine="0"/>
        <w:jc w:val="left"/>
        <w:rPr>
          <w:sz w:val="16"/>
        </w:rPr>
      </w:pPr>
      <w:r>
        <w:rPr/>
        <w:pict>
          <v:shape style="position:absolute;margin-left:154.636475pt;margin-top:1.381447pt;width:52.3pt;height:14pt;mso-position-horizontal-relative:page;mso-position-vertical-relative:paragraph;z-index:-65032" type="#_x0000_t202" filled="false" stroked="false">
            <v:textbox inset="0,0,0,0">
              <w:txbxContent>
                <w:p>
                  <w:pPr>
                    <w:tabs>
                      <w:tab w:pos="504" w:val="left" w:leader="none"/>
                      <w:tab w:pos="920"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r>
                  <w:r>
                    <w:rPr>
                      <w:rFonts w:ascii="Lucida Sans Unicode" w:hAnsi="Lucida Sans Unicode"/>
                      <w:color w:val="231F20"/>
                      <w:w w:val="95"/>
                      <w:sz w:val="16"/>
                    </w:rPr>
                    <w:t>×</w:t>
                  </w:r>
                </w:p>
              </w:txbxContent>
            </v:textbox>
            <w10:wrap type="none"/>
          </v:shape>
        </w:pict>
      </w:r>
      <w:r>
        <w:rPr>
          <w:i/>
          <w:color w:val="231F20"/>
          <w:sz w:val="16"/>
        </w:rPr>
        <w:t>Real Action Controls  POST</w:t>
      </w:r>
      <w:r>
        <w:rPr>
          <w:i/>
          <w:color w:val="231F20"/>
          <w:spacing w:val="22"/>
          <w:sz w:val="16"/>
        </w:rPr>
        <w:t> </w:t>
      </w:r>
      <w:r>
        <w:rPr>
          <w:i/>
          <w:color w:val="231F20"/>
          <w:sz w:val="16"/>
        </w:rPr>
        <w:t>DEL </w:t>
      </w:r>
      <w:r>
        <w:rPr>
          <w:i/>
          <w:color w:val="231F20"/>
          <w:spacing w:val="3"/>
          <w:sz w:val="16"/>
        </w:rPr>
        <w:t> </w:t>
      </w:r>
      <w:r>
        <w:rPr>
          <w:i/>
          <w:color w:val="231F20"/>
          <w:sz w:val="16"/>
        </w:rPr>
        <w:t>HEDF93</w:t>
        <w:tab/>
        <w:tab/>
      </w:r>
      <w:r>
        <w:rPr>
          <w:color w:val="231F20"/>
          <w:spacing w:val="-1"/>
          <w:sz w:val="16"/>
        </w:rPr>
        <w:t>Included </w:t>
      </w:r>
      <w:r>
        <w:rPr>
          <w:color w:val="231F20"/>
          <w:sz w:val="16"/>
        </w:rPr>
        <w:t>Industries</w:t>
      </w:r>
      <w:r>
        <w:rPr>
          <w:color w:val="231F20"/>
          <w:spacing w:val="-18"/>
          <w:sz w:val="16"/>
        </w:rPr>
        <w:t> </w:t>
      </w:r>
      <w:r>
        <w:rPr>
          <w:color w:val="231F20"/>
          <w:sz w:val="16"/>
        </w:rPr>
        <w:t>dummies</w:t>
        <w:tab/>
        <w:t>Included</w:t>
        <w:tab/>
      </w:r>
      <w:r>
        <w:rPr>
          <w:color w:val="231F20"/>
          <w:spacing w:val="-1"/>
          <w:sz w:val="16"/>
        </w:rPr>
        <w:t>Included</w:t>
      </w:r>
    </w:p>
    <w:p>
      <w:pPr>
        <w:tabs>
          <w:tab w:pos="4385" w:val="left" w:leader="none"/>
          <w:tab w:pos="5987" w:val="left" w:leader="none"/>
        </w:tabs>
        <w:spacing w:before="1"/>
        <w:ind w:left="532" w:right="0" w:firstLine="0"/>
        <w:jc w:val="left"/>
        <w:rPr>
          <w:sz w:val="16"/>
        </w:rPr>
      </w:pPr>
      <w:r>
        <w:rPr>
          <w:color w:val="231F20"/>
          <w:spacing w:val="-3"/>
          <w:sz w:val="16"/>
        </w:rPr>
        <w:t>Year</w:t>
      </w:r>
      <w:r>
        <w:rPr>
          <w:color w:val="231F20"/>
          <w:spacing w:val="-16"/>
          <w:sz w:val="16"/>
        </w:rPr>
        <w:t> </w:t>
      </w:r>
      <w:r>
        <w:rPr>
          <w:color w:val="231F20"/>
          <w:sz w:val="16"/>
        </w:rPr>
        <w:t>dummies</w:t>
        <w:tab/>
        <w:t>Included</w:t>
        <w:tab/>
        <w:t>Included</w:t>
      </w:r>
    </w:p>
    <w:p>
      <w:pPr>
        <w:tabs>
          <w:tab w:pos="4471" w:val="left" w:leader="none"/>
          <w:tab w:pos="6073" w:val="left" w:leader="none"/>
        </w:tabs>
        <w:spacing w:before="0"/>
        <w:ind w:left="532" w:right="0" w:firstLine="0"/>
        <w:jc w:val="left"/>
        <w:rPr>
          <w:sz w:val="16"/>
        </w:rPr>
      </w:pPr>
      <w:r>
        <w:rPr>
          <w:color w:val="231F20"/>
          <w:sz w:val="16"/>
        </w:rPr>
        <w:t>No.</w:t>
      </w:r>
      <w:r>
        <w:rPr>
          <w:color w:val="231F20"/>
          <w:spacing w:val="-12"/>
          <w:sz w:val="16"/>
        </w:rPr>
        <w:t> </w:t>
      </w:r>
      <w:r>
        <w:rPr>
          <w:color w:val="231F20"/>
          <w:sz w:val="16"/>
        </w:rPr>
        <w:t>observations</w:t>
        <w:tab/>
        <w:t>18,402</w:t>
        <w:tab/>
        <w:t>18,402</w:t>
      </w:r>
    </w:p>
    <w:p>
      <w:pPr>
        <w:tabs>
          <w:tab w:pos="4479" w:val="left" w:leader="none"/>
          <w:tab w:pos="6081" w:val="left" w:leader="none"/>
        </w:tabs>
        <w:spacing w:before="1" w:after="19"/>
        <w:ind w:left="532" w:right="0" w:firstLine="0"/>
        <w:jc w:val="left"/>
        <w:rPr>
          <w:sz w:val="16"/>
        </w:rPr>
      </w:pPr>
      <w:r>
        <w:rPr>
          <w:color w:val="231F20"/>
          <w:w w:val="105"/>
          <w:sz w:val="16"/>
        </w:rPr>
        <w:t>Adj.</w:t>
      </w:r>
      <w:r>
        <w:rPr>
          <w:color w:val="231F20"/>
          <w:spacing w:val="-15"/>
          <w:w w:val="105"/>
          <w:sz w:val="16"/>
        </w:rPr>
        <w:t> </w:t>
      </w:r>
      <w:r>
        <w:rPr>
          <w:i/>
          <w:color w:val="231F20"/>
          <w:w w:val="105"/>
          <w:sz w:val="16"/>
        </w:rPr>
        <w:t>R</w:t>
      </w:r>
      <w:r>
        <w:rPr>
          <w:color w:val="231F20"/>
          <w:w w:val="105"/>
          <w:position w:val="6"/>
          <w:sz w:val="9"/>
        </w:rPr>
        <w:t>2</w:t>
        <w:tab/>
      </w:r>
      <w:r>
        <w:rPr>
          <w:color w:val="231F20"/>
          <w:w w:val="105"/>
          <w:sz w:val="16"/>
        </w:rPr>
        <w:t>18.1%</w:t>
        <w:tab/>
        <w:t>18.2%</w:t>
      </w:r>
    </w:p>
    <w:p>
      <w:pPr>
        <w:pStyle w:val="BodyText"/>
        <w:spacing w:line="20" w:lineRule="exact"/>
        <w:ind w:left="526"/>
        <w:rPr>
          <w:sz w:val="2"/>
        </w:rPr>
      </w:pPr>
      <w:r>
        <w:rPr>
          <w:sz w:val="2"/>
        </w:rPr>
        <w:pict>
          <v:group style="width:322.8pt;height:.550pt;mso-position-horizontal-relative:char;mso-position-vertical-relative:line" coordorigin="0,0" coordsize="6456,11">
            <v:line style="position:absolute" from="0,5" to="6456,5" stroked="true" strokeweight=".504pt" strokecolor="#000000">
              <v:stroke dashstyle="solid"/>
            </v:line>
          </v:group>
        </w:pict>
      </w:r>
      <w:r>
        <w:rPr>
          <w:sz w:val="2"/>
        </w:rPr>
      </w:r>
    </w:p>
    <w:p>
      <w:pPr>
        <w:spacing w:line="220" w:lineRule="auto" w:before="55"/>
        <w:ind w:left="532" w:right="148" w:firstLine="199"/>
        <w:jc w:val="both"/>
        <w:rPr>
          <w:sz w:val="14"/>
        </w:rPr>
      </w:pPr>
      <w:r>
        <w:rPr/>
        <w:pict>
          <v:line style="position:absolute;mso-position-horizontal-relative:page;mso-position-vertical-relative:paragraph;z-index:-65224" from="282.690002pt,24.671301pt" to="284.787002pt,24.671301pt" stroked="true" strokeweight=".405pt" strokecolor="#000000">
            <v:stroke dashstyle="solid"/>
            <w10:wrap type="none"/>
          </v:line>
        </w:pict>
      </w:r>
      <w:r>
        <w:rPr/>
        <w:pict>
          <v:line style="position:absolute;mso-position-horizontal-relative:page;mso-position-vertical-relative:paragraph;z-index:-65200" from="357.524994pt,32.645302pt" to="359.621994pt,32.645302pt" stroked="true" strokeweight=".405pt" strokecolor="#000000">
            <v:stroke dashstyle="solid"/>
            <w10:wrap type="none"/>
          </v:line>
        </w:pict>
      </w:r>
      <w:r>
        <w:rPr/>
        <w:pict>
          <v:line style="position:absolute;mso-position-horizontal-relative:page;mso-position-vertical-relative:paragraph;z-index:-65176" from="394.442993pt,40.619301pt" to="396.539993pt,40.619301pt" stroked="true" strokeweight=".405pt" strokecolor="#000000">
            <v:stroke dashstyle="solid"/>
            <w10:wrap type="none"/>
          </v:line>
        </w:pict>
      </w:r>
      <w:r>
        <w:rPr/>
        <w:pict>
          <v:line style="position:absolute;mso-position-horizontal-relative:page;mso-position-vertical-relative:paragraph;z-index:-65152" from="272.880005pt,56.5583pt" to="274.977005pt,56.5583pt" stroked="true" strokeweight=".405pt" strokecolor="#000000">
            <v:stroke dashstyle="solid"/>
            <w10:wrap type="none"/>
          </v:line>
        </w:pict>
      </w:r>
      <w:r>
        <w:rPr/>
        <w:pict>
          <v:line style="position:absolute;mso-position-horizontal-relative:page;mso-position-vertical-relative:paragraph;z-index:-65128" from="329.813995pt,64.523300pt" to="331.910995pt,64.523300pt" stroked="true" strokeweight=".405pt" strokecolor="#000000">
            <v:stroke dashstyle="solid"/>
            <w10:wrap type="none"/>
          </v:line>
        </w:pict>
      </w:r>
      <w:r>
        <w:rPr/>
        <w:pict>
          <v:shape style="position:absolute;margin-left:169.28923pt;margin-top:67.148994pt;width:5.45pt;height:12.25pt;mso-position-horizontal-relative:page;mso-position-vertical-relative:paragraph;z-index:-65104" type="#_x0000_t202" filled="false" stroked="false">
            <v:textbox inset="0,0,0,0">
              <w:txbxContent>
                <w:p>
                  <w:pPr>
                    <w:spacing w:line="173" w:lineRule="exact" w:before="0"/>
                    <w:ind w:left="0" w:right="0" w:firstLine="0"/>
                    <w:jc w:val="left"/>
                    <w:rPr>
                      <w:rFonts w:ascii="Lucida Sans Unicode"/>
                      <w:sz w:val="14"/>
                    </w:rPr>
                  </w:pPr>
                  <w:r>
                    <w:rPr>
                      <w:rFonts w:ascii="Lucida Sans Unicode"/>
                      <w:color w:val="231F20"/>
                      <w:w w:val="97"/>
                      <w:sz w:val="14"/>
                    </w:rPr>
                    <w:t>+</w:t>
                  </w:r>
                </w:p>
              </w:txbxContent>
            </v:textbox>
            <w10:wrap type="none"/>
          </v:shape>
        </w:pict>
      </w:r>
      <w:r>
        <w:rPr/>
        <w:pict>
          <v:shape style="position:absolute;margin-left:361.867218pt;margin-top:59.175156pt;width:19.9pt;height:12.25pt;mso-position-horizontal-relative:page;mso-position-vertical-relative:paragraph;z-index:-65080" type="#_x0000_t202" filled="false" stroked="false">
            <v:textbox inset="0,0,0,0">
              <w:txbxContent>
                <w:p>
                  <w:pPr>
                    <w:spacing w:line="173" w:lineRule="exact" w:before="0"/>
                    <w:ind w:left="0" w:right="0" w:firstLine="0"/>
                    <w:jc w:val="left"/>
                    <w:rPr>
                      <w:rFonts w:ascii="Lucida Sans Unicode" w:hAnsi="Lucida Sans Unicode"/>
                      <w:sz w:val="14"/>
                    </w:rPr>
                  </w:pPr>
                  <w:r>
                    <w:rPr>
                      <w:rFonts w:ascii="Lucida Sans Unicode" w:hAnsi="Lucida Sans Unicode"/>
                      <w:color w:val="231F20"/>
                      <w:sz w:val="14"/>
                    </w:rPr>
                    <w:t>− ×</w:t>
                  </w:r>
                </w:p>
              </w:txbxContent>
            </v:textbox>
            <w10:wrap type="none"/>
          </v:shape>
        </w:pict>
      </w:r>
      <w:r>
        <w:rPr/>
        <w:pict>
          <v:shape style="position:absolute;margin-left:309.464996pt;margin-top:51.210155pt;width:19.8pt;height:12.25pt;mso-position-horizontal-relative:page;mso-position-vertical-relative:paragraph;z-index:-65056" type="#_x0000_t202" filled="false" stroked="false">
            <v:textbox inset="0,0,0,0">
              <w:txbxContent>
                <w:p>
                  <w:pPr>
                    <w:spacing w:line="173" w:lineRule="exact" w:before="0"/>
                    <w:ind w:left="0" w:right="0" w:firstLine="0"/>
                    <w:jc w:val="left"/>
                    <w:rPr>
                      <w:rFonts w:ascii="Lucida Sans Unicode" w:hAnsi="Lucida Sans Unicode"/>
                      <w:sz w:val="14"/>
                    </w:rPr>
                  </w:pPr>
                  <w:r>
                    <w:rPr>
                      <w:rFonts w:ascii="Lucida Sans Unicode" w:hAnsi="Lucida Sans Unicode"/>
                      <w:color w:val="231F20"/>
                      <w:sz w:val="14"/>
                    </w:rPr>
                    <w:t>− ×</w:t>
                  </w:r>
                </w:p>
              </w:txbxContent>
            </v:textbox>
            <w10:wrap type="none"/>
          </v:shape>
        </w:pict>
      </w:r>
      <w:r>
        <w:rPr>
          <w:color w:val="231F20"/>
          <w:sz w:val="14"/>
        </w:rPr>
        <w:t>This table presents regression estimates to test the effect of the 1991 Delaware court ruling on conser- vatism rank after controlling for effects of real actions. The sample includes 18,402 observations for</w:t>
      </w:r>
      <w:r>
        <w:rPr>
          <w:color w:val="231F20"/>
          <w:spacing w:val="-13"/>
          <w:sz w:val="14"/>
        </w:rPr>
        <w:t> </w:t>
      </w:r>
      <w:r>
        <w:rPr>
          <w:color w:val="231F20"/>
          <w:sz w:val="14"/>
        </w:rPr>
        <w:t>2,676 firms</w:t>
      </w:r>
      <w:r>
        <w:rPr>
          <w:color w:val="231F20"/>
          <w:spacing w:val="-3"/>
          <w:sz w:val="14"/>
        </w:rPr>
        <w:t> </w:t>
      </w:r>
      <w:r>
        <w:rPr>
          <w:color w:val="231F20"/>
          <w:sz w:val="14"/>
        </w:rPr>
        <w:t>spanning</w:t>
      </w:r>
      <w:r>
        <w:rPr>
          <w:color w:val="231F20"/>
          <w:spacing w:val="-3"/>
          <w:sz w:val="14"/>
        </w:rPr>
        <w:t> </w:t>
      </w:r>
      <w:r>
        <w:rPr>
          <w:color w:val="231F20"/>
          <w:sz w:val="14"/>
        </w:rPr>
        <w:t>calendar</w:t>
      </w:r>
      <w:r>
        <w:rPr>
          <w:color w:val="231F20"/>
          <w:spacing w:val="-3"/>
          <w:sz w:val="14"/>
        </w:rPr>
        <w:t> </w:t>
      </w:r>
      <w:r>
        <w:rPr>
          <w:color w:val="231F20"/>
          <w:sz w:val="14"/>
        </w:rPr>
        <w:t>years</w:t>
      </w:r>
      <w:r>
        <w:rPr>
          <w:color w:val="231F20"/>
          <w:spacing w:val="-3"/>
          <w:sz w:val="14"/>
        </w:rPr>
        <w:t> </w:t>
      </w:r>
      <w:r>
        <w:rPr>
          <w:color w:val="231F20"/>
          <w:sz w:val="14"/>
        </w:rPr>
        <w:t>1988–1991</w:t>
      </w:r>
      <w:r>
        <w:rPr>
          <w:color w:val="231F20"/>
          <w:spacing w:val="-3"/>
          <w:sz w:val="14"/>
        </w:rPr>
        <w:t> </w:t>
      </w:r>
      <w:r>
        <w:rPr>
          <w:color w:val="231F20"/>
          <w:sz w:val="14"/>
        </w:rPr>
        <w:t>and</w:t>
      </w:r>
      <w:r>
        <w:rPr>
          <w:color w:val="231F20"/>
          <w:spacing w:val="-3"/>
          <w:sz w:val="14"/>
        </w:rPr>
        <w:t> </w:t>
      </w:r>
      <w:r>
        <w:rPr>
          <w:color w:val="231F20"/>
          <w:sz w:val="14"/>
        </w:rPr>
        <w:t>1993–1996.</w:t>
      </w:r>
      <w:r>
        <w:rPr>
          <w:color w:val="231F20"/>
          <w:spacing w:val="-3"/>
          <w:sz w:val="14"/>
        </w:rPr>
        <w:t> </w:t>
      </w:r>
      <w:r>
        <w:rPr>
          <w:i/>
          <w:color w:val="231F20"/>
          <w:sz w:val="14"/>
        </w:rPr>
        <w:t>DEC</w:t>
      </w:r>
      <w:r>
        <w:rPr>
          <w:i/>
          <w:color w:val="231F20"/>
          <w:spacing w:val="0"/>
          <w:sz w:val="14"/>
        </w:rPr>
        <w:t> </w:t>
      </w:r>
      <w:r>
        <w:rPr>
          <w:i/>
          <w:color w:val="231F20"/>
          <w:sz w:val="14"/>
        </w:rPr>
        <w:t>CAPEX</w:t>
      </w:r>
      <w:r>
        <w:rPr>
          <w:i/>
          <w:color w:val="231F20"/>
          <w:spacing w:val="-3"/>
          <w:sz w:val="14"/>
        </w:rPr>
        <w:t> </w:t>
      </w:r>
      <w:r>
        <w:rPr>
          <w:color w:val="231F20"/>
          <w:sz w:val="14"/>
        </w:rPr>
        <w:t>is</w:t>
      </w:r>
      <w:r>
        <w:rPr>
          <w:color w:val="231F20"/>
          <w:spacing w:val="-3"/>
          <w:sz w:val="14"/>
        </w:rPr>
        <w:t> </w:t>
      </w:r>
      <w:r>
        <w:rPr>
          <w:color w:val="231F20"/>
          <w:sz w:val="14"/>
        </w:rPr>
        <w:t>a</w:t>
      </w:r>
      <w:r>
        <w:rPr>
          <w:color w:val="231F20"/>
          <w:spacing w:val="-3"/>
          <w:sz w:val="14"/>
        </w:rPr>
        <w:t> </w:t>
      </w:r>
      <w:r>
        <w:rPr>
          <w:color w:val="231F20"/>
          <w:sz w:val="14"/>
        </w:rPr>
        <w:t>dichotomous</w:t>
      </w:r>
      <w:r>
        <w:rPr>
          <w:color w:val="231F20"/>
          <w:spacing w:val="-3"/>
          <w:sz w:val="14"/>
        </w:rPr>
        <w:t> </w:t>
      </w:r>
      <w:r>
        <w:rPr>
          <w:color w:val="231F20"/>
          <w:sz w:val="14"/>
        </w:rPr>
        <w:t>variable</w:t>
      </w:r>
      <w:r>
        <w:rPr>
          <w:color w:val="231F20"/>
          <w:spacing w:val="-3"/>
          <w:sz w:val="14"/>
        </w:rPr>
        <w:t> </w:t>
      </w:r>
      <w:r>
        <w:rPr>
          <w:color w:val="231F20"/>
          <w:sz w:val="14"/>
        </w:rPr>
        <w:t>equal</w:t>
      </w:r>
      <w:r>
        <w:rPr>
          <w:color w:val="231F20"/>
          <w:spacing w:val="-3"/>
          <w:sz w:val="14"/>
        </w:rPr>
        <w:t> </w:t>
      </w:r>
      <w:r>
        <w:rPr>
          <w:color w:val="231F20"/>
          <w:sz w:val="14"/>
        </w:rPr>
        <w:t>to 1</w:t>
      </w:r>
      <w:r>
        <w:rPr>
          <w:color w:val="231F20"/>
          <w:spacing w:val="-7"/>
          <w:sz w:val="14"/>
        </w:rPr>
        <w:t> </w:t>
      </w:r>
      <w:r>
        <w:rPr>
          <w:color w:val="231F20"/>
          <w:sz w:val="14"/>
        </w:rPr>
        <w:t>if</w:t>
      </w:r>
      <w:r>
        <w:rPr>
          <w:color w:val="231F20"/>
          <w:spacing w:val="-7"/>
          <w:sz w:val="14"/>
        </w:rPr>
        <w:t> </w:t>
      </w:r>
      <w:r>
        <w:rPr>
          <w:color w:val="231F20"/>
          <w:sz w:val="14"/>
        </w:rPr>
        <w:t>the</w:t>
      </w:r>
      <w:r>
        <w:rPr>
          <w:color w:val="231F20"/>
          <w:spacing w:val="-7"/>
          <w:sz w:val="14"/>
        </w:rPr>
        <w:t> </w:t>
      </w:r>
      <w:r>
        <w:rPr>
          <w:color w:val="231F20"/>
          <w:sz w:val="14"/>
        </w:rPr>
        <w:t>capital</w:t>
      </w:r>
      <w:r>
        <w:rPr>
          <w:color w:val="231F20"/>
          <w:spacing w:val="-7"/>
          <w:sz w:val="14"/>
        </w:rPr>
        <w:t> </w:t>
      </w:r>
      <w:r>
        <w:rPr>
          <w:color w:val="231F20"/>
          <w:sz w:val="14"/>
        </w:rPr>
        <w:t>expenditure</w:t>
      </w:r>
      <w:r>
        <w:rPr>
          <w:color w:val="231F20"/>
          <w:spacing w:val="-7"/>
          <w:sz w:val="14"/>
        </w:rPr>
        <w:t> </w:t>
      </w:r>
      <w:r>
        <w:rPr>
          <w:color w:val="231F20"/>
          <w:sz w:val="14"/>
        </w:rPr>
        <w:t>(CAPX)</w:t>
      </w:r>
      <w:r>
        <w:rPr>
          <w:color w:val="231F20"/>
          <w:spacing w:val="-7"/>
          <w:sz w:val="14"/>
        </w:rPr>
        <w:t> </w:t>
      </w:r>
      <w:r>
        <w:rPr>
          <w:color w:val="231F20"/>
          <w:sz w:val="14"/>
        </w:rPr>
        <w:t>decreases</w:t>
      </w:r>
      <w:r>
        <w:rPr>
          <w:color w:val="231F20"/>
          <w:spacing w:val="-6"/>
          <w:sz w:val="14"/>
        </w:rPr>
        <w:t> </w:t>
      </w:r>
      <w:r>
        <w:rPr>
          <w:color w:val="231F20"/>
          <w:sz w:val="14"/>
        </w:rPr>
        <w:t>from</w:t>
      </w:r>
      <w:r>
        <w:rPr>
          <w:color w:val="231F20"/>
          <w:spacing w:val="-7"/>
          <w:sz w:val="14"/>
        </w:rPr>
        <w:t> </w:t>
      </w:r>
      <w:r>
        <w:rPr>
          <w:color w:val="231F20"/>
          <w:sz w:val="14"/>
        </w:rPr>
        <w:t>the</w:t>
      </w:r>
      <w:r>
        <w:rPr>
          <w:color w:val="231F20"/>
          <w:spacing w:val="-7"/>
          <w:sz w:val="14"/>
        </w:rPr>
        <w:t> </w:t>
      </w:r>
      <w:r>
        <w:rPr>
          <w:color w:val="231F20"/>
          <w:sz w:val="14"/>
        </w:rPr>
        <w:t>prior</w:t>
      </w:r>
      <w:r>
        <w:rPr>
          <w:color w:val="231F20"/>
          <w:spacing w:val="-7"/>
          <w:sz w:val="14"/>
        </w:rPr>
        <w:t> </w:t>
      </w:r>
      <w:r>
        <w:rPr>
          <w:color w:val="231F20"/>
          <w:sz w:val="14"/>
        </w:rPr>
        <w:t>year</w:t>
      </w:r>
      <w:r>
        <w:rPr>
          <w:color w:val="231F20"/>
          <w:spacing w:val="-7"/>
          <w:sz w:val="14"/>
        </w:rPr>
        <w:t> </w:t>
      </w:r>
      <w:r>
        <w:rPr>
          <w:color w:val="231F20"/>
          <w:sz w:val="14"/>
        </w:rPr>
        <w:t>and</w:t>
      </w:r>
      <w:r>
        <w:rPr>
          <w:color w:val="231F20"/>
          <w:spacing w:val="-7"/>
          <w:sz w:val="14"/>
        </w:rPr>
        <w:t> </w:t>
      </w:r>
      <w:r>
        <w:rPr>
          <w:color w:val="231F20"/>
          <w:sz w:val="14"/>
        </w:rPr>
        <w:t>0</w:t>
      </w:r>
      <w:r>
        <w:rPr>
          <w:color w:val="231F20"/>
          <w:spacing w:val="-7"/>
          <w:sz w:val="14"/>
        </w:rPr>
        <w:t> </w:t>
      </w:r>
      <w:r>
        <w:rPr>
          <w:color w:val="231F20"/>
          <w:sz w:val="14"/>
        </w:rPr>
        <w:t>otherwise.</w:t>
      </w:r>
      <w:r>
        <w:rPr>
          <w:color w:val="231F20"/>
          <w:spacing w:val="-7"/>
          <w:sz w:val="14"/>
        </w:rPr>
        <w:t> </w:t>
      </w:r>
      <w:r>
        <w:rPr>
          <w:i/>
          <w:color w:val="231F20"/>
          <w:sz w:val="14"/>
        </w:rPr>
        <w:t>INC</w:t>
      </w:r>
      <w:r>
        <w:rPr>
          <w:i/>
          <w:color w:val="231F20"/>
          <w:spacing w:val="1"/>
          <w:sz w:val="14"/>
        </w:rPr>
        <w:t> </w:t>
      </w:r>
      <w:r>
        <w:rPr>
          <w:i/>
          <w:color w:val="231F20"/>
          <w:sz w:val="14"/>
        </w:rPr>
        <w:t>SPPE</w:t>
      </w:r>
      <w:r>
        <w:rPr>
          <w:i/>
          <w:color w:val="231F20"/>
          <w:spacing w:val="-7"/>
          <w:sz w:val="14"/>
        </w:rPr>
        <w:t> </w:t>
      </w:r>
      <w:r>
        <w:rPr>
          <w:color w:val="231F20"/>
          <w:sz w:val="14"/>
        </w:rPr>
        <w:t>is</w:t>
      </w:r>
      <w:r>
        <w:rPr>
          <w:color w:val="231F20"/>
          <w:spacing w:val="-7"/>
          <w:sz w:val="14"/>
        </w:rPr>
        <w:t> </w:t>
      </w:r>
      <w:r>
        <w:rPr>
          <w:color w:val="231F20"/>
          <w:sz w:val="14"/>
        </w:rPr>
        <w:t>a</w:t>
      </w:r>
      <w:r>
        <w:rPr>
          <w:color w:val="231F20"/>
          <w:spacing w:val="-7"/>
          <w:sz w:val="14"/>
        </w:rPr>
        <w:t> </w:t>
      </w:r>
      <w:r>
        <w:rPr>
          <w:color w:val="231F20"/>
          <w:sz w:val="14"/>
        </w:rPr>
        <w:t>dichoto- mous</w:t>
      </w:r>
      <w:r>
        <w:rPr>
          <w:color w:val="231F20"/>
          <w:spacing w:val="-13"/>
          <w:sz w:val="14"/>
        </w:rPr>
        <w:t> </w:t>
      </w:r>
      <w:r>
        <w:rPr>
          <w:color w:val="231F20"/>
          <w:sz w:val="14"/>
        </w:rPr>
        <w:t>variable</w:t>
      </w:r>
      <w:r>
        <w:rPr>
          <w:color w:val="231F20"/>
          <w:spacing w:val="-13"/>
          <w:sz w:val="14"/>
        </w:rPr>
        <w:t> </w:t>
      </w:r>
      <w:r>
        <w:rPr>
          <w:color w:val="231F20"/>
          <w:sz w:val="14"/>
        </w:rPr>
        <w:t>equal</w:t>
      </w:r>
      <w:r>
        <w:rPr>
          <w:color w:val="231F20"/>
          <w:spacing w:val="-13"/>
          <w:sz w:val="14"/>
        </w:rPr>
        <w:t> </w:t>
      </w:r>
      <w:r>
        <w:rPr>
          <w:color w:val="231F20"/>
          <w:sz w:val="14"/>
        </w:rPr>
        <w:t>to</w:t>
      </w:r>
      <w:r>
        <w:rPr>
          <w:color w:val="231F20"/>
          <w:spacing w:val="-13"/>
          <w:sz w:val="14"/>
        </w:rPr>
        <w:t> </w:t>
      </w:r>
      <w:r>
        <w:rPr>
          <w:color w:val="231F20"/>
          <w:sz w:val="14"/>
        </w:rPr>
        <w:t>1</w:t>
      </w:r>
      <w:r>
        <w:rPr>
          <w:color w:val="231F20"/>
          <w:spacing w:val="-13"/>
          <w:sz w:val="14"/>
        </w:rPr>
        <w:t> </w:t>
      </w:r>
      <w:r>
        <w:rPr>
          <w:color w:val="231F20"/>
          <w:sz w:val="14"/>
        </w:rPr>
        <w:t>if</w:t>
      </w:r>
      <w:r>
        <w:rPr>
          <w:color w:val="231F20"/>
          <w:spacing w:val="-13"/>
          <w:sz w:val="14"/>
        </w:rPr>
        <w:t> </w:t>
      </w:r>
      <w:r>
        <w:rPr>
          <w:color w:val="231F20"/>
          <w:sz w:val="14"/>
        </w:rPr>
        <w:t>the</w:t>
      </w:r>
      <w:r>
        <w:rPr>
          <w:color w:val="231F20"/>
          <w:spacing w:val="-13"/>
          <w:sz w:val="14"/>
        </w:rPr>
        <w:t> </w:t>
      </w:r>
      <w:r>
        <w:rPr>
          <w:color w:val="231F20"/>
          <w:sz w:val="14"/>
        </w:rPr>
        <w:t>sale</w:t>
      </w:r>
      <w:r>
        <w:rPr>
          <w:color w:val="231F20"/>
          <w:spacing w:val="-13"/>
          <w:sz w:val="14"/>
        </w:rPr>
        <w:t> </w:t>
      </w:r>
      <w:r>
        <w:rPr>
          <w:color w:val="231F20"/>
          <w:sz w:val="14"/>
        </w:rPr>
        <w:t>of</w:t>
      </w:r>
      <w:r>
        <w:rPr>
          <w:color w:val="231F20"/>
          <w:spacing w:val="-13"/>
          <w:sz w:val="14"/>
        </w:rPr>
        <w:t> </w:t>
      </w:r>
      <w:r>
        <w:rPr>
          <w:color w:val="231F20"/>
          <w:sz w:val="14"/>
        </w:rPr>
        <w:t>PPE</w:t>
      </w:r>
      <w:r>
        <w:rPr>
          <w:color w:val="231F20"/>
          <w:spacing w:val="-13"/>
          <w:sz w:val="14"/>
        </w:rPr>
        <w:t> </w:t>
      </w:r>
      <w:r>
        <w:rPr>
          <w:color w:val="231F20"/>
          <w:sz w:val="14"/>
        </w:rPr>
        <w:t>(SPEE)</w:t>
      </w:r>
      <w:r>
        <w:rPr>
          <w:color w:val="231F20"/>
          <w:spacing w:val="-13"/>
          <w:sz w:val="14"/>
        </w:rPr>
        <w:t> </w:t>
      </w:r>
      <w:r>
        <w:rPr>
          <w:color w:val="231F20"/>
          <w:sz w:val="14"/>
        </w:rPr>
        <w:t>increases</w:t>
      </w:r>
      <w:r>
        <w:rPr>
          <w:color w:val="231F20"/>
          <w:spacing w:val="-13"/>
          <w:sz w:val="14"/>
        </w:rPr>
        <w:t> </w:t>
      </w:r>
      <w:r>
        <w:rPr>
          <w:color w:val="231F20"/>
          <w:sz w:val="14"/>
        </w:rPr>
        <w:t>from</w:t>
      </w:r>
      <w:r>
        <w:rPr>
          <w:color w:val="231F20"/>
          <w:spacing w:val="-13"/>
          <w:sz w:val="14"/>
        </w:rPr>
        <w:t> </w:t>
      </w:r>
      <w:r>
        <w:rPr>
          <w:color w:val="231F20"/>
          <w:sz w:val="14"/>
        </w:rPr>
        <w:t>the</w:t>
      </w:r>
      <w:r>
        <w:rPr>
          <w:color w:val="231F20"/>
          <w:spacing w:val="-13"/>
          <w:sz w:val="14"/>
        </w:rPr>
        <w:t> </w:t>
      </w:r>
      <w:r>
        <w:rPr>
          <w:color w:val="231F20"/>
          <w:sz w:val="14"/>
        </w:rPr>
        <w:t>prior</w:t>
      </w:r>
      <w:r>
        <w:rPr>
          <w:color w:val="231F20"/>
          <w:spacing w:val="-13"/>
          <w:sz w:val="14"/>
        </w:rPr>
        <w:t> </w:t>
      </w:r>
      <w:r>
        <w:rPr>
          <w:color w:val="231F20"/>
          <w:sz w:val="14"/>
        </w:rPr>
        <w:t>year</w:t>
      </w:r>
      <w:r>
        <w:rPr>
          <w:color w:val="231F20"/>
          <w:spacing w:val="-13"/>
          <w:sz w:val="14"/>
        </w:rPr>
        <w:t> </w:t>
      </w:r>
      <w:r>
        <w:rPr>
          <w:color w:val="231F20"/>
          <w:sz w:val="14"/>
        </w:rPr>
        <w:t>and</w:t>
      </w:r>
      <w:r>
        <w:rPr>
          <w:color w:val="231F20"/>
          <w:spacing w:val="-13"/>
          <w:sz w:val="14"/>
        </w:rPr>
        <w:t> </w:t>
      </w:r>
      <w:r>
        <w:rPr>
          <w:color w:val="231F20"/>
          <w:sz w:val="14"/>
        </w:rPr>
        <w:t>0</w:t>
      </w:r>
      <w:r>
        <w:rPr>
          <w:color w:val="231F20"/>
          <w:spacing w:val="-13"/>
          <w:sz w:val="14"/>
        </w:rPr>
        <w:t> </w:t>
      </w:r>
      <w:r>
        <w:rPr>
          <w:color w:val="231F20"/>
          <w:sz w:val="14"/>
        </w:rPr>
        <w:t>otherwise.</w:t>
      </w:r>
      <w:r>
        <w:rPr>
          <w:color w:val="231F20"/>
          <w:spacing w:val="-13"/>
          <w:sz w:val="14"/>
        </w:rPr>
        <w:t> </w:t>
      </w:r>
      <w:r>
        <w:rPr>
          <w:i/>
          <w:color w:val="231F20"/>
          <w:sz w:val="14"/>
        </w:rPr>
        <w:t>DEC</w:t>
      </w:r>
      <w:r>
        <w:rPr>
          <w:i/>
          <w:color w:val="231F20"/>
          <w:spacing w:val="-1"/>
          <w:sz w:val="14"/>
        </w:rPr>
        <w:t> </w:t>
      </w:r>
      <w:r>
        <w:rPr>
          <w:i/>
          <w:color w:val="231F20"/>
          <w:sz w:val="14"/>
        </w:rPr>
        <w:t>NSEG </w:t>
      </w:r>
      <w:r>
        <w:rPr>
          <w:color w:val="231F20"/>
          <w:sz w:val="14"/>
        </w:rPr>
        <w:t>is a dichotomous variable equal to 1 if either the number of business segments or number of geographic segments decreases from prior year and 0 otherwise. </w:t>
      </w:r>
      <w:r>
        <w:rPr>
          <w:i/>
          <w:color w:val="231F20"/>
          <w:sz w:val="14"/>
        </w:rPr>
        <w:t>NABN DISEXP </w:t>
      </w:r>
      <w:r>
        <w:rPr>
          <w:color w:val="231F20"/>
          <w:sz w:val="14"/>
        </w:rPr>
        <w:t>is ( 1) abnormal discretionary ex- penditures (the sum of XRD, XAD, XSGA) per Roychowdhury [2006]. </w:t>
      </w:r>
      <w:r>
        <w:rPr>
          <w:i/>
          <w:color w:val="231F20"/>
          <w:sz w:val="14"/>
        </w:rPr>
        <w:t>NABN PROD </w:t>
      </w:r>
      <w:r>
        <w:rPr>
          <w:color w:val="231F20"/>
          <w:sz w:val="14"/>
        </w:rPr>
        <w:t>is ( 1) abnormal production costs (COGS   change in INVT) per Roychowdhury [2006]. All other variables are defined   in the the appendix. All continuous variables are winsorized at the 1st and 99th percentiles. Reported </w:t>
      </w:r>
      <w:r>
        <w:rPr>
          <w:i/>
          <w:color w:val="231F20"/>
          <w:sz w:val="14"/>
        </w:rPr>
        <w:t>t</w:t>
      </w:r>
      <w:r>
        <w:rPr>
          <w:color w:val="231F20"/>
          <w:sz w:val="14"/>
        </w:rPr>
        <w:t>- statistics are adjusted for clustering by both firm and</w:t>
      </w:r>
      <w:r>
        <w:rPr>
          <w:color w:val="231F20"/>
          <w:spacing w:val="-3"/>
          <w:sz w:val="14"/>
        </w:rPr>
        <w:t> year.</w:t>
      </w:r>
    </w:p>
    <w:p>
      <w:pPr>
        <w:spacing w:line="156" w:lineRule="exact" w:before="0"/>
        <w:ind w:left="731" w:right="0" w:firstLine="0"/>
        <w:jc w:val="left"/>
        <w:rPr>
          <w:sz w:val="14"/>
        </w:rPr>
      </w:pPr>
      <w:r>
        <w:rPr>
          <w:rFonts w:ascii="Lucida Sans Unicode" w:hAnsi="Lucida Sans Unicode"/>
          <w:color w:val="231F20"/>
          <w:position w:val="5"/>
          <w:sz w:val="10"/>
        </w:rPr>
        <w:t>∗∗∗</w:t>
      </w:r>
      <w:r>
        <w:rPr>
          <w:color w:val="231F20"/>
          <w:sz w:val="14"/>
        </w:rPr>
        <w:t>, </w:t>
      </w:r>
      <w:r>
        <w:rPr>
          <w:rFonts w:ascii="Lucida Sans Unicode" w:hAnsi="Lucida Sans Unicode"/>
          <w:color w:val="231F20"/>
          <w:position w:val="5"/>
          <w:sz w:val="10"/>
        </w:rPr>
        <w:t>∗∗</w:t>
      </w:r>
      <w:r>
        <w:rPr>
          <w:color w:val="231F20"/>
          <w:sz w:val="14"/>
        </w:rPr>
        <w:t>, and </w:t>
      </w:r>
      <w:r>
        <w:rPr>
          <w:rFonts w:ascii="Lucida Sans Unicode" w:hAnsi="Lucida Sans Unicode"/>
          <w:color w:val="231F20"/>
          <w:position w:val="5"/>
          <w:sz w:val="10"/>
        </w:rPr>
        <w:t>∗ </w:t>
      </w:r>
      <w:r>
        <w:rPr>
          <w:color w:val="231F20"/>
          <w:sz w:val="14"/>
        </w:rPr>
        <w:t>indicate significance at the 0.01, 0.05, and 0.10 levels, respectively for a two-tailed test.</w:t>
      </w:r>
    </w:p>
    <w:p>
      <w:pPr>
        <w:pStyle w:val="BodyText"/>
        <w:rPr>
          <w:sz w:val="16"/>
        </w:rPr>
      </w:pPr>
    </w:p>
    <w:p>
      <w:pPr>
        <w:pStyle w:val="BodyText"/>
        <w:spacing w:line="208" w:lineRule="auto" w:before="132"/>
        <w:ind w:left="532"/>
      </w:pPr>
      <w:r>
        <w:rPr/>
        <w:t>the court ruling does not change the tenor of our main inferences (coeffi- cient on </w:t>
      </w:r>
      <w:r>
        <w:rPr>
          <w:i/>
        </w:rPr>
        <w:t>POST</w:t>
      </w:r>
      <w:r>
        <w:rPr>
          <w:rFonts w:ascii="Lucida Sans Unicode" w:hAnsi="Lucida Sans Unicode"/>
        </w:rPr>
        <w:t>×</w:t>
      </w:r>
      <w:r>
        <w:rPr>
          <w:i/>
        </w:rPr>
        <w:t>DEL</w:t>
      </w:r>
      <w:r>
        <w:rPr>
          <w:rFonts w:ascii="Lucida Sans Unicode" w:hAnsi="Lucida Sans Unicode"/>
        </w:rPr>
        <w:t>×</w:t>
      </w:r>
      <w:r>
        <w:rPr>
          <w:i/>
        </w:rPr>
        <w:t>HEDF93 </w:t>
      </w:r>
      <w:r>
        <w:rPr>
          <w:rFonts w:ascii="Lucida Sans Unicode" w:hAnsi="Lucida Sans Unicode"/>
        </w:rPr>
        <w:t>= </w:t>
      </w:r>
      <w:r>
        <w:rPr/>
        <w:t>0.447, </w:t>
      </w:r>
      <w:r>
        <w:rPr>
          <w:i/>
        </w:rPr>
        <w:t>t</w:t>
      </w:r>
      <w:r>
        <w:rPr/>
        <w:t>-stat </w:t>
      </w:r>
      <w:r>
        <w:rPr>
          <w:rFonts w:ascii="Lucida Sans Unicode" w:hAnsi="Lucida Sans Unicode"/>
        </w:rPr>
        <w:t>= </w:t>
      </w:r>
      <w:r>
        <w:rPr/>
        <w:t>3.26).</w:t>
      </w:r>
    </w:p>
    <w:p>
      <w:pPr>
        <w:pStyle w:val="ListParagraph"/>
        <w:numPr>
          <w:ilvl w:val="1"/>
          <w:numId w:val="5"/>
        </w:numPr>
        <w:tabs>
          <w:tab w:pos="910" w:val="left" w:leader="none"/>
        </w:tabs>
        <w:spacing w:line="240" w:lineRule="auto" w:before="120" w:after="0"/>
        <w:ind w:left="909" w:right="0" w:hanging="377"/>
        <w:jc w:val="left"/>
        <w:rPr>
          <w:sz w:val="21"/>
        </w:rPr>
      </w:pPr>
      <w:r>
        <w:rPr>
          <w:sz w:val="16"/>
        </w:rPr>
        <w:t>DEMAND FOR</w:t>
      </w:r>
      <w:r>
        <w:rPr>
          <w:spacing w:val="-12"/>
          <w:sz w:val="16"/>
        </w:rPr>
        <w:t> </w:t>
      </w:r>
      <w:r>
        <w:rPr>
          <w:sz w:val="16"/>
        </w:rPr>
        <w:t>CONSERVATISM</w:t>
      </w:r>
    </w:p>
    <w:p>
      <w:pPr>
        <w:pStyle w:val="BodyText"/>
        <w:spacing w:line="230" w:lineRule="auto" w:before="75"/>
        <w:ind w:left="532" w:right="148" w:firstLine="199"/>
        <w:jc w:val="both"/>
      </w:pPr>
      <w:r>
        <w:rPr/>
        <w:t>Alternatively, our findings could be driven by the demand for conser- vatism</w:t>
      </w:r>
      <w:r>
        <w:rPr>
          <w:spacing w:val="-13"/>
        </w:rPr>
        <w:t> </w:t>
      </w:r>
      <w:r>
        <w:rPr/>
        <w:t>from</w:t>
      </w:r>
      <w:r>
        <w:rPr>
          <w:spacing w:val="-13"/>
        </w:rPr>
        <w:t> </w:t>
      </w:r>
      <w:r>
        <w:rPr/>
        <w:t>stakeholders</w:t>
      </w:r>
      <w:r>
        <w:rPr>
          <w:spacing w:val="-13"/>
        </w:rPr>
        <w:t> </w:t>
      </w:r>
      <w:r>
        <w:rPr/>
        <w:t>other</w:t>
      </w:r>
      <w:r>
        <w:rPr>
          <w:spacing w:val="-13"/>
        </w:rPr>
        <w:t> </w:t>
      </w:r>
      <w:r>
        <w:rPr/>
        <w:t>than</w:t>
      </w:r>
      <w:r>
        <w:rPr>
          <w:spacing w:val="-13"/>
        </w:rPr>
        <w:t> </w:t>
      </w:r>
      <w:r>
        <w:rPr/>
        <w:t>creditors,</w:t>
      </w:r>
      <w:r>
        <w:rPr>
          <w:spacing w:val="-13"/>
        </w:rPr>
        <w:t> </w:t>
      </w:r>
      <w:r>
        <w:rPr/>
        <w:t>who</w:t>
      </w:r>
      <w:r>
        <w:rPr>
          <w:spacing w:val="-13"/>
        </w:rPr>
        <w:t> </w:t>
      </w:r>
      <w:r>
        <w:rPr/>
        <w:t>may</w:t>
      </w:r>
      <w:r>
        <w:rPr>
          <w:spacing w:val="-13"/>
        </w:rPr>
        <w:t> </w:t>
      </w:r>
      <w:r>
        <w:rPr/>
        <w:t>also</w:t>
      </w:r>
      <w:r>
        <w:rPr>
          <w:spacing w:val="-13"/>
        </w:rPr>
        <w:t> </w:t>
      </w:r>
      <w:r>
        <w:rPr/>
        <w:t>influence</w:t>
      </w:r>
      <w:r>
        <w:rPr>
          <w:spacing w:val="-13"/>
        </w:rPr>
        <w:t> </w:t>
      </w:r>
      <w:r>
        <w:rPr/>
        <w:t>the</w:t>
      </w:r>
    </w:p>
    <w:p>
      <w:pPr>
        <w:spacing w:after="0" w:line="230" w:lineRule="auto"/>
        <w:jc w:val="both"/>
        <w:sectPr>
          <w:type w:val="continuous"/>
          <w:pgSz w:w="9720" w:h="14400"/>
          <w:pgMar w:top="40" w:bottom="280" w:left="1280" w:right="1300"/>
        </w:sectPr>
      </w:pPr>
    </w:p>
    <w:p>
      <w:pPr>
        <w:pStyle w:val="BodyText"/>
        <w:spacing w:line="230" w:lineRule="auto" w:before="178"/>
        <w:ind w:left="162" w:right="519"/>
        <w:jc w:val="both"/>
      </w:pPr>
      <w:r>
        <w:rPr/>
        <w:t>extent of conservatism in financial reporting. Moreover, a shift of con- trol rights to creditors or recorded losses in prior years may also explain debtholders’ increased demand for conservatism. To rule out these alter- native explanations, we conduct additional tests as explained later.</w:t>
      </w:r>
    </w:p>
    <w:p>
      <w:pPr>
        <w:pStyle w:val="ListParagraph"/>
        <w:numPr>
          <w:ilvl w:val="2"/>
          <w:numId w:val="5"/>
        </w:numPr>
        <w:tabs>
          <w:tab w:pos="940" w:val="left" w:leader="none"/>
        </w:tabs>
        <w:spacing w:line="230" w:lineRule="auto" w:before="155" w:after="0"/>
        <w:ind w:left="162" w:right="519" w:firstLine="199"/>
        <w:jc w:val="both"/>
        <w:rPr>
          <w:sz w:val="20"/>
        </w:rPr>
      </w:pPr>
      <w:r>
        <w:rPr/>
        <w:pict>
          <v:shape style="position:absolute;margin-left:87.264pt;margin-top:128.596222pt;width:67.55pt;height:17.45pt;mso-position-horizontal-relative:page;mso-position-vertical-relative:paragraph;z-index:-64816" type="#_x0000_t202" filled="false" stroked="false">
            <v:textbox inset="0,0,0,0">
              <w:txbxContent>
                <w:p>
                  <w:pPr>
                    <w:pStyle w:val="BodyText"/>
                    <w:tabs>
                      <w:tab w:pos="1194"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i/>
          <w:sz w:val="20"/>
        </w:rPr>
        <w:t>Recorded</w:t>
      </w:r>
      <w:r>
        <w:rPr>
          <w:i/>
          <w:spacing w:val="-18"/>
          <w:sz w:val="20"/>
        </w:rPr>
        <w:t> </w:t>
      </w:r>
      <w:r>
        <w:rPr>
          <w:i/>
          <w:sz w:val="20"/>
        </w:rPr>
        <w:t>Losses.</w:t>
      </w:r>
      <w:r>
        <w:rPr>
          <w:i/>
          <w:spacing w:val="2"/>
          <w:sz w:val="20"/>
        </w:rPr>
        <w:t> </w:t>
      </w:r>
      <w:r>
        <w:rPr>
          <w:sz w:val="20"/>
        </w:rPr>
        <w:t>Recorded</w:t>
      </w:r>
      <w:r>
        <w:rPr>
          <w:spacing w:val="-18"/>
          <w:sz w:val="20"/>
        </w:rPr>
        <w:t> </w:t>
      </w:r>
      <w:r>
        <w:rPr>
          <w:sz w:val="20"/>
        </w:rPr>
        <w:t>losses</w:t>
      </w:r>
      <w:r>
        <w:rPr>
          <w:spacing w:val="-18"/>
          <w:sz w:val="20"/>
        </w:rPr>
        <w:t> </w:t>
      </w:r>
      <w:r>
        <w:rPr>
          <w:sz w:val="20"/>
        </w:rPr>
        <w:t>are</w:t>
      </w:r>
      <w:r>
        <w:rPr>
          <w:spacing w:val="-18"/>
          <w:sz w:val="20"/>
        </w:rPr>
        <w:t> </w:t>
      </w:r>
      <w:r>
        <w:rPr>
          <w:sz w:val="20"/>
        </w:rPr>
        <w:t>mechanically</w:t>
      </w:r>
      <w:r>
        <w:rPr>
          <w:spacing w:val="-18"/>
          <w:sz w:val="20"/>
        </w:rPr>
        <w:t> </w:t>
      </w:r>
      <w:r>
        <w:rPr>
          <w:sz w:val="20"/>
        </w:rPr>
        <w:t>correlated</w:t>
      </w:r>
      <w:r>
        <w:rPr>
          <w:spacing w:val="-18"/>
          <w:sz w:val="20"/>
        </w:rPr>
        <w:t> </w:t>
      </w:r>
      <w:r>
        <w:rPr>
          <w:sz w:val="20"/>
        </w:rPr>
        <w:t>with increases</w:t>
      </w:r>
      <w:r>
        <w:rPr>
          <w:spacing w:val="-19"/>
          <w:sz w:val="20"/>
        </w:rPr>
        <w:t> </w:t>
      </w:r>
      <w:r>
        <w:rPr>
          <w:sz w:val="20"/>
        </w:rPr>
        <w:t>in</w:t>
      </w:r>
      <w:r>
        <w:rPr>
          <w:spacing w:val="-19"/>
          <w:sz w:val="20"/>
        </w:rPr>
        <w:t> </w:t>
      </w:r>
      <w:r>
        <w:rPr>
          <w:sz w:val="20"/>
        </w:rPr>
        <w:t>conservatism</w:t>
      </w:r>
      <w:r>
        <w:rPr>
          <w:spacing w:val="-19"/>
          <w:sz w:val="20"/>
        </w:rPr>
        <w:t> </w:t>
      </w:r>
      <w:r>
        <w:rPr>
          <w:sz w:val="20"/>
        </w:rPr>
        <w:t>and</w:t>
      </w:r>
      <w:r>
        <w:rPr>
          <w:spacing w:val="-19"/>
          <w:sz w:val="20"/>
        </w:rPr>
        <w:t> </w:t>
      </w:r>
      <w:r>
        <w:rPr>
          <w:sz w:val="20"/>
        </w:rPr>
        <w:t>thus</w:t>
      </w:r>
      <w:r>
        <w:rPr>
          <w:spacing w:val="-19"/>
          <w:sz w:val="20"/>
        </w:rPr>
        <w:t> </w:t>
      </w:r>
      <w:r>
        <w:rPr>
          <w:sz w:val="20"/>
        </w:rPr>
        <w:t>could</w:t>
      </w:r>
      <w:r>
        <w:rPr>
          <w:spacing w:val="-19"/>
          <w:sz w:val="20"/>
        </w:rPr>
        <w:t> </w:t>
      </w:r>
      <w:r>
        <w:rPr>
          <w:sz w:val="20"/>
        </w:rPr>
        <w:t>confound</w:t>
      </w:r>
      <w:r>
        <w:rPr>
          <w:spacing w:val="-19"/>
          <w:sz w:val="20"/>
        </w:rPr>
        <w:t> </w:t>
      </w:r>
      <w:r>
        <w:rPr>
          <w:sz w:val="20"/>
        </w:rPr>
        <w:t>our</w:t>
      </w:r>
      <w:r>
        <w:rPr>
          <w:spacing w:val="-19"/>
          <w:sz w:val="20"/>
        </w:rPr>
        <w:t> </w:t>
      </w:r>
      <w:r>
        <w:rPr>
          <w:sz w:val="20"/>
        </w:rPr>
        <w:t>results.</w:t>
      </w:r>
      <w:r>
        <w:rPr>
          <w:spacing w:val="-19"/>
          <w:sz w:val="20"/>
        </w:rPr>
        <w:t> </w:t>
      </w:r>
      <w:r>
        <w:rPr>
          <w:spacing w:val="-6"/>
          <w:sz w:val="20"/>
        </w:rPr>
        <w:t>We</w:t>
      </w:r>
      <w:r>
        <w:rPr>
          <w:spacing w:val="-19"/>
          <w:sz w:val="20"/>
        </w:rPr>
        <w:t> </w:t>
      </w:r>
      <w:r>
        <w:rPr>
          <w:sz w:val="20"/>
        </w:rPr>
        <w:t>rule</w:t>
      </w:r>
      <w:r>
        <w:rPr>
          <w:spacing w:val="-19"/>
          <w:sz w:val="20"/>
        </w:rPr>
        <w:t> </w:t>
      </w:r>
      <w:r>
        <w:rPr>
          <w:sz w:val="20"/>
        </w:rPr>
        <w:t>out this concern by excluding firms most likely to have recorded large</w:t>
      </w:r>
      <w:r>
        <w:rPr>
          <w:spacing w:val="-14"/>
          <w:sz w:val="20"/>
        </w:rPr>
        <w:t> </w:t>
      </w:r>
      <w:r>
        <w:rPr>
          <w:sz w:val="20"/>
        </w:rPr>
        <w:t>losses, which include (i) firms that experience most negative earnings changes (i.e., in the lowest decile of the distribution of earnings change), (ii) firms with</w:t>
      </w:r>
      <w:r>
        <w:rPr>
          <w:spacing w:val="-28"/>
          <w:sz w:val="20"/>
        </w:rPr>
        <w:t> </w:t>
      </w:r>
      <w:r>
        <w:rPr>
          <w:sz w:val="20"/>
        </w:rPr>
        <w:t>negative</w:t>
      </w:r>
      <w:r>
        <w:rPr>
          <w:spacing w:val="-28"/>
          <w:sz w:val="20"/>
        </w:rPr>
        <w:t> </w:t>
      </w:r>
      <w:r>
        <w:rPr>
          <w:sz w:val="20"/>
        </w:rPr>
        <w:t>operating</w:t>
      </w:r>
      <w:r>
        <w:rPr>
          <w:spacing w:val="-28"/>
          <w:sz w:val="20"/>
        </w:rPr>
        <w:t> </w:t>
      </w:r>
      <w:r>
        <w:rPr>
          <w:sz w:val="20"/>
        </w:rPr>
        <w:t>cash</w:t>
      </w:r>
      <w:r>
        <w:rPr>
          <w:spacing w:val="-28"/>
          <w:sz w:val="20"/>
        </w:rPr>
        <w:t> </w:t>
      </w:r>
      <w:r>
        <w:rPr>
          <w:sz w:val="20"/>
        </w:rPr>
        <w:t>flows</w:t>
      </w:r>
      <w:r>
        <w:rPr>
          <w:spacing w:val="-29"/>
          <w:sz w:val="20"/>
        </w:rPr>
        <w:t> </w:t>
      </w:r>
      <w:r>
        <w:rPr>
          <w:sz w:val="20"/>
        </w:rPr>
        <w:t>yet</w:t>
      </w:r>
      <w:r>
        <w:rPr>
          <w:spacing w:val="-28"/>
          <w:sz w:val="20"/>
        </w:rPr>
        <w:t> </w:t>
      </w:r>
      <w:r>
        <w:rPr>
          <w:sz w:val="20"/>
        </w:rPr>
        <w:t>positive</w:t>
      </w:r>
      <w:r>
        <w:rPr>
          <w:spacing w:val="-29"/>
          <w:sz w:val="20"/>
        </w:rPr>
        <w:t> </w:t>
      </w:r>
      <w:r>
        <w:rPr>
          <w:sz w:val="20"/>
        </w:rPr>
        <w:t>net</w:t>
      </w:r>
      <w:r>
        <w:rPr>
          <w:spacing w:val="-28"/>
          <w:sz w:val="20"/>
        </w:rPr>
        <w:t> </w:t>
      </w:r>
      <w:r>
        <w:rPr>
          <w:sz w:val="20"/>
        </w:rPr>
        <w:t>income,</w:t>
      </w:r>
      <w:r>
        <w:rPr>
          <w:spacing w:val="-28"/>
          <w:sz w:val="20"/>
        </w:rPr>
        <w:t> </w:t>
      </w:r>
      <w:r>
        <w:rPr>
          <w:sz w:val="20"/>
        </w:rPr>
        <w:t>(iii)</w:t>
      </w:r>
      <w:r>
        <w:rPr>
          <w:spacing w:val="-29"/>
          <w:sz w:val="20"/>
        </w:rPr>
        <w:t> </w:t>
      </w:r>
      <w:r>
        <w:rPr>
          <w:sz w:val="20"/>
        </w:rPr>
        <w:t>firms</w:t>
      </w:r>
      <w:r>
        <w:rPr>
          <w:spacing w:val="-28"/>
          <w:sz w:val="20"/>
        </w:rPr>
        <w:t> </w:t>
      </w:r>
      <w:r>
        <w:rPr>
          <w:sz w:val="20"/>
        </w:rPr>
        <w:t>whose total liabilities exceed total assets, and (iv) firms whose current liabilities exceed</w:t>
      </w:r>
      <w:r>
        <w:rPr>
          <w:spacing w:val="-12"/>
          <w:sz w:val="20"/>
        </w:rPr>
        <w:t> </w:t>
      </w:r>
      <w:r>
        <w:rPr>
          <w:sz w:val="20"/>
        </w:rPr>
        <w:t>current</w:t>
      </w:r>
      <w:r>
        <w:rPr>
          <w:spacing w:val="-12"/>
          <w:sz w:val="20"/>
        </w:rPr>
        <w:t> </w:t>
      </w:r>
      <w:r>
        <w:rPr>
          <w:sz w:val="20"/>
        </w:rPr>
        <w:t>assets.</w:t>
      </w:r>
      <w:r>
        <w:rPr>
          <w:spacing w:val="-12"/>
          <w:sz w:val="20"/>
        </w:rPr>
        <w:t> </w:t>
      </w:r>
      <w:r>
        <w:rPr>
          <w:sz w:val="20"/>
        </w:rPr>
        <w:t>After</w:t>
      </w:r>
      <w:r>
        <w:rPr>
          <w:spacing w:val="-12"/>
          <w:sz w:val="20"/>
        </w:rPr>
        <w:t> </w:t>
      </w:r>
      <w:r>
        <w:rPr>
          <w:sz w:val="20"/>
        </w:rPr>
        <w:t>dropping</w:t>
      </w:r>
      <w:r>
        <w:rPr>
          <w:spacing w:val="-12"/>
          <w:sz w:val="20"/>
        </w:rPr>
        <w:t> </w:t>
      </w:r>
      <w:r>
        <w:rPr>
          <w:sz w:val="20"/>
        </w:rPr>
        <w:t>5,737</w:t>
      </w:r>
      <w:r>
        <w:rPr>
          <w:spacing w:val="-12"/>
          <w:sz w:val="20"/>
        </w:rPr>
        <w:t> </w:t>
      </w:r>
      <w:r>
        <w:rPr>
          <w:sz w:val="20"/>
        </w:rPr>
        <w:t>observations</w:t>
      </w:r>
      <w:r>
        <w:rPr>
          <w:spacing w:val="-12"/>
          <w:sz w:val="20"/>
        </w:rPr>
        <w:t> </w:t>
      </w:r>
      <w:r>
        <w:rPr>
          <w:sz w:val="20"/>
        </w:rPr>
        <w:t>that</w:t>
      </w:r>
      <w:r>
        <w:rPr>
          <w:spacing w:val="-12"/>
          <w:sz w:val="20"/>
        </w:rPr>
        <w:t> </w:t>
      </w:r>
      <w:r>
        <w:rPr>
          <w:sz w:val="20"/>
        </w:rPr>
        <w:t>meet</w:t>
      </w:r>
      <w:r>
        <w:rPr>
          <w:spacing w:val="-12"/>
          <w:sz w:val="20"/>
        </w:rPr>
        <w:t> </w:t>
      </w:r>
      <w:r>
        <w:rPr>
          <w:sz w:val="20"/>
        </w:rPr>
        <w:t>at</w:t>
      </w:r>
      <w:r>
        <w:rPr>
          <w:spacing w:val="-12"/>
          <w:sz w:val="20"/>
        </w:rPr>
        <w:t> </w:t>
      </w:r>
      <w:r>
        <w:rPr>
          <w:sz w:val="20"/>
        </w:rPr>
        <w:t>least one of these criteria, we continue to find a post-ruling increase in conser- vatism</w:t>
      </w:r>
      <w:r>
        <w:rPr>
          <w:spacing w:val="-13"/>
          <w:sz w:val="20"/>
        </w:rPr>
        <w:t> </w:t>
      </w:r>
      <w:r>
        <w:rPr>
          <w:sz w:val="20"/>
        </w:rPr>
        <w:t>among</w:t>
      </w:r>
      <w:r>
        <w:rPr>
          <w:spacing w:val="-13"/>
          <w:sz w:val="20"/>
        </w:rPr>
        <w:t> </w:t>
      </w:r>
      <w:r>
        <w:rPr>
          <w:sz w:val="20"/>
        </w:rPr>
        <w:t>near</w:t>
      </w:r>
      <w:r>
        <w:rPr>
          <w:spacing w:val="-13"/>
          <w:sz w:val="20"/>
        </w:rPr>
        <w:t> </w:t>
      </w:r>
      <w:r>
        <w:rPr>
          <w:sz w:val="20"/>
        </w:rPr>
        <w:t>insolvent</w:t>
      </w:r>
      <w:r>
        <w:rPr>
          <w:spacing w:val="-13"/>
          <w:sz w:val="20"/>
        </w:rPr>
        <w:t> </w:t>
      </w:r>
      <w:r>
        <w:rPr>
          <w:sz w:val="20"/>
        </w:rPr>
        <w:t>Delaware</w:t>
      </w:r>
      <w:r>
        <w:rPr>
          <w:spacing w:val="-13"/>
          <w:sz w:val="20"/>
        </w:rPr>
        <w:t> </w:t>
      </w:r>
      <w:r>
        <w:rPr>
          <w:sz w:val="20"/>
        </w:rPr>
        <w:t>firms</w:t>
      </w:r>
      <w:r>
        <w:rPr>
          <w:spacing w:val="-13"/>
          <w:sz w:val="20"/>
        </w:rPr>
        <w:t> </w:t>
      </w:r>
      <w:r>
        <w:rPr>
          <w:sz w:val="20"/>
        </w:rPr>
        <w:t>in</w:t>
      </w:r>
      <w:r>
        <w:rPr>
          <w:spacing w:val="-13"/>
          <w:sz w:val="20"/>
        </w:rPr>
        <w:t> </w:t>
      </w:r>
      <w:r>
        <w:rPr>
          <w:sz w:val="20"/>
        </w:rPr>
        <w:t>this</w:t>
      </w:r>
      <w:r>
        <w:rPr>
          <w:spacing w:val="-13"/>
          <w:sz w:val="20"/>
        </w:rPr>
        <w:t> </w:t>
      </w:r>
      <w:r>
        <w:rPr>
          <w:sz w:val="20"/>
        </w:rPr>
        <w:t>non-losses</w:t>
      </w:r>
      <w:r>
        <w:rPr>
          <w:spacing w:val="-13"/>
          <w:sz w:val="20"/>
        </w:rPr>
        <w:t> </w:t>
      </w:r>
      <w:r>
        <w:rPr>
          <w:sz w:val="20"/>
        </w:rPr>
        <w:t>subsample (</w:t>
      </w:r>
      <w:r>
        <w:rPr>
          <w:i/>
          <w:sz w:val="20"/>
        </w:rPr>
        <w:t>ß</w:t>
      </w:r>
      <w:r>
        <w:rPr>
          <w:i/>
          <w:color w:val="231F20"/>
          <w:sz w:val="20"/>
          <w:vertAlign w:val="subscript"/>
        </w:rPr>
        <w:t>7</w:t>
      </w:r>
      <w:r>
        <w:rPr>
          <w:i/>
          <w:color w:val="231F20"/>
          <w:sz w:val="20"/>
          <w:vertAlign w:val="baseline"/>
        </w:rPr>
        <w:t> </w:t>
      </w:r>
      <w:r>
        <w:rPr>
          <w:sz w:val="20"/>
          <w:vertAlign w:val="baseline"/>
        </w:rPr>
        <w:t>0.329, </w:t>
      </w:r>
      <w:r>
        <w:rPr>
          <w:i/>
          <w:sz w:val="20"/>
          <w:vertAlign w:val="baseline"/>
        </w:rPr>
        <w:t>t</w:t>
      </w:r>
      <w:r>
        <w:rPr>
          <w:sz w:val="20"/>
          <w:vertAlign w:val="baseline"/>
        </w:rPr>
        <w:t>-stat 2.01). These results are summarized in online appendix table A11.</w:t>
      </w:r>
    </w:p>
    <w:p>
      <w:pPr>
        <w:pStyle w:val="ListParagraph"/>
        <w:numPr>
          <w:ilvl w:val="2"/>
          <w:numId w:val="5"/>
        </w:numPr>
        <w:tabs>
          <w:tab w:pos="940" w:val="left" w:leader="none"/>
        </w:tabs>
        <w:spacing w:line="230" w:lineRule="auto" w:before="158" w:after="0"/>
        <w:ind w:left="162" w:right="519" w:firstLine="199"/>
        <w:jc w:val="both"/>
        <w:rPr>
          <w:sz w:val="20"/>
        </w:rPr>
      </w:pPr>
      <w:r>
        <w:rPr>
          <w:i/>
          <w:sz w:val="20"/>
        </w:rPr>
        <w:t>Covenant</w:t>
      </w:r>
      <w:r>
        <w:rPr>
          <w:i/>
          <w:spacing w:val="-32"/>
          <w:sz w:val="20"/>
        </w:rPr>
        <w:t> </w:t>
      </w:r>
      <w:r>
        <w:rPr>
          <w:i/>
          <w:sz w:val="20"/>
        </w:rPr>
        <w:t>Violations</w:t>
      </w:r>
      <w:r>
        <w:rPr>
          <w:i/>
          <w:spacing w:val="-32"/>
          <w:sz w:val="20"/>
        </w:rPr>
        <w:t> </w:t>
      </w:r>
      <w:r>
        <w:rPr>
          <w:i/>
          <w:sz w:val="20"/>
        </w:rPr>
        <w:t>and</w:t>
      </w:r>
      <w:r>
        <w:rPr>
          <w:i/>
          <w:spacing w:val="-32"/>
          <w:sz w:val="20"/>
        </w:rPr>
        <w:t> </w:t>
      </w:r>
      <w:r>
        <w:rPr>
          <w:i/>
          <w:sz w:val="20"/>
        </w:rPr>
        <w:t>Bankruptcies.</w:t>
      </w:r>
      <w:r>
        <w:rPr>
          <w:i/>
          <w:spacing w:val="-12"/>
          <w:sz w:val="20"/>
        </w:rPr>
        <w:t> </w:t>
      </w:r>
      <w:r>
        <w:rPr>
          <w:sz w:val="20"/>
        </w:rPr>
        <w:t>Covenant</w:t>
      </w:r>
      <w:r>
        <w:rPr>
          <w:spacing w:val="-32"/>
          <w:sz w:val="20"/>
        </w:rPr>
        <w:t> </w:t>
      </w:r>
      <w:r>
        <w:rPr>
          <w:sz w:val="20"/>
        </w:rPr>
        <w:t>violations</w:t>
      </w:r>
      <w:r>
        <w:rPr>
          <w:spacing w:val="-32"/>
          <w:sz w:val="20"/>
        </w:rPr>
        <w:t> </w:t>
      </w:r>
      <w:r>
        <w:rPr>
          <w:sz w:val="20"/>
        </w:rPr>
        <w:t>may</w:t>
      </w:r>
      <w:r>
        <w:rPr>
          <w:spacing w:val="-32"/>
          <w:sz w:val="20"/>
        </w:rPr>
        <w:t> </w:t>
      </w:r>
      <w:r>
        <w:rPr>
          <w:sz w:val="20"/>
        </w:rPr>
        <w:t>con- found our findings in two opposite ways. On one hand, distressed firms are</w:t>
      </w:r>
      <w:r>
        <w:rPr>
          <w:spacing w:val="-8"/>
          <w:sz w:val="20"/>
        </w:rPr>
        <w:t> </w:t>
      </w:r>
      <w:r>
        <w:rPr>
          <w:sz w:val="20"/>
        </w:rPr>
        <w:t>more</w:t>
      </w:r>
      <w:r>
        <w:rPr>
          <w:spacing w:val="-8"/>
          <w:sz w:val="20"/>
        </w:rPr>
        <w:t> </w:t>
      </w:r>
      <w:r>
        <w:rPr>
          <w:sz w:val="20"/>
        </w:rPr>
        <w:t>likely</w:t>
      </w:r>
      <w:r>
        <w:rPr>
          <w:spacing w:val="-8"/>
          <w:sz w:val="20"/>
        </w:rPr>
        <w:t> </w:t>
      </w:r>
      <w:r>
        <w:rPr>
          <w:sz w:val="20"/>
        </w:rPr>
        <w:t>to</w:t>
      </w:r>
      <w:r>
        <w:rPr>
          <w:spacing w:val="-8"/>
          <w:sz w:val="20"/>
        </w:rPr>
        <w:t> </w:t>
      </w:r>
      <w:r>
        <w:rPr>
          <w:sz w:val="20"/>
        </w:rPr>
        <w:t>violate</w:t>
      </w:r>
      <w:r>
        <w:rPr>
          <w:spacing w:val="-8"/>
          <w:sz w:val="20"/>
        </w:rPr>
        <w:t> </w:t>
      </w:r>
      <w:r>
        <w:rPr>
          <w:sz w:val="20"/>
        </w:rPr>
        <w:t>debt</w:t>
      </w:r>
      <w:r>
        <w:rPr>
          <w:spacing w:val="-8"/>
          <w:sz w:val="20"/>
        </w:rPr>
        <w:t> </w:t>
      </w:r>
      <w:r>
        <w:rPr>
          <w:sz w:val="20"/>
        </w:rPr>
        <w:t>covenants</w:t>
      </w:r>
      <w:r>
        <w:rPr>
          <w:spacing w:val="-8"/>
          <w:sz w:val="20"/>
        </w:rPr>
        <w:t> </w:t>
      </w:r>
      <w:r>
        <w:rPr>
          <w:sz w:val="20"/>
        </w:rPr>
        <w:t>(Dichev</w:t>
      </w:r>
      <w:r>
        <w:rPr>
          <w:spacing w:val="-8"/>
          <w:sz w:val="20"/>
        </w:rPr>
        <w:t> </w:t>
      </w:r>
      <w:r>
        <w:rPr>
          <w:sz w:val="20"/>
        </w:rPr>
        <w:t>and</w:t>
      </w:r>
      <w:r>
        <w:rPr>
          <w:spacing w:val="-8"/>
          <w:sz w:val="20"/>
        </w:rPr>
        <w:t> </w:t>
      </w:r>
      <w:r>
        <w:rPr>
          <w:sz w:val="20"/>
        </w:rPr>
        <w:t>Skinner</w:t>
      </w:r>
      <w:r>
        <w:rPr>
          <w:spacing w:val="-8"/>
          <w:sz w:val="20"/>
        </w:rPr>
        <w:t> </w:t>
      </w:r>
      <w:r>
        <w:rPr>
          <w:sz w:val="20"/>
        </w:rPr>
        <w:t>[2002]),</w:t>
      </w:r>
      <w:r>
        <w:rPr>
          <w:spacing w:val="-8"/>
          <w:sz w:val="20"/>
        </w:rPr>
        <w:t> </w:t>
      </w:r>
      <w:r>
        <w:rPr>
          <w:sz w:val="20"/>
        </w:rPr>
        <w:t>and any</w:t>
      </w:r>
      <w:r>
        <w:rPr>
          <w:spacing w:val="-26"/>
          <w:sz w:val="20"/>
        </w:rPr>
        <w:t> </w:t>
      </w:r>
      <w:r>
        <w:rPr>
          <w:sz w:val="20"/>
        </w:rPr>
        <w:t>consequent</w:t>
      </w:r>
      <w:r>
        <w:rPr>
          <w:spacing w:val="-26"/>
          <w:sz w:val="20"/>
        </w:rPr>
        <w:t> </w:t>
      </w:r>
      <w:r>
        <w:rPr>
          <w:sz w:val="20"/>
        </w:rPr>
        <w:t>revisions</w:t>
      </w:r>
      <w:r>
        <w:rPr>
          <w:spacing w:val="-26"/>
          <w:sz w:val="20"/>
        </w:rPr>
        <w:t> </w:t>
      </w:r>
      <w:r>
        <w:rPr>
          <w:sz w:val="20"/>
        </w:rPr>
        <w:t>to</w:t>
      </w:r>
      <w:r>
        <w:rPr>
          <w:spacing w:val="-26"/>
          <w:sz w:val="20"/>
        </w:rPr>
        <w:t> </w:t>
      </w:r>
      <w:r>
        <w:rPr>
          <w:sz w:val="20"/>
        </w:rPr>
        <w:t>loan</w:t>
      </w:r>
      <w:r>
        <w:rPr>
          <w:spacing w:val="-26"/>
          <w:sz w:val="20"/>
        </w:rPr>
        <w:t> </w:t>
      </w:r>
      <w:r>
        <w:rPr>
          <w:sz w:val="20"/>
        </w:rPr>
        <w:t>agreements</w:t>
      </w:r>
      <w:r>
        <w:rPr>
          <w:spacing w:val="-26"/>
          <w:sz w:val="20"/>
        </w:rPr>
        <w:t> </w:t>
      </w:r>
      <w:r>
        <w:rPr>
          <w:sz w:val="20"/>
        </w:rPr>
        <w:t>could</w:t>
      </w:r>
      <w:r>
        <w:rPr>
          <w:spacing w:val="-26"/>
          <w:sz w:val="20"/>
        </w:rPr>
        <w:t> </w:t>
      </w:r>
      <w:r>
        <w:rPr>
          <w:sz w:val="20"/>
        </w:rPr>
        <w:t>give</w:t>
      </w:r>
      <w:r>
        <w:rPr>
          <w:spacing w:val="-26"/>
          <w:sz w:val="20"/>
        </w:rPr>
        <w:t> </w:t>
      </w:r>
      <w:r>
        <w:rPr>
          <w:sz w:val="20"/>
        </w:rPr>
        <w:t>lenders</w:t>
      </w:r>
      <w:r>
        <w:rPr>
          <w:spacing w:val="-26"/>
          <w:sz w:val="20"/>
        </w:rPr>
        <w:t> </w:t>
      </w:r>
      <w:r>
        <w:rPr>
          <w:sz w:val="20"/>
        </w:rPr>
        <w:t>more</w:t>
      </w:r>
      <w:r>
        <w:rPr>
          <w:spacing w:val="-26"/>
          <w:sz w:val="20"/>
        </w:rPr>
        <w:t> </w:t>
      </w:r>
      <w:r>
        <w:rPr>
          <w:sz w:val="20"/>
        </w:rPr>
        <w:t>influ- ence in firms’ financial reporting decisions (Nini, Smith, and Sufi [2012]). On the other hand, once covenants are actually violated, additional conservatism may provide little incremental benefit to creditors because control</w:t>
      </w:r>
      <w:r>
        <w:rPr>
          <w:spacing w:val="-14"/>
          <w:sz w:val="20"/>
        </w:rPr>
        <w:t> </w:t>
      </w:r>
      <w:r>
        <w:rPr>
          <w:sz w:val="20"/>
        </w:rPr>
        <w:t>rights</w:t>
      </w:r>
      <w:r>
        <w:rPr>
          <w:spacing w:val="-14"/>
          <w:sz w:val="20"/>
        </w:rPr>
        <w:t> </w:t>
      </w:r>
      <w:r>
        <w:rPr>
          <w:sz w:val="20"/>
        </w:rPr>
        <w:t>shift</w:t>
      </w:r>
      <w:r>
        <w:rPr>
          <w:spacing w:val="-14"/>
          <w:sz w:val="20"/>
        </w:rPr>
        <w:t> </w:t>
      </w:r>
      <w:r>
        <w:rPr>
          <w:sz w:val="20"/>
        </w:rPr>
        <w:t>to</w:t>
      </w:r>
      <w:r>
        <w:rPr>
          <w:spacing w:val="-14"/>
          <w:sz w:val="20"/>
        </w:rPr>
        <w:t> </w:t>
      </w:r>
      <w:r>
        <w:rPr>
          <w:sz w:val="20"/>
        </w:rPr>
        <w:t>creditors</w:t>
      </w:r>
      <w:r>
        <w:rPr>
          <w:spacing w:val="-14"/>
          <w:sz w:val="20"/>
        </w:rPr>
        <w:t> </w:t>
      </w:r>
      <w:r>
        <w:rPr>
          <w:spacing w:val="-3"/>
          <w:sz w:val="20"/>
        </w:rPr>
        <w:t>anyway,</w:t>
      </w:r>
      <w:r>
        <w:rPr>
          <w:spacing w:val="-14"/>
          <w:sz w:val="20"/>
        </w:rPr>
        <w:t> </w:t>
      </w:r>
      <w:r>
        <w:rPr>
          <w:sz w:val="20"/>
        </w:rPr>
        <w:t>and</w:t>
      </w:r>
      <w:r>
        <w:rPr>
          <w:spacing w:val="-14"/>
          <w:sz w:val="20"/>
        </w:rPr>
        <w:t> </w:t>
      </w:r>
      <w:r>
        <w:rPr>
          <w:sz w:val="20"/>
        </w:rPr>
        <w:t>creditors</w:t>
      </w:r>
      <w:r>
        <w:rPr>
          <w:spacing w:val="-14"/>
          <w:sz w:val="20"/>
        </w:rPr>
        <w:t> </w:t>
      </w:r>
      <w:r>
        <w:rPr>
          <w:sz w:val="20"/>
        </w:rPr>
        <w:t>can</w:t>
      </w:r>
      <w:r>
        <w:rPr>
          <w:spacing w:val="-14"/>
          <w:sz w:val="20"/>
        </w:rPr>
        <w:t> </w:t>
      </w:r>
      <w:r>
        <w:rPr>
          <w:sz w:val="20"/>
        </w:rPr>
        <w:t>monitor</w:t>
      </w:r>
      <w:r>
        <w:rPr>
          <w:spacing w:val="-14"/>
          <w:sz w:val="20"/>
        </w:rPr>
        <w:t> </w:t>
      </w:r>
      <w:r>
        <w:rPr>
          <w:sz w:val="20"/>
        </w:rPr>
        <w:t>borrow- ers directly.</w:t>
      </w:r>
      <w:r>
        <w:rPr>
          <w:color w:val="231F20"/>
          <w:position w:val="7"/>
          <w:sz w:val="14"/>
        </w:rPr>
        <w:t>29 </w:t>
      </w:r>
      <w:r>
        <w:rPr>
          <w:spacing w:val="-3"/>
          <w:sz w:val="20"/>
        </w:rPr>
        <w:t>However, </w:t>
      </w:r>
      <w:r>
        <w:rPr>
          <w:sz w:val="20"/>
        </w:rPr>
        <w:t>there is no a priori reason to believe that the like- lihood</w:t>
      </w:r>
      <w:r>
        <w:rPr>
          <w:spacing w:val="-28"/>
          <w:sz w:val="20"/>
        </w:rPr>
        <w:t> </w:t>
      </w:r>
      <w:r>
        <w:rPr>
          <w:sz w:val="20"/>
        </w:rPr>
        <w:t>of</w:t>
      </w:r>
      <w:r>
        <w:rPr>
          <w:spacing w:val="-28"/>
          <w:sz w:val="20"/>
        </w:rPr>
        <w:t> </w:t>
      </w:r>
      <w:r>
        <w:rPr>
          <w:sz w:val="20"/>
        </w:rPr>
        <w:t>covenant</w:t>
      </w:r>
      <w:r>
        <w:rPr>
          <w:spacing w:val="-28"/>
          <w:sz w:val="20"/>
        </w:rPr>
        <w:t> </w:t>
      </w:r>
      <w:r>
        <w:rPr>
          <w:sz w:val="20"/>
        </w:rPr>
        <w:t>violations</w:t>
      </w:r>
      <w:r>
        <w:rPr>
          <w:spacing w:val="-28"/>
          <w:sz w:val="20"/>
        </w:rPr>
        <w:t> </w:t>
      </w:r>
      <w:r>
        <w:rPr>
          <w:sz w:val="20"/>
        </w:rPr>
        <w:t>is</w:t>
      </w:r>
      <w:r>
        <w:rPr>
          <w:spacing w:val="-28"/>
          <w:sz w:val="20"/>
        </w:rPr>
        <w:t> </w:t>
      </w:r>
      <w:r>
        <w:rPr>
          <w:sz w:val="20"/>
        </w:rPr>
        <w:t>systematically</w:t>
      </w:r>
      <w:r>
        <w:rPr>
          <w:spacing w:val="-28"/>
          <w:sz w:val="20"/>
        </w:rPr>
        <w:t> </w:t>
      </w:r>
      <w:r>
        <w:rPr>
          <w:sz w:val="20"/>
        </w:rPr>
        <w:t>higher</w:t>
      </w:r>
      <w:r>
        <w:rPr>
          <w:spacing w:val="-28"/>
          <w:sz w:val="20"/>
        </w:rPr>
        <w:t> </w:t>
      </w:r>
      <w:r>
        <w:rPr>
          <w:sz w:val="20"/>
        </w:rPr>
        <w:t>or</w:t>
      </w:r>
      <w:r>
        <w:rPr>
          <w:spacing w:val="-28"/>
          <w:sz w:val="20"/>
        </w:rPr>
        <w:t> </w:t>
      </w:r>
      <w:r>
        <w:rPr>
          <w:sz w:val="20"/>
        </w:rPr>
        <w:t>lower</w:t>
      </w:r>
      <w:r>
        <w:rPr>
          <w:spacing w:val="-28"/>
          <w:sz w:val="20"/>
        </w:rPr>
        <w:t> </w:t>
      </w:r>
      <w:r>
        <w:rPr>
          <w:sz w:val="20"/>
        </w:rPr>
        <w:t>for</w:t>
      </w:r>
      <w:r>
        <w:rPr>
          <w:spacing w:val="-28"/>
          <w:sz w:val="20"/>
        </w:rPr>
        <w:t> </w:t>
      </w:r>
      <w:r>
        <w:rPr>
          <w:sz w:val="20"/>
        </w:rPr>
        <w:t>Delaware than</w:t>
      </w:r>
      <w:r>
        <w:rPr>
          <w:spacing w:val="-6"/>
          <w:sz w:val="20"/>
        </w:rPr>
        <w:t> </w:t>
      </w:r>
      <w:r>
        <w:rPr>
          <w:sz w:val="20"/>
        </w:rPr>
        <w:t>non-Delaware</w:t>
      </w:r>
      <w:r>
        <w:rPr>
          <w:spacing w:val="-6"/>
          <w:sz w:val="20"/>
        </w:rPr>
        <w:t> </w:t>
      </w:r>
      <w:r>
        <w:rPr>
          <w:sz w:val="20"/>
        </w:rPr>
        <w:t>firms.</w:t>
      </w:r>
      <w:r>
        <w:rPr>
          <w:spacing w:val="-6"/>
          <w:sz w:val="20"/>
        </w:rPr>
        <w:t> </w:t>
      </w:r>
      <w:r>
        <w:rPr>
          <w:sz w:val="20"/>
        </w:rPr>
        <w:t>Since</w:t>
      </w:r>
      <w:r>
        <w:rPr>
          <w:spacing w:val="-6"/>
          <w:sz w:val="20"/>
        </w:rPr>
        <w:t> </w:t>
      </w:r>
      <w:r>
        <w:rPr>
          <w:sz w:val="20"/>
        </w:rPr>
        <w:t>the</w:t>
      </w:r>
      <w:r>
        <w:rPr>
          <w:spacing w:val="-6"/>
          <w:sz w:val="20"/>
        </w:rPr>
        <w:t> </w:t>
      </w:r>
      <w:r>
        <w:rPr>
          <w:sz w:val="20"/>
        </w:rPr>
        <w:t>covenant</w:t>
      </w:r>
      <w:r>
        <w:rPr>
          <w:spacing w:val="-6"/>
          <w:sz w:val="20"/>
        </w:rPr>
        <w:t> </w:t>
      </w:r>
      <w:r>
        <w:rPr>
          <w:sz w:val="20"/>
        </w:rPr>
        <w:t>violations</w:t>
      </w:r>
      <w:r>
        <w:rPr>
          <w:spacing w:val="-6"/>
          <w:sz w:val="20"/>
        </w:rPr>
        <w:t> </w:t>
      </w:r>
      <w:r>
        <w:rPr>
          <w:sz w:val="20"/>
        </w:rPr>
        <w:t>data</w:t>
      </w:r>
      <w:r>
        <w:rPr>
          <w:spacing w:val="-6"/>
          <w:sz w:val="20"/>
        </w:rPr>
        <w:t> </w:t>
      </w:r>
      <w:r>
        <w:rPr>
          <w:sz w:val="20"/>
        </w:rPr>
        <w:t>provided</w:t>
      </w:r>
      <w:r>
        <w:rPr>
          <w:spacing w:val="-6"/>
          <w:sz w:val="20"/>
        </w:rPr>
        <w:t> </w:t>
      </w:r>
      <w:r>
        <w:rPr>
          <w:sz w:val="20"/>
        </w:rPr>
        <w:t>by Nini, Smith, and Sufi [2012] start from 1996 </w:t>
      </w:r>
      <w:r>
        <w:rPr>
          <w:spacing w:val="-3"/>
          <w:sz w:val="20"/>
        </w:rPr>
        <w:t>only, </w:t>
      </w:r>
      <w:r>
        <w:rPr>
          <w:sz w:val="20"/>
        </w:rPr>
        <w:t>we manually collect </w:t>
      </w:r>
      <w:r>
        <w:rPr>
          <w:w w:val="95"/>
          <w:sz w:val="20"/>
        </w:rPr>
        <w:t>covenant violations from Mergent/Moody’s Manuals for a random subsam- </w:t>
      </w:r>
      <w:r>
        <w:rPr>
          <w:sz w:val="20"/>
        </w:rPr>
        <w:t>ple</w:t>
      </w:r>
      <w:r>
        <w:rPr>
          <w:spacing w:val="-10"/>
          <w:sz w:val="20"/>
        </w:rPr>
        <w:t> </w:t>
      </w:r>
      <w:r>
        <w:rPr>
          <w:sz w:val="20"/>
        </w:rPr>
        <w:t>about</w:t>
      </w:r>
      <w:r>
        <w:rPr>
          <w:spacing w:val="-10"/>
          <w:sz w:val="20"/>
        </w:rPr>
        <w:t> </w:t>
      </w:r>
      <w:r>
        <w:rPr>
          <w:sz w:val="20"/>
        </w:rPr>
        <w:t>10%</w:t>
      </w:r>
      <w:r>
        <w:rPr>
          <w:spacing w:val="-10"/>
          <w:sz w:val="20"/>
        </w:rPr>
        <w:t> </w:t>
      </w:r>
      <w:r>
        <w:rPr>
          <w:sz w:val="20"/>
        </w:rPr>
        <w:t>of</w:t>
      </w:r>
      <w:r>
        <w:rPr>
          <w:spacing w:val="-10"/>
          <w:sz w:val="20"/>
        </w:rPr>
        <w:t> </w:t>
      </w:r>
      <w:r>
        <w:rPr>
          <w:sz w:val="20"/>
        </w:rPr>
        <w:t>our</w:t>
      </w:r>
      <w:r>
        <w:rPr>
          <w:spacing w:val="-10"/>
          <w:sz w:val="20"/>
        </w:rPr>
        <w:t> </w:t>
      </w:r>
      <w:r>
        <w:rPr>
          <w:sz w:val="20"/>
        </w:rPr>
        <w:t>main</w:t>
      </w:r>
      <w:r>
        <w:rPr>
          <w:spacing w:val="-10"/>
          <w:sz w:val="20"/>
        </w:rPr>
        <w:t> </w:t>
      </w:r>
      <w:r>
        <w:rPr>
          <w:sz w:val="20"/>
        </w:rPr>
        <w:t>sample</w:t>
      </w:r>
      <w:r>
        <w:rPr>
          <w:spacing w:val="-10"/>
          <w:sz w:val="20"/>
        </w:rPr>
        <w:t> </w:t>
      </w:r>
      <w:r>
        <w:rPr>
          <w:sz w:val="20"/>
        </w:rPr>
        <w:t>size.</w:t>
      </w:r>
      <w:r>
        <w:rPr>
          <w:color w:val="231F20"/>
          <w:position w:val="7"/>
          <w:sz w:val="14"/>
        </w:rPr>
        <w:t>30</w:t>
      </w:r>
      <w:r>
        <w:rPr>
          <w:color w:val="231F20"/>
          <w:spacing w:val="-2"/>
          <w:position w:val="7"/>
          <w:sz w:val="14"/>
        </w:rPr>
        <w:t> </w:t>
      </w:r>
      <w:r>
        <w:rPr>
          <w:sz w:val="20"/>
        </w:rPr>
        <w:t>On</w:t>
      </w:r>
      <w:r>
        <w:rPr>
          <w:spacing w:val="-10"/>
          <w:sz w:val="20"/>
        </w:rPr>
        <w:t> </w:t>
      </w:r>
      <w:r>
        <w:rPr>
          <w:sz w:val="20"/>
        </w:rPr>
        <w:t>this</w:t>
      </w:r>
      <w:r>
        <w:rPr>
          <w:spacing w:val="-10"/>
          <w:sz w:val="20"/>
        </w:rPr>
        <w:t> </w:t>
      </w:r>
      <w:r>
        <w:rPr>
          <w:sz w:val="20"/>
        </w:rPr>
        <w:t>subsample,</w:t>
      </w:r>
      <w:r>
        <w:rPr>
          <w:spacing w:val="-10"/>
          <w:sz w:val="20"/>
        </w:rPr>
        <w:t> </w:t>
      </w:r>
      <w:r>
        <w:rPr>
          <w:sz w:val="20"/>
        </w:rPr>
        <w:t>we</w:t>
      </w:r>
      <w:r>
        <w:rPr>
          <w:spacing w:val="-10"/>
          <w:sz w:val="20"/>
        </w:rPr>
        <w:t> </w:t>
      </w:r>
      <w:r>
        <w:rPr>
          <w:sz w:val="20"/>
        </w:rPr>
        <w:t>first</w:t>
      </w:r>
      <w:r>
        <w:rPr>
          <w:spacing w:val="-10"/>
          <w:sz w:val="20"/>
        </w:rPr>
        <w:t> </w:t>
      </w:r>
      <w:r>
        <w:rPr>
          <w:sz w:val="20"/>
        </w:rPr>
        <w:t>run</w:t>
      </w:r>
      <w:r>
        <w:rPr>
          <w:spacing w:val="-10"/>
          <w:sz w:val="20"/>
        </w:rPr>
        <w:t> </w:t>
      </w:r>
      <w:r>
        <w:rPr>
          <w:sz w:val="20"/>
        </w:rPr>
        <w:t>a logit</w:t>
      </w:r>
      <w:r>
        <w:rPr>
          <w:spacing w:val="-21"/>
          <w:sz w:val="20"/>
        </w:rPr>
        <w:t> </w:t>
      </w:r>
      <w:r>
        <w:rPr>
          <w:sz w:val="20"/>
        </w:rPr>
        <w:t>regression</w:t>
      </w:r>
      <w:r>
        <w:rPr>
          <w:spacing w:val="-21"/>
          <w:sz w:val="20"/>
        </w:rPr>
        <w:t> </w:t>
      </w:r>
      <w:r>
        <w:rPr>
          <w:sz w:val="20"/>
        </w:rPr>
        <w:t>model</w:t>
      </w:r>
      <w:r>
        <w:rPr>
          <w:spacing w:val="-21"/>
          <w:sz w:val="20"/>
        </w:rPr>
        <w:t> </w:t>
      </w:r>
      <w:r>
        <w:rPr>
          <w:sz w:val="20"/>
        </w:rPr>
        <w:t>where</w:t>
      </w:r>
      <w:r>
        <w:rPr>
          <w:spacing w:val="-21"/>
          <w:sz w:val="20"/>
        </w:rPr>
        <w:t> </w:t>
      </w:r>
      <w:r>
        <w:rPr>
          <w:sz w:val="20"/>
        </w:rPr>
        <w:t>we</w:t>
      </w:r>
      <w:r>
        <w:rPr>
          <w:spacing w:val="-21"/>
          <w:sz w:val="20"/>
        </w:rPr>
        <w:t> </w:t>
      </w:r>
      <w:r>
        <w:rPr>
          <w:sz w:val="20"/>
        </w:rPr>
        <w:t>use</w:t>
      </w:r>
      <w:r>
        <w:rPr>
          <w:spacing w:val="-21"/>
          <w:sz w:val="20"/>
        </w:rPr>
        <w:t> </w:t>
      </w:r>
      <w:r>
        <w:rPr>
          <w:sz w:val="20"/>
        </w:rPr>
        <w:t>an</w:t>
      </w:r>
      <w:r>
        <w:rPr>
          <w:spacing w:val="-21"/>
          <w:sz w:val="20"/>
        </w:rPr>
        <w:t> </w:t>
      </w:r>
      <w:r>
        <w:rPr>
          <w:sz w:val="20"/>
        </w:rPr>
        <w:t>indicator</w:t>
      </w:r>
      <w:r>
        <w:rPr>
          <w:spacing w:val="-21"/>
          <w:sz w:val="20"/>
        </w:rPr>
        <w:t> </w:t>
      </w:r>
      <w:r>
        <w:rPr>
          <w:sz w:val="20"/>
        </w:rPr>
        <w:t>variable</w:t>
      </w:r>
      <w:r>
        <w:rPr>
          <w:spacing w:val="-21"/>
          <w:sz w:val="20"/>
        </w:rPr>
        <w:t> </w:t>
      </w:r>
      <w:r>
        <w:rPr>
          <w:sz w:val="20"/>
        </w:rPr>
        <w:t>for</w:t>
      </w:r>
      <w:r>
        <w:rPr>
          <w:spacing w:val="-21"/>
          <w:sz w:val="20"/>
        </w:rPr>
        <w:t> </w:t>
      </w:r>
      <w:r>
        <w:rPr>
          <w:sz w:val="20"/>
        </w:rPr>
        <w:t>covenant</w:t>
      </w:r>
      <w:r>
        <w:rPr>
          <w:spacing w:val="-21"/>
          <w:sz w:val="20"/>
        </w:rPr>
        <w:t> </w:t>
      </w:r>
      <w:r>
        <w:rPr>
          <w:sz w:val="20"/>
        </w:rPr>
        <w:t>vio- lations</w:t>
      </w:r>
      <w:r>
        <w:rPr>
          <w:spacing w:val="-20"/>
          <w:sz w:val="20"/>
        </w:rPr>
        <w:t> </w:t>
      </w:r>
      <w:r>
        <w:rPr>
          <w:sz w:val="20"/>
        </w:rPr>
        <w:t>as</w:t>
      </w:r>
      <w:r>
        <w:rPr>
          <w:spacing w:val="-20"/>
          <w:sz w:val="20"/>
        </w:rPr>
        <w:t> </w:t>
      </w:r>
      <w:r>
        <w:rPr>
          <w:sz w:val="20"/>
        </w:rPr>
        <w:t>the</w:t>
      </w:r>
      <w:r>
        <w:rPr>
          <w:spacing w:val="-20"/>
          <w:sz w:val="20"/>
        </w:rPr>
        <w:t> </w:t>
      </w:r>
      <w:r>
        <w:rPr>
          <w:sz w:val="20"/>
        </w:rPr>
        <w:t>dependent</w:t>
      </w:r>
      <w:r>
        <w:rPr>
          <w:spacing w:val="-20"/>
          <w:sz w:val="20"/>
        </w:rPr>
        <w:t> </w:t>
      </w:r>
      <w:r>
        <w:rPr>
          <w:sz w:val="20"/>
        </w:rPr>
        <w:t>variable</w:t>
      </w:r>
      <w:r>
        <w:rPr>
          <w:spacing w:val="-20"/>
          <w:sz w:val="20"/>
        </w:rPr>
        <w:t> </w:t>
      </w:r>
      <w:r>
        <w:rPr>
          <w:sz w:val="20"/>
        </w:rPr>
        <w:t>and</w:t>
      </w:r>
      <w:r>
        <w:rPr>
          <w:spacing w:val="-20"/>
          <w:sz w:val="20"/>
        </w:rPr>
        <w:t> </w:t>
      </w:r>
      <w:r>
        <w:rPr>
          <w:sz w:val="20"/>
        </w:rPr>
        <w:t>keep</w:t>
      </w:r>
      <w:r>
        <w:rPr>
          <w:spacing w:val="-20"/>
          <w:sz w:val="20"/>
        </w:rPr>
        <w:t> </w:t>
      </w:r>
      <w:r>
        <w:rPr>
          <w:sz w:val="20"/>
        </w:rPr>
        <w:t>all</w:t>
      </w:r>
      <w:r>
        <w:rPr>
          <w:spacing w:val="-20"/>
          <w:sz w:val="20"/>
        </w:rPr>
        <w:t> </w:t>
      </w:r>
      <w:r>
        <w:rPr>
          <w:sz w:val="20"/>
        </w:rPr>
        <w:t>the</w:t>
      </w:r>
      <w:r>
        <w:rPr>
          <w:spacing w:val="-20"/>
          <w:sz w:val="20"/>
        </w:rPr>
        <w:t> </w:t>
      </w:r>
      <w:r>
        <w:rPr>
          <w:sz w:val="20"/>
        </w:rPr>
        <w:t>right-hand</w:t>
      </w:r>
      <w:r>
        <w:rPr>
          <w:spacing w:val="-20"/>
          <w:sz w:val="20"/>
        </w:rPr>
        <w:t> </w:t>
      </w:r>
      <w:r>
        <w:rPr>
          <w:sz w:val="20"/>
        </w:rPr>
        <w:t>side</w:t>
      </w:r>
      <w:r>
        <w:rPr>
          <w:spacing w:val="-20"/>
          <w:sz w:val="20"/>
        </w:rPr>
        <w:t> </w:t>
      </w:r>
      <w:r>
        <w:rPr>
          <w:sz w:val="20"/>
        </w:rPr>
        <w:t>variables specified</w:t>
      </w:r>
      <w:r>
        <w:rPr>
          <w:spacing w:val="-16"/>
          <w:sz w:val="20"/>
        </w:rPr>
        <w:t> </w:t>
      </w:r>
      <w:r>
        <w:rPr>
          <w:sz w:val="20"/>
        </w:rPr>
        <w:t>in</w:t>
      </w:r>
      <w:r>
        <w:rPr>
          <w:spacing w:val="-16"/>
          <w:sz w:val="20"/>
        </w:rPr>
        <w:t> </w:t>
      </w:r>
      <w:r>
        <w:rPr>
          <w:sz w:val="20"/>
        </w:rPr>
        <w:t>model</w:t>
      </w:r>
      <w:r>
        <w:rPr>
          <w:spacing w:val="-16"/>
          <w:sz w:val="20"/>
        </w:rPr>
        <w:t> </w:t>
      </w:r>
      <w:r>
        <w:rPr>
          <w:sz w:val="20"/>
        </w:rPr>
        <w:t>(1).</w:t>
      </w:r>
      <w:r>
        <w:rPr>
          <w:spacing w:val="-16"/>
          <w:sz w:val="20"/>
        </w:rPr>
        <w:t> </w:t>
      </w:r>
      <w:r>
        <w:rPr>
          <w:sz w:val="20"/>
        </w:rPr>
        <w:t>The</w:t>
      </w:r>
      <w:r>
        <w:rPr>
          <w:spacing w:val="-16"/>
          <w:sz w:val="20"/>
        </w:rPr>
        <w:t> </w:t>
      </w:r>
      <w:r>
        <w:rPr>
          <w:sz w:val="20"/>
        </w:rPr>
        <w:t>results</w:t>
      </w:r>
      <w:r>
        <w:rPr>
          <w:spacing w:val="-16"/>
          <w:sz w:val="20"/>
        </w:rPr>
        <w:t> </w:t>
      </w:r>
      <w:r>
        <w:rPr>
          <w:sz w:val="20"/>
        </w:rPr>
        <w:t>presented</w:t>
      </w:r>
      <w:r>
        <w:rPr>
          <w:spacing w:val="-15"/>
          <w:sz w:val="20"/>
        </w:rPr>
        <w:t> </w:t>
      </w:r>
      <w:r>
        <w:rPr>
          <w:sz w:val="20"/>
        </w:rPr>
        <w:t>in</w:t>
      </w:r>
      <w:r>
        <w:rPr>
          <w:spacing w:val="-16"/>
          <w:sz w:val="20"/>
        </w:rPr>
        <w:t> </w:t>
      </w:r>
      <w:r>
        <w:rPr>
          <w:sz w:val="20"/>
        </w:rPr>
        <w:t>panel</w:t>
      </w:r>
      <w:r>
        <w:rPr>
          <w:spacing w:val="-15"/>
          <w:sz w:val="20"/>
        </w:rPr>
        <w:t> </w:t>
      </w:r>
      <w:r>
        <w:rPr>
          <w:sz w:val="20"/>
        </w:rPr>
        <w:t>A</w:t>
      </w:r>
      <w:r>
        <w:rPr>
          <w:spacing w:val="-16"/>
          <w:sz w:val="20"/>
        </w:rPr>
        <w:t> </w:t>
      </w:r>
      <w:r>
        <w:rPr>
          <w:sz w:val="20"/>
        </w:rPr>
        <w:t>of</w:t>
      </w:r>
      <w:r>
        <w:rPr>
          <w:spacing w:val="-16"/>
          <w:sz w:val="20"/>
        </w:rPr>
        <w:t> </w:t>
      </w:r>
      <w:r>
        <w:rPr>
          <w:sz w:val="20"/>
        </w:rPr>
        <w:t>online</w:t>
      </w:r>
      <w:r>
        <w:rPr>
          <w:spacing w:val="-16"/>
          <w:sz w:val="20"/>
        </w:rPr>
        <w:t> </w:t>
      </w:r>
      <w:r>
        <w:rPr>
          <w:sz w:val="20"/>
        </w:rPr>
        <w:t>appendix table A12 suggest that the post-ruling increase in the likelihood of violat- ing</w:t>
      </w:r>
      <w:r>
        <w:rPr>
          <w:spacing w:val="-6"/>
          <w:sz w:val="20"/>
        </w:rPr>
        <w:t> </w:t>
      </w:r>
      <w:r>
        <w:rPr>
          <w:sz w:val="20"/>
        </w:rPr>
        <w:t>covenant</w:t>
      </w:r>
      <w:r>
        <w:rPr>
          <w:spacing w:val="-6"/>
          <w:sz w:val="20"/>
        </w:rPr>
        <w:t> </w:t>
      </w:r>
      <w:r>
        <w:rPr>
          <w:sz w:val="20"/>
        </w:rPr>
        <w:t>is</w:t>
      </w:r>
      <w:r>
        <w:rPr>
          <w:spacing w:val="-6"/>
          <w:sz w:val="20"/>
        </w:rPr>
        <w:t> </w:t>
      </w:r>
      <w:r>
        <w:rPr>
          <w:sz w:val="20"/>
        </w:rPr>
        <w:t>not</w:t>
      </w:r>
      <w:r>
        <w:rPr>
          <w:spacing w:val="-6"/>
          <w:sz w:val="20"/>
        </w:rPr>
        <w:t> </w:t>
      </w:r>
      <w:r>
        <w:rPr>
          <w:sz w:val="20"/>
        </w:rPr>
        <w:t>significantly</w:t>
      </w:r>
      <w:r>
        <w:rPr>
          <w:spacing w:val="-6"/>
          <w:sz w:val="20"/>
        </w:rPr>
        <w:t> </w:t>
      </w:r>
      <w:r>
        <w:rPr>
          <w:sz w:val="20"/>
        </w:rPr>
        <w:t>higher</w:t>
      </w:r>
      <w:r>
        <w:rPr>
          <w:spacing w:val="-6"/>
          <w:sz w:val="20"/>
        </w:rPr>
        <w:t> </w:t>
      </w:r>
      <w:r>
        <w:rPr>
          <w:sz w:val="20"/>
        </w:rPr>
        <w:t>for</w:t>
      </w:r>
      <w:r>
        <w:rPr>
          <w:spacing w:val="-6"/>
          <w:sz w:val="20"/>
        </w:rPr>
        <w:t> </w:t>
      </w:r>
      <w:r>
        <w:rPr>
          <w:sz w:val="20"/>
        </w:rPr>
        <w:t>near</w:t>
      </w:r>
      <w:r>
        <w:rPr>
          <w:spacing w:val="-6"/>
          <w:sz w:val="20"/>
        </w:rPr>
        <w:t> </w:t>
      </w:r>
      <w:r>
        <w:rPr>
          <w:sz w:val="20"/>
        </w:rPr>
        <w:t>insolvent</w:t>
      </w:r>
      <w:r>
        <w:rPr>
          <w:spacing w:val="-6"/>
          <w:sz w:val="20"/>
        </w:rPr>
        <w:t> </w:t>
      </w:r>
      <w:r>
        <w:rPr>
          <w:sz w:val="20"/>
        </w:rPr>
        <w:t>Delaware</w:t>
      </w:r>
      <w:r>
        <w:rPr>
          <w:spacing w:val="-6"/>
          <w:sz w:val="20"/>
        </w:rPr>
        <w:t> </w:t>
      </w:r>
      <w:r>
        <w:rPr>
          <w:sz w:val="20"/>
        </w:rPr>
        <w:t>firms</w:t>
      </w:r>
    </w:p>
    <w:p>
      <w:pPr>
        <w:pStyle w:val="BodyText"/>
        <w:spacing w:before="11"/>
        <w:rPr>
          <w:sz w:val="26"/>
        </w:rPr>
      </w:pPr>
      <w:r>
        <w:rPr/>
        <w:pict>
          <v:line style="position:absolute;mso-position-horizontal-relative:page;mso-position-vertical-relative:paragraph;z-index:6880;mso-wrap-distance-left:0;mso-wrap-distance-right:0" from="72.125999pt,18.993696pt" to="107.999999pt,18.993696pt" stroked="true" strokeweight=".504pt" strokecolor="#000000">
            <v:stroke dashstyle="solid"/>
            <w10:wrap type="topAndBottom"/>
          </v:line>
        </w:pict>
      </w:r>
    </w:p>
    <w:p>
      <w:pPr>
        <w:spacing w:line="237" w:lineRule="auto" w:before="74"/>
        <w:ind w:left="98" w:right="518" w:firstLine="179"/>
        <w:jc w:val="right"/>
        <w:rPr>
          <w:sz w:val="16"/>
        </w:rPr>
      </w:pPr>
      <w:r>
        <w:rPr>
          <w:color w:val="231F20"/>
          <w:position w:val="6"/>
          <w:sz w:val="12"/>
        </w:rPr>
        <w:t>29 </w:t>
      </w:r>
      <w:r>
        <w:rPr>
          <w:color w:val="231F20"/>
          <w:sz w:val="16"/>
        </w:rPr>
        <w:t>Recent research, however, disputes that notion and shows that even after covenants are</w:t>
      </w:r>
      <w:r>
        <w:rPr>
          <w:color w:val="231F20"/>
          <w:w w:val="102"/>
          <w:sz w:val="16"/>
        </w:rPr>
        <w:t> </w:t>
      </w:r>
      <w:r>
        <w:rPr>
          <w:color w:val="231F20"/>
          <w:sz w:val="16"/>
        </w:rPr>
        <w:t>violated firms adopt more accounting conservatism (Wang, Xie, and Xin [2011], Tan [2013]).</w:t>
      </w:r>
      <w:r>
        <w:rPr>
          <w:color w:val="231F20"/>
          <w:w w:val="112"/>
          <w:sz w:val="16"/>
        </w:rPr>
        <w:t> </w:t>
      </w:r>
      <w:r>
        <w:rPr>
          <w:color w:val="231F20"/>
          <w:position w:val="6"/>
          <w:sz w:val="12"/>
        </w:rPr>
        <w:t>30 </w:t>
      </w:r>
      <w:r>
        <w:rPr>
          <w:color w:val="231F20"/>
          <w:sz w:val="16"/>
        </w:rPr>
        <w:t>To keep the hand collection effort reasonable and representative, we randomly select</w:t>
      </w:r>
      <w:r>
        <w:rPr>
          <w:color w:val="231F20"/>
          <w:w w:val="101"/>
          <w:sz w:val="16"/>
        </w:rPr>
        <w:t> </w:t>
      </w:r>
      <w:r>
        <w:rPr>
          <w:color w:val="231F20"/>
          <w:sz w:val="16"/>
        </w:rPr>
        <w:t>10% of both treatment and control samples to obtain 271 firms (30 treatment and 241 con-</w:t>
      </w:r>
      <w:r>
        <w:rPr>
          <w:color w:val="231F20"/>
          <w:w w:val="97"/>
          <w:sz w:val="16"/>
        </w:rPr>
        <w:t> </w:t>
      </w:r>
      <w:r>
        <w:rPr>
          <w:color w:val="231F20"/>
          <w:sz w:val="16"/>
        </w:rPr>
        <w:t>trol firms), which represent 1,807 firm-year observations across all sample years. Our hand</w:t>
      </w:r>
      <w:r>
        <w:rPr>
          <w:color w:val="231F20"/>
          <w:w w:val="98"/>
          <w:sz w:val="16"/>
        </w:rPr>
        <w:t> </w:t>
      </w:r>
      <w:r>
        <w:rPr>
          <w:color w:val="231F20"/>
          <w:sz w:val="16"/>
        </w:rPr>
        <w:t>collection yields a total of 116 covenant violations in 72 out of the 271 firms. The firm-level</w:t>
      </w:r>
      <w:r>
        <w:rPr>
          <w:color w:val="231F20"/>
          <w:w w:val="93"/>
          <w:sz w:val="16"/>
        </w:rPr>
        <w:t> </w:t>
      </w:r>
      <w:r>
        <w:rPr>
          <w:color w:val="231F20"/>
          <w:sz w:val="16"/>
        </w:rPr>
        <w:t>violation occurrence rate of 26.6% in our sample is higher than the 10–20% in Nini, Smith,</w:t>
      </w:r>
      <w:r>
        <w:rPr>
          <w:color w:val="231F20"/>
          <w:w w:val="99"/>
          <w:sz w:val="16"/>
        </w:rPr>
        <w:t> </w:t>
      </w:r>
      <w:r>
        <w:rPr>
          <w:color w:val="231F20"/>
          <w:sz w:val="16"/>
        </w:rPr>
        <w:t>and Sufi [2012], possibly due to the presentation of near insolvent firms and earlier years in</w:t>
      </w:r>
    </w:p>
    <w:p>
      <w:pPr>
        <w:spacing w:line="194" w:lineRule="exact" w:before="0"/>
        <w:ind w:left="162" w:right="0" w:firstLine="0"/>
        <w:jc w:val="left"/>
        <w:rPr>
          <w:sz w:val="16"/>
        </w:rPr>
      </w:pPr>
      <w:r>
        <w:rPr>
          <w:color w:val="231F20"/>
          <w:sz w:val="16"/>
        </w:rPr>
        <w:t>our sample.</w:t>
      </w:r>
    </w:p>
    <w:p>
      <w:pPr>
        <w:spacing w:after="0" w:line="194" w:lineRule="exact"/>
        <w:jc w:val="left"/>
        <w:rPr>
          <w:sz w:val="16"/>
        </w:rPr>
        <w:sectPr>
          <w:pgSz w:w="9720" w:h="14400"/>
          <w:pgMar w:header="1055" w:footer="0" w:top="1300" w:bottom="280" w:left="1280" w:right="1300"/>
        </w:sectPr>
      </w:pPr>
    </w:p>
    <w:p>
      <w:pPr>
        <w:pStyle w:val="BodyText"/>
        <w:tabs>
          <w:tab w:pos="1254" w:val="left" w:leader="none"/>
          <w:tab w:pos="1759" w:val="left" w:leader="none"/>
          <w:tab w:pos="2705" w:val="left" w:leader="none"/>
          <w:tab w:pos="5791" w:val="left" w:leader="none"/>
        </w:tabs>
        <w:spacing w:line="230" w:lineRule="auto" w:before="178"/>
        <w:ind w:left="532" w:right="149"/>
      </w:pPr>
      <w:r>
        <w:rPr/>
        <w:pict>
          <v:shape style="position:absolute;margin-left:141.643097pt;margin-top:81.920746pt;width:7.8pt;height:17.45pt;mso-position-horizontal-relative:page;mso-position-vertical-relative:paragraph;z-index:-6479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405.64801pt;margin-top:69.96862pt;width:7.8pt;height:17.45pt;mso-position-horizontal-relative:page;mso-position-vertical-relative:paragraph;z-index:-64768"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42.720001pt;margin-top:58.016518pt;width:70.7pt;height:17.45pt;mso-position-horizontal-relative:page;mso-position-vertical-relative:paragraph;z-index:-64744" type="#_x0000_t202" filled="false" stroked="false">
            <v:textbox inset="0,0,0,0">
              <w:txbxContent>
                <w:p>
                  <w:pPr>
                    <w:pStyle w:val="BodyText"/>
                    <w:tabs>
                      <w:tab w:pos="1258"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7.450996pt;margin-top:10.190617pt;width:91.85pt;height:17.45pt;mso-position-horizontal-relative:page;mso-position-vertical-relative:paragraph;z-index:-64624" type="#_x0000_t202" filled="false" stroked="false">
            <v:textbox inset="0,0,0,0">
              <w:txbxContent>
                <w:p>
                  <w:pPr>
                    <w:pStyle w:val="BodyText"/>
                    <w:tabs>
                      <w:tab w:pos="1451" w:val="left" w:leader="none"/>
                    </w:tabs>
                    <w:spacing w:line="247" w:lineRule="exact"/>
                    <w:rPr>
                      <w:rFonts w:ascii="Lucida Sans Unicode" w:hAnsi="Lucida Sans Unicode"/>
                    </w:rPr>
                  </w:pPr>
                  <w:r>
                    <w:rPr>
                      <w:rFonts w:ascii="Lucida Sans Unicode" w:hAnsi="Lucida Sans Unicode"/>
                    </w:rPr>
                    <w:t>=</w:t>
                  </w:r>
                  <w:r>
                    <w:rPr>
                      <w:rFonts w:ascii="Lucida Sans Unicode" w:hAnsi="Lucida Sans Unicode"/>
                      <w:spacing w:val="7"/>
                    </w:rPr>
                    <w:t> </w:t>
                  </w:r>
                  <w:r>
                    <w:rPr>
                      <w:rFonts w:ascii="Lucida Sans Unicode" w:hAnsi="Lucida Sans Unicode"/>
                    </w:rPr>
                    <w:t>−</w:t>
                    <w:tab/>
                    <w:t>=</w:t>
                  </w:r>
                  <w:r>
                    <w:rPr>
                      <w:rFonts w:ascii="Lucida Sans Unicode" w:hAnsi="Lucida Sans Unicode"/>
                      <w:spacing w:val="2"/>
                    </w:rPr>
                    <w:t> </w:t>
                  </w:r>
                  <w:r>
                    <w:rPr>
                      <w:rFonts w:ascii="Lucida Sans Unicode" w:hAnsi="Lucida Sans Unicode"/>
                    </w:rPr>
                    <w:t>−</w:t>
                  </w:r>
                </w:p>
              </w:txbxContent>
            </v:textbox>
            <w10:wrap type="none"/>
          </v:shape>
        </w:pict>
      </w:r>
      <w:r>
        <w:rPr/>
        <w:t>(</w:t>
      </w:r>
      <w:r>
        <w:rPr>
          <w:i/>
        </w:rPr>
        <w:t>ß</w:t>
      </w:r>
      <w:r>
        <w:rPr>
          <w:i/>
          <w:color w:val="231F20"/>
          <w:vertAlign w:val="subscript"/>
        </w:rPr>
        <w:t>7</w:t>
      </w:r>
      <w:r>
        <w:rPr>
          <w:i/>
          <w:color w:val="231F20"/>
          <w:vertAlign w:val="baseline"/>
        </w:rPr>
        <w:tab/>
      </w:r>
      <w:r>
        <w:rPr>
          <w:vertAlign w:val="baseline"/>
        </w:rPr>
        <w:t>0.915,</w:t>
      </w:r>
      <w:r>
        <w:rPr>
          <w:spacing w:val="11"/>
          <w:vertAlign w:val="baseline"/>
        </w:rPr>
        <w:t> </w:t>
      </w:r>
      <w:r>
        <w:rPr>
          <w:i/>
          <w:vertAlign w:val="baseline"/>
        </w:rPr>
        <w:t>t</w:t>
      </w:r>
      <w:r>
        <w:rPr>
          <w:vertAlign w:val="baseline"/>
        </w:rPr>
        <w:t>-stat</w:t>
        <w:tab/>
        <w:t>0.83), that is, the court ruling does not seem to exert</w:t>
      </w:r>
      <w:r>
        <w:rPr>
          <w:spacing w:val="-9"/>
          <w:vertAlign w:val="baseline"/>
        </w:rPr>
        <w:t> </w:t>
      </w:r>
      <w:r>
        <w:rPr>
          <w:vertAlign w:val="baseline"/>
        </w:rPr>
        <w:t>an</w:t>
      </w:r>
      <w:r>
        <w:rPr>
          <w:spacing w:val="-9"/>
          <w:vertAlign w:val="baseline"/>
        </w:rPr>
        <w:t> </w:t>
      </w:r>
      <w:r>
        <w:rPr>
          <w:vertAlign w:val="baseline"/>
        </w:rPr>
        <w:t>effect</w:t>
      </w:r>
      <w:r>
        <w:rPr>
          <w:spacing w:val="-9"/>
          <w:vertAlign w:val="baseline"/>
        </w:rPr>
        <w:t> </w:t>
      </w:r>
      <w:r>
        <w:rPr>
          <w:vertAlign w:val="baseline"/>
        </w:rPr>
        <w:t>on</w:t>
      </w:r>
      <w:r>
        <w:rPr>
          <w:spacing w:val="-9"/>
          <w:vertAlign w:val="baseline"/>
        </w:rPr>
        <w:t> </w:t>
      </w:r>
      <w:r>
        <w:rPr>
          <w:vertAlign w:val="baseline"/>
        </w:rPr>
        <w:t>covenant</w:t>
      </w:r>
      <w:r>
        <w:rPr>
          <w:spacing w:val="-9"/>
          <w:vertAlign w:val="baseline"/>
        </w:rPr>
        <w:t> </w:t>
      </w:r>
      <w:r>
        <w:rPr>
          <w:vertAlign w:val="baseline"/>
        </w:rPr>
        <w:t>violations</w:t>
      </w:r>
      <w:r>
        <w:rPr>
          <w:spacing w:val="-9"/>
          <w:vertAlign w:val="baseline"/>
        </w:rPr>
        <w:t> </w:t>
      </w:r>
      <w:r>
        <w:rPr>
          <w:vertAlign w:val="baseline"/>
        </w:rPr>
        <w:t>similar</w:t>
      </w:r>
      <w:r>
        <w:rPr>
          <w:spacing w:val="-9"/>
          <w:vertAlign w:val="baseline"/>
        </w:rPr>
        <w:t> </w:t>
      </w:r>
      <w:r>
        <w:rPr>
          <w:vertAlign w:val="baseline"/>
        </w:rPr>
        <w:t>to</w:t>
      </w:r>
      <w:r>
        <w:rPr>
          <w:spacing w:val="-9"/>
          <w:vertAlign w:val="baseline"/>
        </w:rPr>
        <w:t> </w:t>
      </w:r>
      <w:r>
        <w:rPr>
          <w:vertAlign w:val="baseline"/>
        </w:rPr>
        <w:t>its</w:t>
      </w:r>
      <w:r>
        <w:rPr>
          <w:spacing w:val="-9"/>
          <w:vertAlign w:val="baseline"/>
        </w:rPr>
        <w:t> </w:t>
      </w:r>
      <w:r>
        <w:rPr>
          <w:vertAlign w:val="baseline"/>
        </w:rPr>
        <w:t>effect</w:t>
      </w:r>
      <w:r>
        <w:rPr>
          <w:spacing w:val="-9"/>
          <w:vertAlign w:val="baseline"/>
        </w:rPr>
        <w:t> </w:t>
      </w:r>
      <w:r>
        <w:rPr>
          <w:vertAlign w:val="baseline"/>
        </w:rPr>
        <w:t>on</w:t>
      </w:r>
      <w:r>
        <w:rPr>
          <w:spacing w:val="-9"/>
          <w:vertAlign w:val="baseline"/>
        </w:rPr>
        <w:t> </w:t>
      </w:r>
      <w:r>
        <w:rPr>
          <w:vertAlign w:val="baseline"/>
        </w:rPr>
        <w:t>conservatism. In our analyses of this hand-collected subsample, summarized in panel B of online appendix table A12, the main results still hold either including a control variable for covenant violations (column</w:t>
      </w:r>
      <w:r>
        <w:rPr>
          <w:spacing w:val="42"/>
          <w:vertAlign w:val="baseline"/>
        </w:rPr>
        <w:t> </w:t>
      </w:r>
      <w:r>
        <w:rPr>
          <w:vertAlign w:val="baseline"/>
        </w:rPr>
        <w:t>(i):</w:t>
      </w:r>
      <w:r>
        <w:rPr>
          <w:spacing w:val="5"/>
          <w:vertAlign w:val="baseline"/>
        </w:rPr>
        <w:t> </w:t>
      </w:r>
      <w:r>
        <w:rPr>
          <w:i/>
          <w:vertAlign w:val="baseline"/>
        </w:rPr>
        <w:t>ß</w:t>
      </w:r>
      <w:r>
        <w:rPr>
          <w:i/>
          <w:color w:val="231F20"/>
          <w:vertAlign w:val="subscript"/>
        </w:rPr>
        <w:t>7</w:t>
      </w:r>
      <w:r>
        <w:rPr>
          <w:i/>
          <w:color w:val="231F20"/>
          <w:vertAlign w:val="baseline"/>
        </w:rPr>
        <w:tab/>
      </w:r>
      <w:r>
        <w:rPr>
          <w:vertAlign w:val="baseline"/>
        </w:rPr>
        <w:t>0.778, </w:t>
      </w:r>
      <w:r>
        <w:rPr>
          <w:i/>
          <w:vertAlign w:val="baseline"/>
        </w:rPr>
        <w:t>t</w:t>
      </w:r>
      <w:r>
        <w:rPr>
          <w:vertAlign w:val="baseline"/>
        </w:rPr>
        <w:t>-stat 2.19) or dropping the covenant violation observations (column (ii): </w:t>
      </w:r>
      <w:r>
        <w:rPr>
          <w:i/>
          <w:vertAlign w:val="baseline"/>
        </w:rPr>
        <w:t>ß</w:t>
      </w:r>
      <w:r>
        <w:rPr>
          <w:i/>
          <w:color w:val="231F20"/>
          <w:vertAlign w:val="subscript"/>
        </w:rPr>
        <w:t>7</w:t>
      </w:r>
      <w:r>
        <w:rPr>
          <w:i/>
          <w:color w:val="231F20"/>
          <w:vertAlign w:val="baseline"/>
        </w:rPr>
        <w:t> </w:t>
      </w:r>
      <w:r>
        <w:rPr>
          <w:vertAlign w:val="baseline"/>
        </w:rPr>
        <w:t>0.691,</w:t>
      </w:r>
      <w:r>
        <w:rPr>
          <w:spacing w:val="-9"/>
          <w:vertAlign w:val="baseline"/>
        </w:rPr>
        <w:t> </w:t>
      </w:r>
      <w:r>
        <w:rPr>
          <w:i/>
          <w:vertAlign w:val="baseline"/>
        </w:rPr>
        <w:t>t</w:t>
      </w:r>
      <w:r>
        <w:rPr>
          <w:vertAlign w:val="baseline"/>
        </w:rPr>
        <w:t>-stat</w:t>
        <w:tab/>
        <w:t>1.82).</w:t>
      </w:r>
    </w:p>
    <w:p>
      <w:pPr>
        <w:pStyle w:val="BodyText"/>
        <w:spacing w:line="230" w:lineRule="auto" w:before="4"/>
        <w:ind w:left="532" w:right="149" w:firstLine="199"/>
        <w:jc w:val="both"/>
      </w:pPr>
      <w:r>
        <w:rPr/>
        <w:pict>
          <v:shape style="position:absolute;margin-left:139.194pt;margin-top:97.132744pt;width:68.9pt;height:17.45pt;mso-position-horizontal-relative:page;mso-position-vertical-relative:paragraph;z-index:-64720" type="#_x0000_t202" filled="false" stroked="false">
            <v:textbox inset="0,0,0,0">
              <w:txbxContent>
                <w:p>
                  <w:pPr>
                    <w:pStyle w:val="BodyText"/>
                    <w:tabs>
                      <w:tab w:pos="1221"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In addition, while near insolvency does not necessarily lead to bankruptcy, voluntary filings for bankruptcy (chapters 7 or 11) or court- initiated</w:t>
      </w:r>
      <w:r>
        <w:rPr>
          <w:spacing w:val="-15"/>
        </w:rPr>
        <w:t> </w:t>
      </w:r>
      <w:r>
        <w:rPr/>
        <w:t>bankruptcy</w:t>
      </w:r>
      <w:r>
        <w:rPr>
          <w:spacing w:val="-15"/>
        </w:rPr>
        <w:t> </w:t>
      </w:r>
      <w:r>
        <w:rPr/>
        <w:t>proceedings</w:t>
      </w:r>
      <w:r>
        <w:rPr>
          <w:spacing w:val="-15"/>
        </w:rPr>
        <w:t> </w:t>
      </w:r>
      <w:r>
        <w:rPr/>
        <w:t>could</w:t>
      </w:r>
      <w:r>
        <w:rPr>
          <w:spacing w:val="-15"/>
        </w:rPr>
        <w:t> </w:t>
      </w:r>
      <w:r>
        <w:rPr/>
        <w:t>require</w:t>
      </w:r>
      <w:r>
        <w:rPr>
          <w:spacing w:val="-15"/>
        </w:rPr>
        <w:t> </w:t>
      </w:r>
      <w:r>
        <w:rPr/>
        <w:t>firms</w:t>
      </w:r>
      <w:r>
        <w:rPr>
          <w:spacing w:val="-15"/>
        </w:rPr>
        <w:t> </w:t>
      </w:r>
      <w:r>
        <w:rPr/>
        <w:t>to</w:t>
      </w:r>
      <w:r>
        <w:rPr>
          <w:spacing w:val="-15"/>
        </w:rPr>
        <w:t> </w:t>
      </w:r>
      <w:r>
        <w:rPr/>
        <w:t>follow</w:t>
      </w:r>
      <w:r>
        <w:rPr>
          <w:spacing w:val="-15"/>
        </w:rPr>
        <w:t> </w:t>
      </w:r>
      <w:r>
        <w:rPr/>
        <w:t>liquidation basis</w:t>
      </w:r>
      <w:r>
        <w:rPr>
          <w:spacing w:val="-8"/>
        </w:rPr>
        <w:t> </w:t>
      </w:r>
      <w:r>
        <w:rPr/>
        <w:t>of</w:t>
      </w:r>
      <w:r>
        <w:rPr>
          <w:spacing w:val="-8"/>
        </w:rPr>
        <w:t> </w:t>
      </w:r>
      <w:r>
        <w:rPr/>
        <w:t>accounting,</w:t>
      </w:r>
      <w:r>
        <w:rPr>
          <w:spacing w:val="-8"/>
        </w:rPr>
        <w:t> </w:t>
      </w:r>
      <w:r>
        <w:rPr/>
        <w:t>which</w:t>
      </w:r>
      <w:r>
        <w:rPr>
          <w:spacing w:val="-8"/>
        </w:rPr>
        <w:t> </w:t>
      </w:r>
      <w:r>
        <w:rPr/>
        <w:t>may</w:t>
      </w:r>
      <w:r>
        <w:rPr>
          <w:spacing w:val="-8"/>
        </w:rPr>
        <w:t> </w:t>
      </w:r>
      <w:r>
        <w:rPr/>
        <w:t>be</w:t>
      </w:r>
      <w:r>
        <w:rPr>
          <w:spacing w:val="-8"/>
        </w:rPr>
        <w:t> </w:t>
      </w:r>
      <w:r>
        <w:rPr/>
        <w:t>correlated</w:t>
      </w:r>
      <w:r>
        <w:rPr>
          <w:spacing w:val="-8"/>
        </w:rPr>
        <w:t> </w:t>
      </w:r>
      <w:r>
        <w:rPr/>
        <w:t>with</w:t>
      </w:r>
      <w:r>
        <w:rPr>
          <w:spacing w:val="-8"/>
        </w:rPr>
        <w:t> </w:t>
      </w:r>
      <w:r>
        <w:rPr/>
        <w:t>our</w:t>
      </w:r>
      <w:r>
        <w:rPr>
          <w:spacing w:val="-8"/>
        </w:rPr>
        <w:t> </w:t>
      </w:r>
      <w:r>
        <w:rPr/>
        <w:t>conservatism</w:t>
      </w:r>
      <w:r>
        <w:rPr>
          <w:spacing w:val="-8"/>
        </w:rPr>
        <w:t> </w:t>
      </w:r>
      <w:r>
        <w:rPr/>
        <w:t>mea- sure.</w:t>
      </w:r>
      <w:r>
        <w:rPr>
          <w:spacing w:val="-17"/>
        </w:rPr>
        <w:t> </w:t>
      </w:r>
      <w:r>
        <w:rPr/>
        <w:t>Following</w:t>
      </w:r>
      <w:r>
        <w:rPr>
          <w:spacing w:val="-17"/>
        </w:rPr>
        <w:t> </w:t>
      </w:r>
      <w:r>
        <w:rPr/>
        <w:t>Shumway</w:t>
      </w:r>
      <w:r>
        <w:rPr>
          <w:spacing w:val="-17"/>
        </w:rPr>
        <w:t> </w:t>
      </w:r>
      <w:r>
        <w:rPr/>
        <w:t>[1997],</w:t>
      </w:r>
      <w:r>
        <w:rPr>
          <w:spacing w:val="-17"/>
        </w:rPr>
        <w:t> </w:t>
      </w:r>
      <w:r>
        <w:rPr/>
        <w:t>we</w:t>
      </w:r>
      <w:r>
        <w:rPr>
          <w:spacing w:val="-17"/>
        </w:rPr>
        <w:t> </w:t>
      </w:r>
      <w:r>
        <w:rPr/>
        <w:t>identify</w:t>
      </w:r>
      <w:r>
        <w:rPr>
          <w:spacing w:val="-17"/>
        </w:rPr>
        <w:t> </w:t>
      </w:r>
      <w:r>
        <w:rPr/>
        <w:t>six</w:t>
      </w:r>
      <w:r>
        <w:rPr>
          <w:spacing w:val="-17"/>
        </w:rPr>
        <w:t> </w:t>
      </w:r>
      <w:r>
        <w:rPr/>
        <w:t>firms</w:t>
      </w:r>
      <w:r>
        <w:rPr>
          <w:spacing w:val="-17"/>
        </w:rPr>
        <w:t> </w:t>
      </w:r>
      <w:r>
        <w:rPr/>
        <w:t>(26</w:t>
      </w:r>
      <w:r>
        <w:rPr>
          <w:spacing w:val="-17"/>
        </w:rPr>
        <w:t> </w:t>
      </w:r>
      <w:r>
        <w:rPr/>
        <w:t>firm-year</w:t>
      </w:r>
      <w:r>
        <w:rPr>
          <w:spacing w:val="-17"/>
        </w:rPr>
        <w:t> </w:t>
      </w:r>
      <w:r>
        <w:rPr/>
        <w:t>obser- vations)</w:t>
      </w:r>
      <w:r>
        <w:rPr>
          <w:spacing w:val="-11"/>
        </w:rPr>
        <w:t> </w:t>
      </w:r>
      <w:r>
        <w:rPr/>
        <w:t>that</w:t>
      </w:r>
      <w:r>
        <w:rPr>
          <w:spacing w:val="-11"/>
        </w:rPr>
        <w:t> </w:t>
      </w:r>
      <w:r>
        <w:rPr/>
        <w:t>were</w:t>
      </w:r>
      <w:r>
        <w:rPr>
          <w:spacing w:val="-11"/>
        </w:rPr>
        <w:t> </w:t>
      </w:r>
      <w:r>
        <w:rPr/>
        <w:t>delisted</w:t>
      </w:r>
      <w:r>
        <w:rPr>
          <w:spacing w:val="-11"/>
        </w:rPr>
        <w:t> </w:t>
      </w:r>
      <w:r>
        <w:rPr/>
        <w:t>due</w:t>
      </w:r>
      <w:r>
        <w:rPr>
          <w:spacing w:val="-11"/>
        </w:rPr>
        <w:t> </w:t>
      </w:r>
      <w:r>
        <w:rPr/>
        <w:t>to</w:t>
      </w:r>
      <w:r>
        <w:rPr>
          <w:spacing w:val="-11"/>
        </w:rPr>
        <w:t> </w:t>
      </w:r>
      <w:r>
        <w:rPr/>
        <w:t>bankruptcy</w:t>
      </w:r>
      <w:r>
        <w:rPr>
          <w:spacing w:val="-11"/>
        </w:rPr>
        <w:t> </w:t>
      </w:r>
      <w:r>
        <w:rPr/>
        <w:t>(CRSP</w:t>
      </w:r>
      <w:r>
        <w:rPr>
          <w:spacing w:val="-12"/>
        </w:rPr>
        <w:t> </w:t>
      </w:r>
      <w:r>
        <w:rPr/>
        <w:t>delisting</w:t>
      </w:r>
      <w:r>
        <w:rPr>
          <w:spacing w:val="-11"/>
        </w:rPr>
        <w:t> </w:t>
      </w:r>
      <w:r>
        <w:rPr/>
        <w:t>code</w:t>
      </w:r>
      <w:r>
        <w:rPr>
          <w:spacing w:val="-11"/>
        </w:rPr>
        <w:t> </w:t>
      </w:r>
      <w:r>
        <w:rPr/>
        <w:t>574)</w:t>
      </w:r>
      <w:r>
        <w:rPr>
          <w:spacing w:val="-12"/>
        </w:rPr>
        <w:t> </w:t>
      </w:r>
      <w:r>
        <w:rPr/>
        <w:t>at any time during the period 1988–1996. </w:t>
      </w:r>
      <w:r>
        <w:rPr>
          <w:spacing w:val="-6"/>
        </w:rPr>
        <w:t>We </w:t>
      </w:r>
      <w:r>
        <w:rPr/>
        <w:t>still obtain results in line with our</w:t>
      </w:r>
      <w:r>
        <w:rPr>
          <w:spacing w:val="-31"/>
        </w:rPr>
        <w:t> </w:t>
      </w:r>
      <w:r>
        <w:rPr/>
        <w:t>hypothesis</w:t>
      </w:r>
      <w:r>
        <w:rPr>
          <w:spacing w:val="-31"/>
        </w:rPr>
        <w:t> </w:t>
      </w:r>
      <w:r>
        <w:rPr/>
        <w:t>when</w:t>
      </w:r>
      <w:r>
        <w:rPr>
          <w:spacing w:val="-31"/>
        </w:rPr>
        <w:t> </w:t>
      </w:r>
      <w:r>
        <w:rPr/>
        <w:t>we</w:t>
      </w:r>
      <w:r>
        <w:rPr>
          <w:spacing w:val="-31"/>
        </w:rPr>
        <w:t> </w:t>
      </w:r>
      <w:r>
        <w:rPr/>
        <w:t>exclude</w:t>
      </w:r>
      <w:r>
        <w:rPr>
          <w:spacing w:val="-31"/>
        </w:rPr>
        <w:t> </w:t>
      </w:r>
      <w:r>
        <w:rPr/>
        <w:t>these</w:t>
      </w:r>
      <w:r>
        <w:rPr>
          <w:spacing w:val="-31"/>
        </w:rPr>
        <w:t> </w:t>
      </w:r>
      <w:r>
        <w:rPr/>
        <w:t>26</w:t>
      </w:r>
      <w:r>
        <w:rPr>
          <w:spacing w:val="-31"/>
        </w:rPr>
        <w:t> </w:t>
      </w:r>
      <w:r>
        <w:rPr/>
        <w:t>bankruptcy</w:t>
      </w:r>
      <w:r>
        <w:rPr>
          <w:spacing w:val="-31"/>
        </w:rPr>
        <w:t> </w:t>
      </w:r>
      <w:r>
        <w:rPr/>
        <w:t>observations</w:t>
      </w:r>
      <w:r>
        <w:rPr>
          <w:spacing w:val="-31"/>
        </w:rPr>
        <w:t> </w:t>
      </w:r>
      <w:r>
        <w:rPr/>
        <w:t>from</w:t>
      </w:r>
      <w:r>
        <w:rPr>
          <w:spacing w:val="-31"/>
        </w:rPr>
        <w:t> </w:t>
      </w:r>
      <w:r>
        <w:rPr/>
        <w:t>our sample (</w:t>
      </w:r>
      <w:r>
        <w:rPr>
          <w:i/>
        </w:rPr>
        <w:t>ß</w:t>
      </w:r>
      <w:r>
        <w:rPr>
          <w:i/>
          <w:color w:val="231F20"/>
          <w:vertAlign w:val="subscript"/>
        </w:rPr>
        <w:t>7</w:t>
      </w:r>
      <w:r>
        <w:rPr>
          <w:i/>
          <w:color w:val="231F20"/>
          <w:vertAlign w:val="baseline"/>
        </w:rPr>
        <w:t> </w:t>
      </w:r>
      <w:r>
        <w:rPr>
          <w:vertAlign w:val="baseline"/>
        </w:rPr>
        <w:t>0.483, </w:t>
      </w:r>
      <w:r>
        <w:rPr>
          <w:i/>
          <w:vertAlign w:val="baseline"/>
        </w:rPr>
        <w:t>t</w:t>
      </w:r>
      <w:r>
        <w:rPr>
          <w:vertAlign w:val="baseline"/>
        </w:rPr>
        <w:t>-stat 3.77). These results are summarized in</w:t>
      </w:r>
      <w:r>
        <w:rPr>
          <w:spacing w:val="-4"/>
          <w:vertAlign w:val="baseline"/>
        </w:rPr>
        <w:t> </w:t>
      </w:r>
      <w:r>
        <w:rPr>
          <w:vertAlign w:val="baseline"/>
        </w:rPr>
        <w:t>column</w:t>
      </w:r>
    </w:p>
    <w:p>
      <w:pPr>
        <w:pStyle w:val="BodyText"/>
        <w:spacing w:line="245" w:lineRule="exact"/>
        <w:ind w:left="532"/>
      </w:pPr>
      <w:r>
        <w:rPr/>
        <w:t>(iii) of panel B in online appendix table A12.</w:t>
      </w:r>
    </w:p>
    <w:p>
      <w:pPr>
        <w:pStyle w:val="BodyText"/>
        <w:spacing w:before="1"/>
        <w:rPr>
          <w:sz w:val="19"/>
        </w:rPr>
      </w:pPr>
    </w:p>
    <w:p>
      <w:pPr>
        <w:pStyle w:val="ListParagraph"/>
        <w:numPr>
          <w:ilvl w:val="2"/>
          <w:numId w:val="5"/>
        </w:numPr>
        <w:tabs>
          <w:tab w:pos="1310" w:val="left" w:leader="none"/>
        </w:tabs>
        <w:spacing w:line="230" w:lineRule="auto" w:before="0" w:after="0"/>
        <w:ind w:left="532" w:right="149" w:firstLine="199"/>
        <w:jc w:val="both"/>
        <w:rPr>
          <w:sz w:val="20"/>
        </w:rPr>
      </w:pPr>
      <w:r>
        <w:rPr/>
        <w:pict>
          <v:shape style="position:absolute;margin-left:313.077026pt;margin-top:120.836945pt;width:65.3pt;height:17.45pt;mso-position-horizontal-relative:page;mso-position-vertical-relative:paragraph;z-index:-64696" type="#_x0000_t202" filled="false" stroked="false">
            <v:textbox inset="0,0,0,0">
              <w:txbxContent>
                <w:p>
                  <w:pPr>
                    <w:pStyle w:val="BodyText"/>
                    <w:tabs>
                      <w:tab w:pos="630" w:val="left" w:leader="none"/>
                      <w:tab w:pos="1149" w:val="left" w:leader="none"/>
                    </w:tabs>
                    <w:spacing w:line="247" w:lineRule="exact"/>
                    <w:rPr>
                      <w:rFonts w:ascii="Lucida Sans Unicode" w:hAnsi="Lucida Sans Unicode"/>
                    </w:rPr>
                  </w:pPr>
                  <w:r>
                    <w:rPr>
                      <w:rFonts w:ascii="Lucida Sans Unicode" w:hAnsi="Lucida Sans Unicode"/>
                    </w:rPr>
                    <w:t>×</w:t>
                    <w:tab/>
                    <w:t>×</w:t>
                    <w:tab/>
                  </w:r>
                  <w:r>
                    <w:rPr>
                      <w:rFonts w:ascii="Lucida Sans Unicode" w:hAnsi="Lucida Sans Unicode"/>
                      <w:w w:val="95"/>
                    </w:rPr>
                    <w:t>×</w:t>
                  </w:r>
                </w:p>
              </w:txbxContent>
            </v:textbox>
            <w10:wrap type="none"/>
          </v:shape>
        </w:pict>
      </w:r>
      <w:r>
        <w:rPr/>
        <w:pict>
          <v:shape style="position:absolute;margin-left:240.632996pt;margin-top:108.884819pt;width:71.6pt;height:17.45pt;mso-position-horizontal-relative:page;mso-position-vertical-relative:paragraph;z-index:-64672" type="#_x0000_t202" filled="false" stroked="false">
            <v:textbox inset="0,0,0,0">
              <w:txbxContent>
                <w:p>
                  <w:pPr>
                    <w:pStyle w:val="BodyText"/>
                    <w:tabs>
                      <w:tab w:pos="1275"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329.527466pt;margin-top:96.925056pt;width:33.8pt;height:17.45pt;mso-position-horizontal-relative:page;mso-position-vertical-relative:paragraph;z-index:-64648" type="#_x0000_t202" filled="false" stroked="false">
            <v:textbox inset="0,0,0,0">
              <w:txbxContent>
                <w:p>
                  <w:pPr>
                    <w:pStyle w:val="BodyText"/>
                    <w:tabs>
                      <w:tab w:pos="518" w:val="left" w:leader="none"/>
                    </w:tabs>
                    <w:spacing w:line="247"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i/>
          <w:sz w:val="20"/>
        </w:rPr>
        <w:t>Other Stakeholders. </w:t>
      </w:r>
      <w:r>
        <w:rPr>
          <w:sz w:val="20"/>
        </w:rPr>
        <w:t>Our results could be driven by the influence of auditors, as opposed to debtholders, on accounting conservatism. Prior studies show that firms audited by Big-N auditors have higher reporting conservatism and better earnings quality (Francis and Krish- nan [1999], Francis, Maydew, and Sparks [1999]). </w:t>
      </w:r>
      <w:r>
        <w:rPr>
          <w:spacing w:val="-9"/>
          <w:sz w:val="20"/>
        </w:rPr>
        <w:t>To </w:t>
      </w:r>
      <w:r>
        <w:rPr>
          <w:sz w:val="20"/>
        </w:rPr>
        <w:t>rule out this confounding</w:t>
      </w:r>
      <w:r>
        <w:rPr>
          <w:spacing w:val="-15"/>
          <w:sz w:val="20"/>
        </w:rPr>
        <w:t> </w:t>
      </w:r>
      <w:r>
        <w:rPr>
          <w:spacing w:val="-3"/>
          <w:sz w:val="20"/>
        </w:rPr>
        <w:t>factor,</w:t>
      </w:r>
      <w:r>
        <w:rPr>
          <w:spacing w:val="-15"/>
          <w:sz w:val="20"/>
        </w:rPr>
        <w:t> </w:t>
      </w:r>
      <w:r>
        <w:rPr>
          <w:sz w:val="20"/>
        </w:rPr>
        <w:t>we</w:t>
      </w:r>
      <w:r>
        <w:rPr>
          <w:spacing w:val="-15"/>
          <w:sz w:val="20"/>
        </w:rPr>
        <w:t> </w:t>
      </w:r>
      <w:r>
        <w:rPr>
          <w:sz w:val="20"/>
        </w:rPr>
        <w:t>regress</w:t>
      </w:r>
      <w:r>
        <w:rPr>
          <w:spacing w:val="-15"/>
          <w:sz w:val="20"/>
        </w:rPr>
        <w:t> </w:t>
      </w:r>
      <w:r>
        <w:rPr>
          <w:sz w:val="20"/>
        </w:rPr>
        <w:t>conservatism</w:t>
      </w:r>
      <w:r>
        <w:rPr>
          <w:spacing w:val="-15"/>
          <w:sz w:val="20"/>
        </w:rPr>
        <w:t> </w:t>
      </w:r>
      <w:r>
        <w:rPr>
          <w:sz w:val="20"/>
        </w:rPr>
        <w:t>ranks</w:t>
      </w:r>
      <w:r>
        <w:rPr>
          <w:spacing w:val="-15"/>
          <w:sz w:val="20"/>
        </w:rPr>
        <w:t> </w:t>
      </w:r>
      <w:r>
        <w:rPr>
          <w:sz w:val="20"/>
        </w:rPr>
        <w:t>on</w:t>
      </w:r>
      <w:r>
        <w:rPr>
          <w:spacing w:val="-15"/>
          <w:sz w:val="20"/>
        </w:rPr>
        <w:t> </w:t>
      </w:r>
      <w:r>
        <w:rPr>
          <w:sz w:val="20"/>
        </w:rPr>
        <w:t>a</w:t>
      </w:r>
      <w:r>
        <w:rPr>
          <w:spacing w:val="-15"/>
          <w:sz w:val="20"/>
        </w:rPr>
        <w:t> </w:t>
      </w:r>
      <w:r>
        <w:rPr>
          <w:sz w:val="20"/>
        </w:rPr>
        <w:t>dichotomous</w:t>
      </w:r>
      <w:r>
        <w:rPr>
          <w:spacing w:val="-15"/>
          <w:sz w:val="20"/>
        </w:rPr>
        <w:t> </w:t>
      </w:r>
      <w:r>
        <w:rPr>
          <w:sz w:val="20"/>
        </w:rPr>
        <w:t>vari- able</w:t>
      </w:r>
      <w:r>
        <w:rPr>
          <w:spacing w:val="-5"/>
          <w:sz w:val="20"/>
        </w:rPr>
        <w:t> </w:t>
      </w:r>
      <w:r>
        <w:rPr>
          <w:i/>
          <w:sz w:val="20"/>
        </w:rPr>
        <w:t>BIGN</w:t>
      </w:r>
      <w:r>
        <w:rPr>
          <w:i/>
          <w:spacing w:val="-5"/>
          <w:sz w:val="20"/>
        </w:rPr>
        <w:t> </w:t>
      </w:r>
      <w:r>
        <w:rPr>
          <w:sz w:val="20"/>
        </w:rPr>
        <w:t>(equal</w:t>
      </w:r>
      <w:r>
        <w:rPr>
          <w:spacing w:val="-5"/>
          <w:sz w:val="20"/>
        </w:rPr>
        <w:t> </w:t>
      </w:r>
      <w:r>
        <w:rPr>
          <w:sz w:val="20"/>
        </w:rPr>
        <w:t>to</w:t>
      </w:r>
      <w:r>
        <w:rPr>
          <w:spacing w:val="-5"/>
          <w:sz w:val="20"/>
        </w:rPr>
        <w:t> </w:t>
      </w:r>
      <w:r>
        <w:rPr>
          <w:sz w:val="20"/>
        </w:rPr>
        <w:t>one</w:t>
      </w:r>
      <w:r>
        <w:rPr>
          <w:spacing w:val="-5"/>
          <w:sz w:val="20"/>
        </w:rPr>
        <w:t> </w:t>
      </w:r>
      <w:r>
        <w:rPr>
          <w:sz w:val="20"/>
        </w:rPr>
        <w:t>if</w:t>
      </w:r>
      <w:r>
        <w:rPr>
          <w:spacing w:val="-5"/>
          <w:sz w:val="20"/>
        </w:rPr>
        <w:t> </w:t>
      </w:r>
      <w:r>
        <w:rPr>
          <w:sz w:val="20"/>
        </w:rPr>
        <w:t>the</w:t>
      </w:r>
      <w:r>
        <w:rPr>
          <w:spacing w:val="-5"/>
          <w:sz w:val="20"/>
        </w:rPr>
        <w:t> </w:t>
      </w:r>
      <w:r>
        <w:rPr>
          <w:sz w:val="20"/>
        </w:rPr>
        <w:t>firm</w:t>
      </w:r>
      <w:r>
        <w:rPr>
          <w:spacing w:val="-5"/>
          <w:sz w:val="20"/>
        </w:rPr>
        <w:t> </w:t>
      </w:r>
      <w:r>
        <w:rPr>
          <w:sz w:val="20"/>
        </w:rPr>
        <w:t>is</w:t>
      </w:r>
      <w:r>
        <w:rPr>
          <w:spacing w:val="-5"/>
          <w:sz w:val="20"/>
        </w:rPr>
        <w:t> </w:t>
      </w:r>
      <w:r>
        <w:rPr>
          <w:sz w:val="20"/>
        </w:rPr>
        <w:t>audited</w:t>
      </w:r>
      <w:r>
        <w:rPr>
          <w:spacing w:val="-5"/>
          <w:sz w:val="20"/>
        </w:rPr>
        <w:t> </w:t>
      </w:r>
      <w:r>
        <w:rPr>
          <w:sz w:val="20"/>
        </w:rPr>
        <w:t>by</w:t>
      </w:r>
      <w:r>
        <w:rPr>
          <w:spacing w:val="-5"/>
          <w:sz w:val="20"/>
        </w:rPr>
        <w:t> </w:t>
      </w:r>
      <w:r>
        <w:rPr>
          <w:sz w:val="20"/>
        </w:rPr>
        <w:t>a</w:t>
      </w:r>
      <w:r>
        <w:rPr>
          <w:spacing w:val="-5"/>
          <w:sz w:val="20"/>
        </w:rPr>
        <w:t> </w:t>
      </w:r>
      <w:r>
        <w:rPr>
          <w:sz w:val="20"/>
        </w:rPr>
        <w:t>Big-N</w:t>
      </w:r>
      <w:r>
        <w:rPr>
          <w:spacing w:val="-5"/>
          <w:sz w:val="20"/>
        </w:rPr>
        <w:t> </w:t>
      </w:r>
      <w:r>
        <w:rPr>
          <w:sz w:val="20"/>
        </w:rPr>
        <w:t>auditor</w:t>
      </w:r>
      <w:r>
        <w:rPr>
          <w:spacing w:val="-5"/>
          <w:sz w:val="20"/>
        </w:rPr>
        <w:t> </w:t>
      </w:r>
      <w:r>
        <w:rPr>
          <w:sz w:val="20"/>
        </w:rPr>
        <w:t>and</w:t>
      </w:r>
      <w:r>
        <w:rPr>
          <w:spacing w:val="-5"/>
          <w:sz w:val="20"/>
        </w:rPr>
        <w:t> </w:t>
      </w:r>
      <w:r>
        <w:rPr>
          <w:sz w:val="20"/>
        </w:rPr>
        <w:t>zero otherwise)</w:t>
      </w:r>
      <w:r>
        <w:rPr>
          <w:spacing w:val="-28"/>
          <w:sz w:val="20"/>
        </w:rPr>
        <w:t> </w:t>
      </w:r>
      <w:r>
        <w:rPr>
          <w:sz w:val="20"/>
        </w:rPr>
        <w:t>and</w:t>
      </w:r>
      <w:r>
        <w:rPr>
          <w:spacing w:val="-27"/>
          <w:sz w:val="20"/>
        </w:rPr>
        <w:t> </w:t>
      </w:r>
      <w:r>
        <w:rPr>
          <w:sz w:val="20"/>
        </w:rPr>
        <w:t>its</w:t>
      </w:r>
      <w:r>
        <w:rPr>
          <w:spacing w:val="-28"/>
          <w:sz w:val="20"/>
        </w:rPr>
        <w:t> </w:t>
      </w:r>
      <w:r>
        <w:rPr>
          <w:sz w:val="20"/>
        </w:rPr>
        <w:t>interactions</w:t>
      </w:r>
      <w:r>
        <w:rPr>
          <w:spacing w:val="-27"/>
          <w:sz w:val="20"/>
        </w:rPr>
        <w:t> </w:t>
      </w:r>
      <w:r>
        <w:rPr>
          <w:sz w:val="20"/>
        </w:rPr>
        <w:t>with</w:t>
      </w:r>
      <w:r>
        <w:rPr>
          <w:spacing w:val="-28"/>
          <w:sz w:val="20"/>
        </w:rPr>
        <w:t> </w:t>
      </w:r>
      <w:r>
        <w:rPr>
          <w:sz w:val="20"/>
        </w:rPr>
        <w:t>the</w:t>
      </w:r>
      <w:r>
        <w:rPr>
          <w:spacing w:val="-27"/>
          <w:sz w:val="20"/>
        </w:rPr>
        <w:t> </w:t>
      </w:r>
      <w:r>
        <w:rPr>
          <w:sz w:val="20"/>
        </w:rPr>
        <w:t>seven</w:t>
      </w:r>
      <w:r>
        <w:rPr>
          <w:spacing w:val="-28"/>
          <w:sz w:val="20"/>
        </w:rPr>
        <w:t> </w:t>
      </w:r>
      <w:r>
        <w:rPr>
          <w:sz w:val="20"/>
        </w:rPr>
        <w:t>ruling-related</w:t>
      </w:r>
      <w:r>
        <w:rPr>
          <w:spacing w:val="-27"/>
          <w:sz w:val="20"/>
        </w:rPr>
        <w:t> </w:t>
      </w:r>
      <w:r>
        <w:rPr>
          <w:sz w:val="20"/>
        </w:rPr>
        <w:t>variables</w:t>
      </w:r>
      <w:r>
        <w:rPr>
          <w:spacing w:val="-27"/>
          <w:sz w:val="20"/>
        </w:rPr>
        <w:t> </w:t>
      </w:r>
      <w:r>
        <w:rPr>
          <w:sz w:val="20"/>
        </w:rPr>
        <w:t>in</w:t>
      </w:r>
      <w:r>
        <w:rPr>
          <w:spacing w:val="-28"/>
          <w:sz w:val="20"/>
        </w:rPr>
        <w:t> </w:t>
      </w:r>
      <w:r>
        <w:rPr>
          <w:sz w:val="20"/>
        </w:rPr>
        <w:t>ad- dition to the other controls. The coefficient on </w:t>
      </w:r>
      <w:r>
        <w:rPr>
          <w:i/>
          <w:sz w:val="20"/>
        </w:rPr>
        <w:t>POST DEL HEDF93 </w:t>
      </w:r>
      <w:r>
        <w:rPr>
          <w:sz w:val="20"/>
        </w:rPr>
        <w:t>re- mains positive and significant (</w:t>
      </w:r>
      <w:r>
        <w:rPr>
          <w:i/>
          <w:sz w:val="20"/>
        </w:rPr>
        <w:t>ß</w:t>
      </w:r>
      <w:r>
        <w:rPr>
          <w:i/>
          <w:color w:val="231F20"/>
          <w:sz w:val="20"/>
          <w:vertAlign w:val="subscript"/>
        </w:rPr>
        <w:t>7</w:t>
      </w:r>
      <w:r>
        <w:rPr>
          <w:i/>
          <w:color w:val="231F20"/>
          <w:sz w:val="20"/>
          <w:vertAlign w:val="baseline"/>
        </w:rPr>
        <w:t>   </w:t>
      </w:r>
      <w:r>
        <w:rPr>
          <w:sz w:val="20"/>
          <w:vertAlign w:val="baseline"/>
        </w:rPr>
        <w:t>0.322, </w:t>
      </w:r>
      <w:r>
        <w:rPr>
          <w:i/>
          <w:sz w:val="20"/>
          <w:vertAlign w:val="baseline"/>
        </w:rPr>
        <w:t>t</w:t>
      </w:r>
      <w:r>
        <w:rPr>
          <w:sz w:val="20"/>
          <w:vertAlign w:val="baseline"/>
        </w:rPr>
        <w:t>-stat   1.69) after controlling  for</w:t>
      </w:r>
      <w:r>
        <w:rPr>
          <w:spacing w:val="-19"/>
          <w:sz w:val="20"/>
          <w:vertAlign w:val="baseline"/>
        </w:rPr>
        <w:t> </w:t>
      </w:r>
      <w:r>
        <w:rPr>
          <w:sz w:val="20"/>
          <w:vertAlign w:val="baseline"/>
        </w:rPr>
        <w:t>the</w:t>
      </w:r>
      <w:r>
        <w:rPr>
          <w:spacing w:val="-19"/>
          <w:sz w:val="20"/>
          <w:vertAlign w:val="baseline"/>
        </w:rPr>
        <w:t> </w:t>
      </w:r>
      <w:r>
        <w:rPr>
          <w:sz w:val="20"/>
          <w:vertAlign w:val="baseline"/>
        </w:rPr>
        <w:t>Big-N</w:t>
      </w:r>
      <w:r>
        <w:rPr>
          <w:spacing w:val="-19"/>
          <w:sz w:val="20"/>
          <w:vertAlign w:val="baseline"/>
        </w:rPr>
        <w:t> </w:t>
      </w:r>
      <w:r>
        <w:rPr>
          <w:sz w:val="20"/>
          <w:vertAlign w:val="baseline"/>
        </w:rPr>
        <w:t>auditors</w:t>
      </w:r>
      <w:r>
        <w:rPr>
          <w:spacing w:val="-19"/>
          <w:sz w:val="20"/>
          <w:vertAlign w:val="baseline"/>
        </w:rPr>
        <w:t> </w:t>
      </w:r>
      <w:r>
        <w:rPr>
          <w:sz w:val="20"/>
          <w:vertAlign w:val="baseline"/>
        </w:rPr>
        <w:t>effect,</w:t>
      </w:r>
      <w:r>
        <w:rPr>
          <w:spacing w:val="-19"/>
          <w:sz w:val="20"/>
          <w:vertAlign w:val="baseline"/>
        </w:rPr>
        <w:t> </w:t>
      </w:r>
      <w:r>
        <w:rPr>
          <w:sz w:val="20"/>
          <w:vertAlign w:val="baseline"/>
        </w:rPr>
        <w:t>while</w:t>
      </w:r>
      <w:r>
        <w:rPr>
          <w:spacing w:val="-19"/>
          <w:sz w:val="20"/>
          <w:vertAlign w:val="baseline"/>
        </w:rPr>
        <w:t> </w:t>
      </w:r>
      <w:r>
        <w:rPr>
          <w:sz w:val="20"/>
          <w:vertAlign w:val="baseline"/>
        </w:rPr>
        <w:t>the</w:t>
      </w:r>
      <w:r>
        <w:rPr>
          <w:spacing w:val="-19"/>
          <w:sz w:val="20"/>
          <w:vertAlign w:val="baseline"/>
        </w:rPr>
        <w:t> </w:t>
      </w:r>
      <w:r>
        <w:rPr>
          <w:sz w:val="20"/>
          <w:vertAlign w:val="baseline"/>
        </w:rPr>
        <w:t>sign</w:t>
      </w:r>
      <w:r>
        <w:rPr>
          <w:spacing w:val="-19"/>
          <w:sz w:val="20"/>
          <w:vertAlign w:val="baseline"/>
        </w:rPr>
        <w:t> </w:t>
      </w:r>
      <w:r>
        <w:rPr>
          <w:sz w:val="20"/>
          <w:vertAlign w:val="baseline"/>
        </w:rPr>
        <w:t>on</w:t>
      </w:r>
      <w:r>
        <w:rPr>
          <w:spacing w:val="-19"/>
          <w:sz w:val="20"/>
          <w:vertAlign w:val="baseline"/>
        </w:rPr>
        <w:t> </w:t>
      </w:r>
      <w:r>
        <w:rPr>
          <w:i/>
          <w:sz w:val="20"/>
          <w:vertAlign w:val="baseline"/>
        </w:rPr>
        <w:t>BIGN</w:t>
      </w:r>
      <w:r>
        <w:rPr>
          <w:i/>
          <w:spacing w:val="12"/>
          <w:sz w:val="20"/>
          <w:vertAlign w:val="baseline"/>
        </w:rPr>
        <w:t> </w:t>
      </w:r>
      <w:r>
        <w:rPr>
          <w:i/>
          <w:sz w:val="20"/>
          <w:vertAlign w:val="baseline"/>
        </w:rPr>
        <w:t>POST</w:t>
      </w:r>
      <w:r>
        <w:rPr>
          <w:i/>
          <w:spacing w:val="12"/>
          <w:sz w:val="20"/>
          <w:vertAlign w:val="baseline"/>
        </w:rPr>
        <w:t> </w:t>
      </w:r>
      <w:r>
        <w:rPr>
          <w:i/>
          <w:sz w:val="20"/>
          <w:vertAlign w:val="baseline"/>
        </w:rPr>
        <w:t>DEL</w:t>
      </w:r>
      <w:r>
        <w:rPr>
          <w:i/>
          <w:spacing w:val="12"/>
          <w:sz w:val="20"/>
          <w:vertAlign w:val="baseline"/>
        </w:rPr>
        <w:t> </w:t>
      </w:r>
      <w:r>
        <w:rPr>
          <w:i/>
          <w:sz w:val="20"/>
          <w:vertAlign w:val="baseline"/>
        </w:rPr>
        <w:t>HEDF93 </w:t>
      </w:r>
      <w:r>
        <w:rPr>
          <w:sz w:val="20"/>
          <w:vertAlign w:val="baseline"/>
        </w:rPr>
        <w:t>is not significant (see online appendix table A13, panel</w:t>
      </w:r>
      <w:r>
        <w:rPr>
          <w:spacing w:val="-14"/>
          <w:sz w:val="20"/>
          <w:vertAlign w:val="baseline"/>
        </w:rPr>
        <w:t> </w:t>
      </w:r>
      <w:r>
        <w:rPr>
          <w:sz w:val="20"/>
          <w:vertAlign w:val="baseline"/>
        </w:rPr>
        <w:t>A).</w:t>
      </w:r>
    </w:p>
    <w:p>
      <w:pPr>
        <w:pStyle w:val="BodyText"/>
        <w:spacing w:line="230" w:lineRule="auto" w:before="6"/>
        <w:ind w:left="532" w:right="148" w:firstLine="199"/>
        <w:jc w:val="both"/>
      </w:pPr>
      <w:r>
        <w:rPr/>
        <w:t>Furthermore, our results could be driven by CEO/CFOs’ influence on accounting</w:t>
      </w:r>
      <w:r>
        <w:rPr>
          <w:spacing w:val="-21"/>
        </w:rPr>
        <w:t> </w:t>
      </w:r>
      <w:r>
        <w:rPr/>
        <w:t>quality</w:t>
      </w:r>
      <w:r>
        <w:rPr>
          <w:spacing w:val="-21"/>
        </w:rPr>
        <w:t> </w:t>
      </w:r>
      <w:r>
        <w:rPr/>
        <w:t>since</w:t>
      </w:r>
      <w:r>
        <w:rPr>
          <w:spacing w:val="-21"/>
        </w:rPr>
        <w:t> </w:t>
      </w:r>
      <w:r>
        <w:rPr/>
        <w:t>higher</w:t>
      </w:r>
      <w:r>
        <w:rPr>
          <w:spacing w:val="-21"/>
        </w:rPr>
        <w:t> </w:t>
      </w:r>
      <w:r>
        <w:rPr/>
        <w:t>managerial</w:t>
      </w:r>
      <w:r>
        <w:rPr>
          <w:spacing w:val="-21"/>
        </w:rPr>
        <w:t> </w:t>
      </w:r>
      <w:r>
        <w:rPr/>
        <w:t>ownership</w:t>
      </w:r>
      <w:r>
        <w:rPr>
          <w:spacing w:val="-21"/>
        </w:rPr>
        <w:t> </w:t>
      </w:r>
      <w:r>
        <w:rPr/>
        <w:t>mitigates</w:t>
      </w:r>
      <w:r>
        <w:rPr>
          <w:spacing w:val="-21"/>
        </w:rPr>
        <w:t> </w:t>
      </w:r>
      <w:r>
        <w:rPr/>
        <w:t>the</w:t>
      </w:r>
      <w:r>
        <w:rPr>
          <w:spacing w:val="-21"/>
        </w:rPr>
        <w:t> </w:t>
      </w:r>
      <w:r>
        <w:rPr/>
        <w:t>sever- ity</w:t>
      </w:r>
      <w:r>
        <w:rPr>
          <w:spacing w:val="-12"/>
        </w:rPr>
        <w:t> </w:t>
      </w:r>
      <w:r>
        <w:rPr/>
        <w:t>of</w:t>
      </w:r>
      <w:r>
        <w:rPr>
          <w:spacing w:val="-12"/>
        </w:rPr>
        <w:t> </w:t>
      </w:r>
      <w:r>
        <w:rPr/>
        <w:t>the</w:t>
      </w:r>
      <w:r>
        <w:rPr>
          <w:spacing w:val="-12"/>
        </w:rPr>
        <w:t> </w:t>
      </w:r>
      <w:r>
        <w:rPr/>
        <w:t>agency</w:t>
      </w:r>
      <w:r>
        <w:rPr>
          <w:spacing w:val="-12"/>
        </w:rPr>
        <w:t> </w:t>
      </w:r>
      <w:r>
        <w:rPr/>
        <w:t>problems</w:t>
      </w:r>
      <w:r>
        <w:rPr>
          <w:spacing w:val="-12"/>
        </w:rPr>
        <w:t> </w:t>
      </w:r>
      <w:r>
        <w:rPr/>
        <w:t>and</w:t>
      </w:r>
      <w:r>
        <w:rPr>
          <w:spacing w:val="-12"/>
        </w:rPr>
        <w:t> </w:t>
      </w:r>
      <w:r>
        <w:rPr/>
        <w:t>thus</w:t>
      </w:r>
      <w:r>
        <w:rPr>
          <w:spacing w:val="-12"/>
        </w:rPr>
        <w:t> </w:t>
      </w:r>
      <w:r>
        <w:rPr/>
        <w:t>reduces</w:t>
      </w:r>
      <w:r>
        <w:rPr>
          <w:spacing w:val="-12"/>
        </w:rPr>
        <w:t> </w:t>
      </w:r>
      <w:r>
        <w:rPr/>
        <w:t>the</w:t>
      </w:r>
      <w:r>
        <w:rPr>
          <w:spacing w:val="-12"/>
        </w:rPr>
        <w:t> </w:t>
      </w:r>
      <w:r>
        <w:rPr/>
        <w:t>demand</w:t>
      </w:r>
      <w:r>
        <w:rPr>
          <w:spacing w:val="-12"/>
        </w:rPr>
        <w:t> </w:t>
      </w:r>
      <w:r>
        <w:rPr/>
        <w:t>for</w:t>
      </w:r>
      <w:r>
        <w:rPr>
          <w:spacing w:val="-12"/>
        </w:rPr>
        <w:t> </w:t>
      </w:r>
      <w:r>
        <w:rPr/>
        <w:t>conservatism (LaFond and Roychowdhury [2008]). </w:t>
      </w:r>
      <w:r>
        <w:rPr>
          <w:spacing w:val="-9"/>
        </w:rPr>
        <w:t>To </w:t>
      </w:r>
      <w:r>
        <w:rPr/>
        <w:t>address this concern, we con- duct a post-ruling analysis (since Execucomp data are unavailable for</w:t>
      </w:r>
      <w:r>
        <w:rPr>
          <w:spacing w:val="-12"/>
        </w:rPr>
        <w:t> </w:t>
      </w:r>
      <w:r>
        <w:rPr/>
        <w:t>the pre-ruling period) similar to model (2) with </w:t>
      </w:r>
      <w:r>
        <w:rPr>
          <w:i/>
        </w:rPr>
        <w:t>BSCORE </w:t>
      </w:r>
      <w:r>
        <w:rPr/>
        <w:t>replaced by the CEO/CFO ownership percentage, </w:t>
      </w:r>
      <w:r>
        <w:rPr>
          <w:i/>
        </w:rPr>
        <w:t>EXEOWN</w:t>
      </w:r>
      <w:r>
        <w:rPr/>
        <w:t>. As presented in panel B of online</w:t>
      </w:r>
      <w:r>
        <w:rPr>
          <w:spacing w:val="20"/>
        </w:rPr>
        <w:t> </w:t>
      </w:r>
      <w:r>
        <w:rPr/>
        <w:t>appendix</w:t>
      </w:r>
      <w:r>
        <w:rPr>
          <w:spacing w:val="20"/>
        </w:rPr>
        <w:t> </w:t>
      </w:r>
      <w:r>
        <w:rPr/>
        <w:t>table</w:t>
      </w:r>
      <w:r>
        <w:rPr>
          <w:spacing w:val="20"/>
        </w:rPr>
        <w:t> </w:t>
      </w:r>
      <w:r>
        <w:rPr/>
        <w:t>A13,</w:t>
      </w:r>
      <w:r>
        <w:rPr>
          <w:spacing w:val="20"/>
        </w:rPr>
        <w:t> </w:t>
      </w:r>
      <w:r>
        <w:rPr/>
        <w:t>after</w:t>
      </w:r>
      <w:r>
        <w:rPr>
          <w:spacing w:val="20"/>
        </w:rPr>
        <w:t> </w:t>
      </w:r>
      <w:r>
        <w:rPr/>
        <w:t>controlling</w:t>
      </w:r>
      <w:r>
        <w:rPr>
          <w:spacing w:val="20"/>
        </w:rPr>
        <w:t> </w:t>
      </w:r>
      <w:r>
        <w:rPr/>
        <w:t>for</w:t>
      </w:r>
      <w:r>
        <w:rPr>
          <w:spacing w:val="20"/>
        </w:rPr>
        <w:t> </w:t>
      </w:r>
      <w:r>
        <w:rPr/>
        <w:t>the</w:t>
      </w:r>
      <w:r>
        <w:rPr>
          <w:spacing w:val="20"/>
        </w:rPr>
        <w:t> </w:t>
      </w:r>
      <w:r>
        <w:rPr/>
        <w:t>effect</w:t>
      </w:r>
      <w:r>
        <w:rPr>
          <w:spacing w:val="20"/>
        </w:rPr>
        <w:t> </w:t>
      </w:r>
      <w:r>
        <w:rPr/>
        <w:t>of</w:t>
      </w:r>
      <w:r>
        <w:rPr>
          <w:spacing w:val="20"/>
        </w:rPr>
        <w:t> </w:t>
      </w:r>
      <w:r>
        <w:rPr/>
        <w:t>CEO/CFO</w:t>
      </w:r>
    </w:p>
    <w:p>
      <w:pPr>
        <w:pStyle w:val="BodyText"/>
        <w:spacing w:line="187" w:lineRule="auto" w:before="17"/>
        <w:ind w:left="532"/>
      </w:pPr>
      <w:r>
        <w:rPr>
          <w:w w:val="95"/>
        </w:rPr>
        <w:t>ownership, the main variable of interest </w:t>
      </w:r>
      <w:r>
        <w:rPr>
          <w:i/>
          <w:w w:val="95"/>
        </w:rPr>
        <w:t>DEL</w:t>
      </w:r>
      <w:r>
        <w:rPr>
          <w:rFonts w:ascii="Lucida Sans Unicode" w:hAnsi="Lucida Sans Unicode"/>
          <w:w w:val="95"/>
        </w:rPr>
        <w:t>×</w:t>
      </w:r>
      <w:r>
        <w:rPr>
          <w:i/>
          <w:w w:val="95"/>
        </w:rPr>
        <w:t>HEDF93 </w:t>
      </w:r>
      <w:r>
        <w:rPr>
          <w:w w:val="95"/>
        </w:rPr>
        <w:t>remains significantly </w:t>
      </w:r>
      <w:r>
        <w:rPr/>
        <w:t>positive (</w:t>
      </w:r>
      <w:r>
        <w:rPr>
          <w:i/>
        </w:rPr>
        <w:t>ß</w:t>
      </w:r>
      <w:r>
        <w:rPr>
          <w:i/>
          <w:color w:val="231F20"/>
          <w:vertAlign w:val="subscript"/>
        </w:rPr>
        <w:t>3</w:t>
      </w:r>
      <w:r>
        <w:rPr>
          <w:i/>
          <w:color w:val="231F20"/>
          <w:vertAlign w:val="baseline"/>
        </w:rPr>
        <w:t> </w:t>
      </w:r>
      <w:r>
        <w:rPr>
          <w:rFonts w:ascii="Lucida Sans Unicode" w:hAnsi="Lucida Sans Unicode"/>
          <w:vertAlign w:val="baseline"/>
        </w:rPr>
        <w:t>= </w:t>
      </w:r>
      <w:r>
        <w:rPr>
          <w:vertAlign w:val="baseline"/>
        </w:rPr>
        <w:t>1.282, </w:t>
      </w:r>
      <w:r>
        <w:rPr>
          <w:i/>
          <w:vertAlign w:val="baseline"/>
        </w:rPr>
        <w:t>t</w:t>
      </w:r>
      <w:r>
        <w:rPr>
          <w:vertAlign w:val="baseline"/>
        </w:rPr>
        <w:t>-stat </w:t>
      </w:r>
      <w:r>
        <w:rPr>
          <w:rFonts w:ascii="Lucida Sans Unicode" w:hAnsi="Lucida Sans Unicode"/>
          <w:vertAlign w:val="baseline"/>
        </w:rPr>
        <w:t>= </w:t>
      </w:r>
      <w:r>
        <w:rPr>
          <w:vertAlign w:val="baseline"/>
        </w:rPr>
        <w:t>2.86) in the full model.</w:t>
      </w:r>
    </w:p>
    <w:p>
      <w:pPr>
        <w:pStyle w:val="ListParagraph"/>
        <w:numPr>
          <w:ilvl w:val="2"/>
          <w:numId w:val="5"/>
        </w:numPr>
        <w:tabs>
          <w:tab w:pos="1310" w:val="left" w:leader="none"/>
        </w:tabs>
        <w:spacing w:line="230" w:lineRule="auto" w:before="225" w:after="0"/>
        <w:ind w:left="532" w:right="149" w:firstLine="199"/>
        <w:jc w:val="both"/>
        <w:rPr>
          <w:sz w:val="20"/>
        </w:rPr>
      </w:pPr>
      <w:r>
        <w:rPr>
          <w:i/>
          <w:sz w:val="20"/>
        </w:rPr>
        <w:t>Tax-Related</w:t>
      </w:r>
      <w:r>
        <w:rPr>
          <w:i/>
          <w:spacing w:val="-31"/>
          <w:sz w:val="20"/>
        </w:rPr>
        <w:t> </w:t>
      </w:r>
      <w:r>
        <w:rPr>
          <w:i/>
          <w:sz w:val="20"/>
        </w:rPr>
        <w:t>Incentives.</w:t>
      </w:r>
      <w:r>
        <w:rPr>
          <w:i/>
          <w:spacing w:val="-9"/>
          <w:sz w:val="20"/>
        </w:rPr>
        <w:t> </w:t>
      </w:r>
      <w:r>
        <w:rPr>
          <w:sz w:val="20"/>
        </w:rPr>
        <w:t>Firms</w:t>
      </w:r>
      <w:r>
        <w:rPr>
          <w:spacing w:val="-32"/>
          <w:sz w:val="20"/>
        </w:rPr>
        <w:t> </w:t>
      </w:r>
      <w:r>
        <w:rPr>
          <w:sz w:val="20"/>
        </w:rPr>
        <w:t>may</w:t>
      </w:r>
      <w:r>
        <w:rPr>
          <w:spacing w:val="-32"/>
          <w:sz w:val="20"/>
        </w:rPr>
        <w:t> </w:t>
      </w:r>
      <w:r>
        <w:rPr>
          <w:sz w:val="20"/>
        </w:rPr>
        <w:t>adopt</w:t>
      </w:r>
      <w:r>
        <w:rPr>
          <w:spacing w:val="-32"/>
          <w:sz w:val="20"/>
        </w:rPr>
        <w:t> </w:t>
      </w:r>
      <w:r>
        <w:rPr>
          <w:sz w:val="20"/>
        </w:rPr>
        <w:t>conservatism</w:t>
      </w:r>
      <w:r>
        <w:rPr>
          <w:spacing w:val="-32"/>
          <w:sz w:val="20"/>
        </w:rPr>
        <w:t> </w:t>
      </w:r>
      <w:r>
        <w:rPr>
          <w:sz w:val="20"/>
        </w:rPr>
        <w:t>to</w:t>
      </w:r>
      <w:r>
        <w:rPr>
          <w:spacing w:val="-31"/>
          <w:sz w:val="20"/>
        </w:rPr>
        <w:t> </w:t>
      </w:r>
      <w:r>
        <w:rPr>
          <w:sz w:val="20"/>
        </w:rPr>
        <w:t>reduce</w:t>
      </w:r>
      <w:r>
        <w:rPr>
          <w:spacing w:val="-32"/>
          <w:sz w:val="20"/>
        </w:rPr>
        <w:t> </w:t>
      </w:r>
      <w:r>
        <w:rPr>
          <w:sz w:val="20"/>
        </w:rPr>
        <w:t>the present value of tax payments </w:t>
      </w:r>
      <w:r>
        <w:rPr>
          <w:spacing w:val="-2"/>
          <w:sz w:val="20"/>
        </w:rPr>
        <w:t>(Watts </w:t>
      </w:r>
      <w:r>
        <w:rPr>
          <w:sz w:val="20"/>
        </w:rPr>
        <w:t>[2003]). Similar to </w:t>
      </w:r>
      <w:r>
        <w:rPr>
          <w:spacing w:val="-3"/>
          <w:sz w:val="20"/>
        </w:rPr>
        <w:t>Beatty, </w:t>
      </w:r>
      <w:r>
        <w:rPr>
          <w:spacing w:val="-6"/>
          <w:sz w:val="20"/>
        </w:rPr>
        <w:t>Weber, </w:t>
      </w:r>
      <w:r>
        <w:rPr>
          <w:sz w:val="20"/>
        </w:rPr>
        <w:t>and </w:t>
      </w:r>
      <w:r>
        <w:rPr>
          <w:spacing w:val="-4"/>
          <w:sz w:val="20"/>
        </w:rPr>
        <w:t>Yu </w:t>
      </w:r>
      <w:r>
        <w:rPr>
          <w:sz w:val="20"/>
        </w:rPr>
        <w:t>[2008], in online appendix table A14, we control for the tax sta- tus of the firm by incorporating the simulated corporate marginal tax rate</w:t>
      </w:r>
      <w:r>
        <w:rPr>
          <w:spacing w:val="25"/>
          <w:sz w:val="20"/>
        </w:rPr>
        <w:t> </w:t>
      </w:r>
      <w:r>
        <w:rPr>
          <w:sz w:val="20"/>
        </w:rPr>
        <w:t>of</w:t>
      </w:r>
      <w:r>
        <w:rPr>
          <w:spacing w:val="25"/>
          <w:sz w:val="20"/>
        </w:rPr>
        <w:t> </w:t>
      </w:r>
      <w:r>
        <w:rPr>
          <w:sz w:val="20"/>
        </w:rPr>
        <w:t>the</w:t>
      </w:r>
      <w:r>
        <w:rPr>
          <w:spacing w:val="25"/>
          <w:sz w:val="20"/>
        </w:rPr>
        <w:t> </w:t>
      </w:r>
      <w:r>
        <w:rPr>
          <w:sz w:val="20"/>
        </w:rPr>
        <w:t>prior</w:t>
      </w:r>
      <w:r>
        <w:rPr>
          <w:spacing w:val="25"/>
          <w:sz w:val="20"/>
        </w:rPr>
        <w:t> </w:t>
      </w:r>
      <w:r>
        <w:rPr>
          <w:sz w:val="20"/>
        </w:rPr>
        <w:t>year</w:t>
      </w:r>
      <w:r>
        <w:rPr>
          <w:spacing w:val="25"/>
          <w:sz w:val="20"/>
        </w:rPr>
        <w:t> </w:t>
      </w:r>
      <w:r>
        <w:rPr>
          <w:sz w:val="20"/>
        </w:rPr>
        <w:t>based</w:t>
      </w:r>
      <w:r>
        <w:rPr>
          <w:spacing w:val="25"/>
          <w:sz w:val="20"/>
        </w:rPr>
        <w:t> </w:t>
      </w:r>
      <w:r>
        <w:rPr>
          <w:sz w:val="20"/>
        </w:rPr>
        <w:t>on</w:t>
      </w:r>
      <w:r>
        <w:rPr>
          <w:spacing w:val="25"/>
          <w:sz w:val="20"/>
        </w:rPr>
        <w:t> </w:t>
      </w:r>
      <w:r>
        <w:rPr>
          <w:sz w:val="20"/>
        </w:rPr>
        <w:t>income</w:t>
      </w:r>
      <w:r>
        <w:rPr>
          <w:spacing w:val="25"/>
          <w:sz w:val="20"/>
        </w:rPr>
        <w:t> </w:t>
      </w:r>
      <w:r>
        <w:rPr>
          <w:sz w:val="20"/>
        </w:rPr>
        <w:t>after</w:t>
      </w:r>
      <w:r>
        <w:rPr>
          <w:spacing w:val="25"/>
          <w:sz w:val="20"/>
        </w:rPr>
        <w:t> </w:t>
      </w:r>
      <w:r>
        <w:rPr>
          <w:sz w:val="20"/>
        </w:rPr>
        <w:t>interest</w:t>
      </w:r>
      <w:r>
        <w:rPr>
          <w:spacing w:val="25"/>
          <w:sz w:val="20"/>
        </w:rPr>
        <w:t> </w:t>
      </w:r>
      <w:r>
        <w:rPr>
          <w:sz w:val="20"/>
        </w:rPr>
        <w:t>expense</w:t>
      </w:r>
      <w:r>
        <w:rPr>
          <w:spacing w:val="25"/>
          <w:sz w:val="20"/>
        </w:rPr>
        <w:t> </w:t>
      </w:r>
      <w:r>
        <w:rPr>
          <w:sz w:val="20"/>
        </w:rPr>
        <w:t>has</w:t>
      </w:r>
      <w:r>
        <w:rPr>
          <w:spacing w:val="25"/>
          <w:sz w:val="20"/>
        </w:rPr>
        <w:t> </w:t>
      </w:r>
      <w:r>
        <w:rPr>
          <w:sz w:val="20"/>
        </w:rPr>
        <w:t>been</w:t>
      </w:r>
    </w:p>
    <w:p>
      <w:pPr>
        <w:spacing w:after="0" w:line="230" w:lineRule="auto"/>
        <w:jc w:val="both"/>
        <w:rPr>
          <w:sz w:val="20"/>
        </w:rPr>
        <w:sectPr>
          <w:headerReference w:type="default" r:id="rId24"/>
          <w:headerReference w:type="even" r:id="rId25"/>
          <w:pgSz w:w="9720" w:h="14400"/>
          <w:pgMar w:header="1055" w:footer="0" w:top="1300" w:bottom="280" w:left="1280" w:right="1300"/>
        </w:sectPr>
      </w:pPr>
    </w:p>
    <w:p>
      <w:pPr>
        <w:pStyle w:val="BodyText"/>
        <w:spacing w:line="230" w:lineRule="auto" w:before="194"/>
        <w:ind w:left="162" w:right="519"/>
        <w:jc w:val="both"/>
      </w:pPr>
      <w:r>
        <w:rPr/>
        <w:pict>
          <v:shape style="position:absolute;margin-left:111.32148pt;margin-top:35.513012pt;width:145.950pt;height:17.45pt;mso-position-horizontal-relative:page;mso-position-vertical-relative:paragraph;z-index:-64576" type="#_x0000_t202" filled="false" stroked="false">
            <v:textbox inset="0,0,0,0">
              <w:txbxContent>
                <w:p>
                  <w:pPr>
                    <w:pStyle w:val="BodyText"/>
                    <w:tabs>
                      <w:tab w:pos="518" w:val="left" w:leader="none"/>
                      <w:tab w:pos="1455" w:val="left" w:leader="none"/>
                      <w:tab w:pos="2763"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t>deducted.</w:t>
      </w:r>
      <w:r>
        <w:rPr>
          <w:color w:val="231F20"/>
          <w:position w:val="7"/>
          <w:sz w:val="14"/>
        </w:rPr>
        <w:t>31 </w:t>
      </w:r>
      <w:r>
        <w:rPr/>
        <w:t>We follow Graham and Mills [2008] to fill in missing values. Our main results remain similar to those reported in table 4 (coefficient on </w:t>
      </w:r>
      <w:r>
        <w:rPr>
          <w:i/>
        </w:rPr>
        <w:t>POST DEL HEDF93 </w:t>
      </w:r>
      <w:r>
        <w:rPr/>
        <w:t>0.829, </w:t>
      </w:r>
      <w:r>
        <w:rPr>
          <w:i/>
        </w:rPr>
        <w:t>t</w:t>
      </w:r>
      <w:r>
        <w:rPr/>
        <w:t>-stat 4.64) after controlling for the tax-related incentives.</w:t>
      </w:r>
    </w:p>
    <w:p>
      <w:pPr>
        <w:pStyle w:val="ListParagraph"/>
        <w:numPr>
          <w:ilvl w:val="1"/>
          <w:numId w:val="5"/>
        </w:numPr>
        <w:tabs>
          <w:tab w:pos="540" w:val="left" w:leader="none"/>
        </w:tabs>
        <w:spacing w:line="240" w:lineRule="auto" w:before="163" w:after="0"/>
        <w:ind w:left="539" w:right="0" w:hanging="377"/>
        <w:jc w:val="left"/>
        <w:rPr>
          <w:sz w:val="21"/>
        </w:rPr>
      </w:pPr>
      <w:r>
        <w:rPr>
          <w:w w:val="105"/>
          <w:sz w:val="16"/>
        </w:rPr>
        <w:t>CONTROLLING FOR FIRM</w:t>
      </w:r>
      <w:r>
        <w:rPr>
          <w:spacing w:val="31"/>
          <w:w w:val="105"/>
          <w:sz w:val="16"/>
        </w:rPr>
        <w:t> </w:t>
      </w:r>
      <w:r>
        <w:rPr>
          <w:w w:val="105"/>
          <w:sz w:val="16"/>
        </w:rPr>
        <w:t>PERFORMANCE</w:t>
      </w:r>
    </w:p>
    <w:p>
      <w:pPr>
        <w:pStyle w:val="BodyText"/>
        <w:spacing w:line="230" w:lineRule="auto" w:before="75"/>
        <w:ind w:left="162" w:right="519" w:firstLine="199"/>
        <w:jc w:val="both"/>
      </w:pPr>
      <w:r>
        <w:rPr/>
        <w:t>To rule out the concern that the differential change in conservatism be- tween treatment and control groups may be driven by the confounding changes in firm performance, as opposed to the court ruling, we conduct the following tests.</w:t>
      </w:r>
    </w:p>
    <w:p>
      <w:pPr>
        <w:pStyle w:val="ListParagraph"/>
        <w:numPr>
          <w:ilvl w:val="2"/>
          <w:numId w:val="5"/>
        </w:numPr>
        <w:tabs>
          <w:tab w:pos="940" w:val="left" w:leader="none"/>
        </w:tabs>
        <w:spacing w:line="230" w:lineRule="auto" w:before="154" w:after="0"/>
        <w:ind w:left="162" w:right="519" w:firstLine="199"/>
        <w:jc w:val="both"/>
        <w:rPr>
          <w:sz w:val="20"/>
        </w:rPr>
      </w:pPr>
      <w:r>
        <w:rPr/>
        <w:pict>
          <v:shape style="position:absolute;margin-left:110.006203pt;margin-top:116.586174pt;width:140.7pt;height:17.45pt;mso-position-horizontal-relative:page;mso-position-vertical-relative:paragraph;z-index:-64552" type="#_x0000_t202" filled="false" stroked="false">
            <v:textbox inset="0,0,0,0">
              <w:txbxContent>
                <w:p>
                  <w:pPr>
                    <w:pStyle w:val="BodyText"/>
                    <w:tabs>
                      <w:tab w:pos="518" w:val="left" w:leader="none"/>
                      <w:tab w:pos="1428" w:val="left" w:leader="none"/>
                      <w:tab w:pos="2658"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i/>
          <w:sz w:val="20"/>
        </w:rPr>
        <w:t>Sample</w:t>
      </w:r>
      <w:r>
        <w:rPr>
          <w:i/>
          <w:spacing w:val="-27"/>
          <w:sz w:val="20"/>
        </w:rPr>
        <w:t> </w:t>
      </w:r>
      <w:r>
        <w:rPr>
          <w:i/>
          <w:sz w:val="20"/>
        </w:rPr>
        <w:t>Matched</w:t>
      </w:r>
      <w:r>
        <w:rPr>
          <w:i/>
          <w:spacing w:val="-27"/>
          <w:sz w:val="20"/>
        </w:rPr>
        <w:t> </w:t>
      </w:r>
      <w:r>
        <w:rPr>
          <w:i/>
          <w:sz w:val="20"/>
        </w:rPr>
        <w:t>on</w:t>
      </w:r>
      <w:r>
        <w:rPr>
          <w:i/>
          <w:spacing w:val="-27"/>
          <w:sz w:val="20"/>
        </w:rPr>
        <w:t> </w:t>
      </w:r>
      <w:r>
        <w:rPr>
          <w:i/>
          <w:sz w:val="20"/>
        </w:rPr>
        <w:t>Accounting</w:t>
      </w:r>
      <w:r>
        <w:rPr>
          <w:i/>
          <w:spacing w:val="-27"/>
          <w:sz w:val="20"/>
        </w:rPr>
        <w:t> </w:t>
      </w:r>
      <w:r>
        <w:rPr>
          <w:i/>
          <w:sz w:val="20"/>
        </w:rPr>
        <w:t>Performance.</w:t>
      </w:r>
      <w:r>
        <w:rPr>
          <w:i/>
          <w:spacing w:val="-11"/>
          <w:sz w:val="20"/>
        </w:rPr>
        <w:t> </w:t>
      </w:r>
      <w:r>
        <w:rPr>
          <w:sz w:val="20"/>
        </w:rPr>
        <w:t>An</w:t>
      </w:r>
      <w:r>
        <w:rPr>
          <w:spacing w:val="-27"/>
          <w:sz w:val="20"/>
        </w:rPr>
        <w:t> </w:t>
      </w:r>
      <w:r>
        <w:rPr>
          <w:sz w:val="20"/>
        </w:rPr>
        <w:t>alternative</w:t>
      </w:r>
      <w:r>
        <w:rPr>
          <w:spacing w:val="-27"/>
          <w:sz w:val="20"/>
        </w:rPr>
        <w:t> </w:t>
      </w:r>
      <w:r>
        <w:rPr>
          <w:sz w:val="20"/>
        </w:rPr>
        <w:t>explana- tion for our results could be that near insolvent Delaware firms in the sample have experienced stronger performance deteriorations than near insolvent non-Delaware firms. </w:t>
      </w:r>
      <w:r>
        <w:rPr>
          <w:spacing w:val="-9"/>
          <w:sz w:val="20"/>
        </w:rPr>
        <w:t>To </w:t>
      </w:r>
      <w:r>
        <w:rPr>
          <w:sz w:val="20"/>
        </w:rPr>
        <w:t>rule out this concern, we perform a matched</w:t>
      </w:r>
      <w:r>
        <w:rPr>
          <w:spacing w:val="-6"/>
          <w:sz w:val="20"/>
        </w:rPr>
        <w:t> </w:t>
      </w:r>
      <w:r>
        <w:rPr>
          <w:sz w:val="20"/>
        </w:rPr>
        <w:t>sample</w:t>
      </w:r>
      <w:r>
        <w:rPr>
          <w:spacing w:val="-6"/>
          <w:sz w:val="20"/>
        </w:rPr>
        <w:t> </w:t>
      </w:r>
      <w:r>
        <w:rPr>
          <w:sz w:val="20"/>
        </w:rPr>
        <w:t>analysis,</w:t>
      </w:r>
      <w:r>
        <w:rPr>
          <w:spacing w:val="-6"/>
          <w:sz w:val="20"/>
        </w:rPr>
        <w:t> </w:t>
      </w:r>
      <w:r>
        <w:rPr>
          <w:sz w:val="20"/>
        </w:rPr>
        <w:t>whereby</w:t>
      </w:r>
      <w:r>
        <w:rPr>
          <w:spacing w:val="-6"/>
          <w:sz w:val="20"/>
        </w:rPr>
        <w:t> </w:t>
      </w:r>
      <w:r>
        <w:rPr>
          <w:sz w:val="20"/>
        </w:rPr>
        <w:t>we</w:t>
      </w:r>
      <w:r>
        <w:rPr>
          <w:spacing w:val="-6"/>
          <w:sz w:val="20"/>
        </w:rPr>
        <w:t> </w:t>
      </w:r>
      <w:r>
        <w:rPr>
          <w:sz w:val="20"/>
        </w:rPr>
        <w:t>match</w:t>
      </w:r>
      <w:r>
        <w:rPr>
          <w:spacing w:val="-6"/>
          <w:sz w:val="20"/>
        </w:rPr>
        <w:t> </w:t>
      </w:r>
      <w:r>
        <w:rPr>
          <w:sz w:val="20"/>
        </w:rPr>
        <w:t>every</w:t>
      </w:r>
      <w:r>
        <w:rPr>
          <w:spacing w:val="-6"/>
          <w:sz w:val="20"/>
        </w:rPr>
        <w:t> </w:t>
      </w:r>
      <w:r>
        <w:rPr>
          <w:sz w:val="20"/>
        </w:rPr>
        <w:t>Delaware</w:t>
      </w:r>
      <w:r>
        <w:rPr>
          <w:spacing w:val="-6"/>
          <w:sz w:val="20"/>
        </w:rPr>
        <w:t> </w:t>
      </w:r>
      <w:r>
        <w:rPr>
          <w:sz w:val="20"/>
        </w:rPr>
        <w:t>firm</w:t>
      </w:r>
      <w:r>
        <w:rPr>
          <w:spacing w:val="-6"/>
          <w:sz w:val="20"/>
        </w:rPr>
        <w:t> </w:t>
      </w:r>
      <w:r>
        <w:rPr>
          <w:sz w:val="20"/>
        </w:rPr>
        <w:t>with</w:t>
      </w:r>
      <w:r>
        <w:rPr>
          <w:spacing w:val="-6"/>
          <w:sz w:val="20"/>
        </w:rPr>
        <w:t> </w:t>
      </w:r>
      <w:r>
        <w:rPr>
          <w:sz w:val="20"/>
        </w:rPr>
        <w:t>a non-Delaware firm with either the closest ROA or the closest change in ROA in the same year and the same two-digit SIC industry. </w:t>
      </w:r>
      <w:r>
        <w:rPr>
          <w:spacing w:val="-6"/>
          <w:sz w:val="20"/>
        </w:rPr>
        <w:t>We </w:t>
      </w:r>
      <w:r>
        <w:rPr>
          <w:sz w:val="20"/>
        </w:rPr>
        <w:t>continue to find that near insolvent Delaware firms exhibit higher conservatism in the</w:t>
      </w:r>
      <w:r>
        <w:rPr>
          <w:spacing w:val="-12"/>
          <w:sz w:val="20"/>
        </w:rPr>
        <w:t> </w:t>
      </w:r>
      <w:r>
        <w:rPr>
          <w:sz w:val="20"/>
        </w:rPr>
        <w:t>post-ruling</w:t>
      </w:r>
      <w:r>
        <w:rPr>
          <w:spacing w:val="-12"/>
          <w:sz w:val="20"/>
        </w:rPr>
        <w:t> </w:t>
      </w:r>
      <w:r>
        <w:rPr>
          <w:sz w:val="20"/>
        </w:rPr>
        <w:t>period</w:t>
      </w:r>
      <w:r>
        <w:rPr>
          <w:spacing w:val="-12"/>
          <w:sz w:val="20"/>
        </w:rPr>
        <w:t> </w:t>
      </w:r>
      <w:r>
        <w:rPr>
          <w:sz w:val="20"/>
        </w:rPr>
        <w:t>(e.g.,</w:t>
      </w:r>
      <w:r>
        <w:rPr>
          <w:spacing w:val="-12"/>
          <w:sz w:val="20"/>
        </w:rPr>
        <w:t> </w:t>
      </w:r>
      <w:r>
        <w:rPr>
          <w:sz w:val="20"/>
        </w:rPr>
        <w:t>in</w:t>
      </w:r>
      <w:r>
        <w:rPr>
          <w:spacing w:val="-12"/>
          <w:sz w:val="20"/>
        </w:rPr>
        <w:t> </w:t>
      </w:r>
      <w:r>
        <w:rPr>
          <w:sz w:val="20"/>
        </w:rPr>
        <w:t>the</w:t>
      </w:r>
      <w:r>
        <w:rPr>
          <w:spacing w:val="-12"/>
          <w:sz w:val="20"/>
        </w:rPr>
        <w:t> </w:t>
      </w:r>
      <w:r>
        <w:rPr>
          <w:sz w:val="20"/>
        </w:rPr>
        <w:t>sample</w:t>
      </w:r>
      <w:r>
        <w:rPr>
          <w:spacing w:val="-12"/>
          <w:sz w:val="20"/>
        </w:rPr>
        <w:t> </w:t>
      </w:r>
      <w:r>
        <w:rPr>
          <w:sz w:val="20"/>
        </w:rPr>
        <w:t>matched</w:t>
      </w:r>
      <w:r>
        <w:rPr>
          <w:spacing w:val="-12"/>
          <w:sz w:val="20"/>
        </w:rPr>
        <w:t> </w:t>
      </w:r>
      <w:r>
        <w:rPr>
          <w:sz w:val="20"/>
        </w:rPr>
        <w:t>by</w:t>
      </w:r>
      <w:r>
        <w:rPr>
          <w:spacing w:val="-12"/>
          <w:sz w:val="20"/>
        </w:rPr>
        <w:t> </w:t>
      </w:r>
      <w:r>
        <w:rPr>
          <w:sz w:val="20"/>
        </w:rPr>
        <w:t>ROA,</w:t>
      </w:r>
      <w:r>
        <w:rPr>
          <w:spacing w:val="-12"/>
          <w:sz w:val="20"/>
        </w:rPr>
        <w:t> </w:t>
      </w:r>
      <w:r>
        <w:rPr>
          <w:sz w:val="20"/>
        </w:rPr>
        <w:t>the</w:t>
      </w:r>
      <w:r>
        <w:rPr>
          <w:spacing w:val="-12"/>
          <w:sz w:val="20"/>
        </w:rPr>
        <w:t> </w:t>
      </w:r>
      <w:r>
        <w:rPr>
          <w:sz w:val="20"/>
        </w:rPr>
        <w:t>coefficient on </w:t>
      </w:r>
      <w:r>
        <w:rPr>
          <w:i/>
          <w:sz w:val="20"/>
        </w:rPr>
        <w:t>POST  DEL   HEDF93   </w:t>
      </w:r>
      <w:r>
        <w:rPr>
          <w:sz w:val="20"/>
        </w:rPr>
        <w:t>0.347, </w:t>
      </w:r>
      <w:r>
        <w:rPr>
          <w:i/>
          <w:sz w:val="20"/>
        </w:rPr>
        <w:t>t</w:t>
      </w:r>
      <w:r>
        <w:rPr>
          <w:sz w:val="20"/>
        </w:rPr>
        <w:t>-stat   2.00). These results are reported in columns (i) and (ii) of panel A in the online appendix table</w:t>
      </w:r>
      <w:r>
        <w:rPr>
          <w:spacing w:val="15"/>
          <w:sz w:val="20"/>
        </w:rPr>
        <w:t> </w:t>
      </w:r>
      <w:r>
        <w:rPr>
          <w:sz w:val="20"/>
        </w:rPr>
        <w:t>A15.</w:t>
      </w:r>
    </w:p>
    <w:p>
      <w:pPr>
        <w:pStyle w:val="ListParagraph"/>
        <w:numPr>
          <w:ilvl w:val="2"/>
          <w:numId w:val="5"/>
        </w:numPr>
        <w:tabs>
          <w:tab w:pos="940" w:val="left" w:leader="none"/>
        </w:tabs>
        <w:spacing w:line="230" w:lineRule="auto" w:before="158" w:after="0"/>
        <w:ind w:left="162" w:right="519" w:firstLine="199"/>
        <w:jc w:val="both"/>
        <w:rPr>
          <w:sz w:val="20"/>
        </w:rPr>
      </w:pPr>
      <w:r>
        <w:rPr/>
        <w:pict>
          <v:shape style="position:absolute;margin-left:83.457001pt;margin-top:128.745377pt;width:232.65pt;height:17.45pt;mso-position-horizontal-relative:page;mso-position-vertical-relative:paragraph;z-index:-64528" type="#_x0000_t202" filled="false" stroked="false">
            <v:textbox inset="0,0,0,0">
              <w:txbxContent>
                <w:p>
                  <w:pPr>
                    <w:pStyle w:val="BodyText"/>
                    <w:tabs>
                      <w:tab w:pos="1229" w:val="left" w:leader="none"/>
                      <w:tab w:pos="3267" w:val="left" w:leader="none"/>
                      <w:tab w:pos="4497" w:val="left" w:leader="none"/>
                    </w:tabs>
                    <w:spacing w:line="247" w:lineRule="exact"/>
                    <w:rPr>
                      <w:rFonts w:ascii="Lucida Sans Unicode"/>
                    </w:rPr>
                  </w:pPr>
                  <w:r>
                    <w:rPr>
                      <w:rFonts w:ascii="Lucida Sans Unicode"/>
                    </w:rPr>
                    <w:t>=</w:t>
                    <w:tab/>
                    <w:t>=</w:t>
                    <w:tab/>
                    <w:t>=</w:t>
                    <w:tab/>
                  </w:r>
                  <w:r>
                    <w:rPr>
                      <w:rFonts w:ascii="Lucida Sans Unicode"/>
                      <w:w w:val="95"/>
                    </w:rPr>
                    <w:t>=</w:t>
                  </w:r>
                </w:p>
              </w:txbxContent>
            </v:textbox>
            <w10:wrap type="none"/>
          </v:shape>
        </w:pict>
      </w:r>
      <w:r>
        <w:rPr>
          <w:i/>
          <w:sz w:val="20"/>
        </w:rPr>
        <w:t>Holding Firms’ Near Insolvency Status Constant. </w:t>
      </w:r>
      <w:r>
        <w:rPr>
          <w:sz w:val="20"/>
        </w:rPr>
        <w:t>It is possible that, throughout our sample period, Delaware firms moved out of near insol- vency</w:t>
      </w:r>
      <w:r>
        <w:rPr>
          <w:spacing w:val="-19"/>
          <w:sz w:val="20"/>
        </w:rPr>
        <w:t> </w:t>
      </w:r>
      <w:r>
        <w:rPr>
          <w:sz w:val="20"/>
        </w:rPr>
        <w:t>status,</w:t>
      </w:r>
      <w:r>
        <w:rPr>
          <w:spacing w:val="-19"/>
          <w:sz w:val="20"/>
        </w:rPr>
        <w:t> </w:t>
      </w:r>
      <w:r>
        <w:rPr>
          <w:sz w:val="20"/>
        </w:rPr>
        <w:t>thereby</w:t>
      </w:r>
      <w:r>
        <w:rPr>
          <w:spacing w:val="-19"/>
          <w:sz w:val="20"/>
        </w:rPr>
        <w:t> </w:t>
      </w:r>
      <w:r>
        <w:rPr>
          <w:sz w:val="20"/>
        </w:rPr>
        <w:t>taking</w:t>
      </w:r>
      <w:r>
        <w:rPr>
          <w:spacing w:val="-19"/>
          <w:sz w:val="20"/>
        </w:rPr>
        <w:t> </w:t>
      </w:r>
      <w:r>
        <w:rPr>
          <w:sz w:val="20"/>
        </w:rPr>
        <w:t>themselves</w:t>
      </w:r>
      <w:r>
        <w:rPr>
          <w:spacing w:val="-19"/>
          <w:sz w:val="20"/>
        </w:rPr>
        <w:t> </w:t>
      </w:r>
      <w:r>
        <w:rPr>
          <w:sz w:val="20"/>
        </w:rPr>
        <w:t>out</w:t>
      </w:r>
      <w:r>
        <w:rPr>
          <w:spacing w:val="-19"/>
          <w:sz w:val="20"/>
        </w:rPr>
        <w:t> </w:t>
      </w:r>
      <w:r>
        <w:rPr>
          <w:sz w:val="20"/>
        </w:rPr>
        <w:t>of</w:t>
      </w:r>
      <w:r>
        <w:rPr>
          <w:spacing w:val="-19"/>
          <w:sz w:val="20"/>
        </w:rPr>
        <w:t> </w:t>
      </w:r>
      <w:r>
        <w:rPr>
          <w:sz w:val="20"/>
        </w:rPr>
        <w:t>the</w:t>
      </w:r>
      <w:r>
        <w:rPr>
          <w:spacing w:val="-19"/>
          <w:sz w:val="20"/>
        </w:rPr>
        <w:t> </w:t>
      </w:r>
      <w:r>
        <w:rPr>
          <w:sz w:val="20"/>
        </w:rPr>
        <w:t>scope</w:t>
      </w:r>
      <w:r>
        <w:rPr>
          <w:spacing w:val="-19"/>
          <w:sz w:val="20"/>
        </w:rPr>
        <w:t> </w:t>
      </w:r>
      <w:r>
        <w:rPr>
          <w:sz w:val="20"/>
        </w:rPr>
        <w:t>of</w:t>
      </w:r>
      <w:r>
        <w:rPr>
          <w:spacing w:val="-19"/>
          <w:sz w:val="20"/>
        </w:rPr>
        <w:t> </w:t>
      </w:r>
      <w:r>
        <w:rPr>
          <w:sz w:val="20"/>
        </w:rPr>
        <w:t>the</w:t>
      </w:r>
      <w:r>
        <w:rPr>
          <w:spacing w:val="-19"/>
          <w:sz w:val="20"/>
        </w:rPr>
        <w:t> </w:t>
      </w:r>
      <w:r>
        <w:rPr>
          <w:sz w:val="20"/>
        </w:rPr>
        <w:t>court</w:t>
      </w:r>
      <w:r>
        <w:rPr>
          <w:spacing w:val="-19"/>
          <w:sz w:val="20"/>
        </w:rPr>
        <w:t> </w:t>
      </w:r>
      <w:r>
        <w:rPr>
          <w:sz w:val="20"/>
        </w:rPr>
        <w:t>ruling. </w:t>
      </w:r>
      <w:r>
        <w:rPr>
          <w:spacing w:val="-9"/>
          <w:sz w:val="20"/>
        </w:rPr>
        <w:t>To</w:t>
      </w:r>
      <w:r>
        <w:rPr>
          <w:spacing w:val="-19"/>
          <w:sz w:val="20"/>
        </w:rPr>
        <w:t> </w:t>
      </w:r>
      <w:r>
        <w:rPr>
          <w:sz w:val="20"/>
        </w:rPr>
        <w:t>address</w:t>
      </w:r>
      <w:r>
        <w:rPr>
          <w:spacing w:val="-19"/>
          <w:sz w:val="20"/>
        </w:rPr>
        <w:t> </w:t>
      </w:r>
      <w:r>
        <w:rPr>
          <w:sz w:val="20"/>
        </w:rPr>
        <w:t>this</w:t>
      </w:r>
      <w:r>
        <w:rPr>
          <w:spacing w:val="-19"/>
          <w:sz w:val="20"/>
        </w:rPr>
        <w:t> </w:t>
      </w:r>
      <w:r>
        <w:rPr>
          <w:sz w:val="20"/>
        </w:rPr>
        <w:t>concern,</w:t>
      </w:r>
      <w:r>
        <w:rPr>
          <w:spacing w:val="-19"/>
          <w:sz w:val="20"/>
        </w:rPr>
        <w:t> </w:t>
      </w:r>
      <w:r>
        <w:rPr>
          <w:sz w:val="20"/>
        </w:rPr>
        <w:t>we</w:t>
      </w:r>
      <w:r>
        <w:rPr>
          <w:spacing w:val="-19"/>
          <w:sz w:val="20"/>
        </w:rPr>
        <w:t> </w:t>
      </w:r>
      <w:r>
        <w:rPr>
          <w:sz w:val="20"/>
        </w:rPr>
        <w:t>restrict</w:t>
      </w:r>
      <w:r>
        <w:rPr>
          <w:spacing w:val="-19"/>
          <w:sz w:val="20"/>
        </w:rPr>
        <w:t> </w:t>
      </w:r>
      <w:r>
        <w:rPr>
          <w:sz w:val="20"/>
        </w:rPr>
        <w:t>our</w:t>
      </w:r>
      <w:r>
        <w:rPr>
          <w:spacing w:val="-19"/>
          <w:sz w:val="20"/>
        </w:rPr>
        <w:t> </w:t>
      </w:r>
      <w:r>
        <w:rPr>
          <w:sz w:val="20"/>
        </w:rPr>
        <w:t>sample</w:t>
      </w:r>
      <w:r>
        <w:rPr>
          <w:spacing w:val="-19"/>
          <w:sz w:val="20"/>
        </w:rPr>
        <w:t> </w:t>
      </w:r>
      <w:r>
        <w:rPr>
          <w:sz w:val="20"/>
        </w:rPr>
        <w:t>to</w:t>
      </w:r>
      <w:r>
        <w:rPr>
          <w:spacing w:val="-19"/>
          <w:sz w:val="20"/>
        </w:rPr>
        <w:t> </w:t>
      </w:r>
      <w:r>
        <w:rPr>
          <w:sz w:val="20"/>
        </w:rPr>
        <w:t>those</w:t>
      </w:r>
      <w:r>
        <w:rPr>
          <w:spacing w:val="-19"/>
          <w:sz w:val="20"/>
        </w:rPr>
        <w:t> </w:t>
      </w:r>
      <w:r>
        <w:rPr>
          <w:sz w:val="20"/>
        </w:rPr>
        <w:t>Delaware</w:t>
      </w:r>
      <w:r>
        <w:rPr>
          <w:spacing w:val="-19"/>
          <w:sz w:val="20"/>
        </w:rPr>
        <w:t> </w:t>
      </w:r>
      <w:r>
        <w:rPr>
          <w:sz w:val="20"/>
        </w:rPr>
        <w:t>and</w:t>
      </w:r>
      <w:r>
        <w:rPr>
          <w:spacing w:val="-19"/>
          <w:sz w:val="20"/>
        </w:rPr>
        <w:t> </w:t>
      </w:r>
      <w:r>
        <w:rPr>
          <w:sz w:val="20"/>
        </w:rPr>
        <w:t>non- Delaware</w:t>
      </w:r>
      <w:r>
        <w:rPr>
          <w:spacing w:val="-9"/>
          <w:sz w:val="20"/>
        </w:rPr>
        <w:t> </w:t>
      </w:r>
      <w:r>
        <w:rPr>
          <w:sz w:val="20"/>
        </w:rPr>
        <w:t>firms</w:t>
      </w:r>
      <w:r>
        <w:rPr>
          <w:spacing w:val="-10"/>
          <w:sz w:val="20"/>
        </w:rPr>
        <w:t> </w:t>
      </w:r>
      <w:r>
        <w:rPr>
          <w:sz w:val="20"/>
        </w:rPr>
        <w:t>that</w:t>
      </w:r>
      <w:r>
        <w:rPr>
          <w:spacing w:val="-9"/>
          <w:sz w:val="20"/>
        </w:rPr>
        <w:t> </w:t>
      </w:r>
      <w:r>
        <w:rPr>
          <w:sz w:val="20"/>
        </w:rPr>
        <w:t>consistently</w:t>
      </w:r>
      <w:r>
        <w:rPr>
          <w:spacing w:val="-9"/>
          <w:sz w:val="20"/>
        </w:rPr>
        <w:t> </w:t>
      </w:r>
      <w:r>
        <w:rPr>
          <w:sz w:val="20"/>
        </w:rPr>
        <w:t>appear</w:t>
      </w:r>
      <w:r>
        <w:rPr>
          <w:spacing w:val="-9"/>
          <w:sz w:val="20"/>
        </w:rPr>
        <w:t> </w:t>
      </w:r>
      <w:r>
        <w:rPr>
          <w:sz w:val="20"/>
        </w:rPr>
        <w:t>to</w:t>
      </w:r>
      <w:r>
        <w:rPr>
          <w:spacing w:val="-9"/>
          <w:sz w:val="20"/>
        </w:rPr>
        <w:t> </w:t>
      </w:r>
      <w:r>
        <w:rPr>
          <w:sz w:val="20"/>
        </w:rPr>
        <w:t>be</w:t>
      </w:r>
      <w:r>
        <w:rPr>
          <w:spacing w:val="-9"/>
          <w:sz w:val="20"/>
        </w:rPr>
        <w:t> </w:t>
      </w:r>
      <w:r>
        <w:rPr>
          <w:sz w:val="20"/>
        </w:rPr>
        <w:t>near</w:t>
      </w:r>
      <w:r>
        <w:rPr>
          <w:spacing w:val="-9"/>
          <w:sz w:val="20"/>
        </w:rPr>
        <w:t> </w:t>
      </w:r>
      <w:r>
        <w:rPr>
          <w:sz w:val="20"/>
        </w:rPr>
        <w:t>insolvent,</w:t>
      </w:r>
      <w:r>
        <w:rPr>
          <w:spacing w:val="-9"/>
          <w:sz w:val="20"/>
        </w:rPr>
        <w:t> </w:t>
      </w:r>
      <w:r>
        <w:rPr>
          <w:sz w:val="20"/>
        </w:rPr>
        <w:t>i.e.,</w:t>
      </w:r>
      <w:r>
        <w:rPr>
          <w:spacing w:val="-9"/>
          <w:sz w:val="20"/>
        </w:rPr>
        <w:t> </w:t>
      </w:r>
      <w:r>
        <w:rPr>
          <w:sz w:val="20"/>
        </w:rPr>
        <w:t>with</w:t>
      </w:r>
      <w:r>
        <w:rPr>
          <w:spacing w:val="-9"/>
          <w:sz w:val="20"/>
        </w:rPr>
        <w:t> </w:t>
      </w:r>
      <w:r>
        <w:rPr>
          <w:sz w:val="20"/>
        </w:rPr>
        <w:t>an- nual EDF scores consistently in the highest quartile (693 observations) or consistently</w:t>
      </w:r>
      <w:r>
        <w:rPr>
          <w:spacing w:val="-15"/>
          <w:sz w:val="20"/>
        </w:rPr>
        <w:t> </w:t>
      </w:r>
      <w:r>
        <w:rPr>
          <w:sz w:val="20"/>
        </w:rPr>
        <w:t>above</w:t>
      </w:r>
      <w:r>
        <w:rPr>
          <w:spacing w:val="-15"/>
          <w:sz w:val="20"/>
        </w:rPr>
        <w:t> </w:t>
      </w:r>
      <w:r>
        <w:rPr>
          <w:sz w:val="20"/>
        </w:rPr>
        <w:t>median</w:t>
      </w:r>
      <w:r>
        <w:rPr>
          <w:spacing w:val="-15"/>
          <w:sz w:val="20"/>
        </w:rPr>
        <w:t> </w:t>
      </w:r>
      <w:r>
        <w:rPr>
          <w:sz w:val="20"/>
        </w:rPr>
        <w:t>(3,774</w:t>
      </w:r>
      <w:r>
        <w:rPr>
          <w:spacing w:val="-15"/>
          <w:sz w:val="20"/>
        </w:rPr>
        <w:t> </w:t>
      </w:r>
      <w:r>
        <w:rPr>
          <w:sz w:val="20"/>
        </w:rPr>
        <w:t>observations)</w:t>
      </w:r>
      <w:r>
        <w:rPr>
          <w:spacing w:val="-15"/>
          <w:sz w:val="20"/>
        </w:rPr>
        <w:t> </w:t>
      </w:r>
      <w:r>
        <w:rPr>
          <w:sz w:val="20"/>
        </w:rPr>
        <w:t>throughout</w:t>
      </w:r>
      <w:r>
        <w:rPr>
          <w:spacing w:val="-15"/>
          <w:sz w:val="20"/>
        </w:rPr>
        <w:t> </w:t>
      </w:r>
      <w:r>
        <w:rPr>
          <w:sz w:val="20"/>
        </w:rPr>
        <w:t>the</w:t>
      </w:r>
      <w:r>
        <w:rPr>
          <w:spacing w:val="-15"/>
          <w:sz w:val="20"/>
        </w:rPr>
        <w:t> </w:t>
      </w:r>
      <w:r>
        <w:rPr>
          <w:sz w:val="20"/>
        </w:rPr>
        <w:t>sample</w:t>
      </w:r>
      <w:r>
        <w:rPr>
          <w:spacing w:val="-15"/>
          <w:sz w:val="20"/>
        </w:rPr>
        <w:t> </w:t>
      </w:r>
      <w:r>
        <w:rPr>
          <w:sz w:val="20"/>
        </w:rPr>
        <w:t>pe- riod.</w:t>
      </w:r>
      <w:r>
        <w:rPr>
          <w:spacing w:val="-6"/>
          <w:sz w:val="20"/>
        </w:rPr>
        <w:t> </w:t>
      </w:r>
      <w:r>
        <w:rPr>
          <w:sz w:val="20"/>
        </w:rPr>
        <w:t>As</w:t>
      </w:r>
      <w:r>
        <w:rPr>
          <w:spacing w:val="-6"/>
          <w:sz w:val="20"/>
        </w:rPr>
        <w:t> </w:t>
      </w:r>
      <w:r>
        <w:rPr>
          <w:sz w:val="20"/>
        </w:rPr>
        <w:t>our</w:t>
      </w:r>
      <w:r>
        <w:rPr>
          <w:spacing w:val="-6"/>
          <w:sz w:val="20"/>
        </w:rPr>
        <w:t> </w:t>
      </w:r>
      <w:r>
        <w:rPr>
          <w:sz w:val="20"/>
        </w:rPr>
        <w:t>results</w:t>
      </w:r>
      <w:r>
        <w:rPr>
          <w:spacing w:val="-6"/>
          <w:sz w:val="20"/>
        </w:rPr>
        <w:t> </w:t>
      </w:r>
      <w:r>
        <w:rPr>
          <w:sz w:val="20"/>
        </w:rPr>
        <w:t>in</w:t>
      </w:r>
      <w:r>
        <w:rPr>
          <w:spacing w:val="-6"/>
          <w:sz w:val="20"/>
        </w:rPr>
        <w:t> </w:t>
      </w:r>
      <w:r>
        <w:rPr>
          <w:sz w:val="20"/>
        </w:rPr>
        <w:t>columns</w:t>
      </w:r>
      <w:r>
        <w:rPr>
          <w:spacing w:val="-6"/>
          <w:sz w:val="20"/>
        </w:rPr>
        <w:t> </w:t>
      </w:r>
      <w:r>
        <w:rPr>
          <w:sz w:val="20"/>
        </w:rPr>
        <w:t>(iii)</w:t>
      </w:r>
      <w:r>
        <w:rPr>
          <w:spacing w:val="-6"/>
          <w:sz w:val="20"/>
        </w:rPr>
        <w:t> </w:t>
      </w:r>
      <w:r>
        <w:rPr>
          <w:sz w:val="20"/>
        </w:rPr>
        <w:t>and</w:t>
      </w:r>
      <w:r>
        <w:rPr>
          <w:spacing w:val="-6"/>
          <w:sz w:val="20"/>
        </w:rPr>
        <w:t> </w:t>
      </w:r>
      <w:r>
        <w:rPr>
          <w:sz w:val="20"/>
        </w:rPr>
        <w:t>(iv)</w:t>
      </w:r>
      <w:r>
        <w:rPr>
          <w:spacing w:val="-6"/>
          <w:sz w:val="20"/>
        </w:rPr>
        <w:t> </w:t>
      </w:r>
      <w:r>
        <w:rPr>
          <w:sz w:val="20"/>
        </w:rPr>
        <w:t>in</w:t>
      </w:r>
      <w:r>
        <w:rPr>
          <w:spacing w:val="-6"/>
          <w:sz w:val="20"/>
        </w:rPr>
        <w:t> </w:t>
      </w:r>
      <w:r>
        <w:rPr>
          <w:sz w:val="20"/>
        </w:rPr>
        <w:t>panel</w:t>
      </w:r>
      <w:r>
        <w:rPr>
          <w:spacing w:val="-6"/>
          <w:sz w:val="20"/>
        </w:rPr>
        <w:t> </w:t>
      </w:r>
      <w:r>
        <w:rPr>
          <w:sz w:val="20"/>
        </w:rPr>
        <w:t>A</w:t>
      </w:r>
      <w:r>
        <w:rPr>
          <w:spacing w:val="-6"/>
          <w:sz w:val="20"/>
        </w:rPr>
        <w:t> </w:t>
      </w:r>
      <w:r>
        <w:rPr>
          <w:sz w:val="20"/>
        </w:rPr>
        <w:t>of</w:t>
      </w:r>
      <w:r>
        <w:rPr>
          <w:spacing w:val="-6"/>
          <w:sz w:val="20"/>
        </w:rPr>
        <w:t> </w:t>
      </w:r>
      <w:r>
        <w:rPr>
          <w:sz w:val="20"/>
        </w:rPr>
        <w:t>online</w:t>
      </w:r>
      <w:r>
        <w:rPr>
          <w:spacing w:val="-6"/>
          <w:sz w:val="20"/>
        </w:rPr>
        <w:t> </w:t>
      </w:r>
      <w:r>
        <w:rPr>
          <w:sz w:val="20"/>
        </w:rPr>
        <w:t>appendix table A15 indicate, the effect of the court ruling on conservatism for near insolvent Delaware firms remains positive and significant (column (iii): </w:t>
      </w:r>
      <w:r>
        <w:rPr>
          <w:i/>
          <w:sz w:val="20"/>
        </w:rPr>
        <w:t>ß</w:t>
      </w:r>
      <w:r>
        <w:rPr>
          <w:i/>
          <w:color w:val="231F20"/>
          <w:sz w:val="20"/>
          <w:vertAlign w:val="subscript"/>
        </w:rPr>
        <w:t>7</w:t>
      </w:r>
      <w:r>
        <w:rPr>
          <w:i/>
          <w:color w:val="231F20"/>
          <w:sz w:val="20"/>
          <w:vertAlign w:val="baseline"/>
        </w:rPr>
        <w:t>   </w:t>
      </w:r>
      <w:r>
        <w:rPr>
          <w:sz w:val="20"/>
          <w:vertAlign w:val="baseline"/>
        </w:rPr>
        <w:t>1.584, </w:t>
      </w:r>
      <w:r>
        <w:rPr>
          <w:i/>
          <w:sz w:val="20"/>
          <w:vertAlign w:val="baseline"/>
        </w:rPr>
        <w:t>t</w:t>
      </w:r>
      <w:r>
        <w:rPr>
          <w:sz w:val="20"/>
          <w:vertAlign w:val="baseline"/>
        </w:rPr>
        <w:t>-stat   1.88; column (iv): </w:t>
      </w:r>
      <w:r>
        <w:rPr>
          <w:i/>
          <w:sz w:val="20"/>
          <w:vertAlign w:val="baseline"/>
        </w:rPr>
        <w:t>ß</w:t>
      </w:r>
      <w:r>
        <w:rPr>
          <w:i/>
          <w:color w:val="231F20"/>
          <w:sz w:val="20"/>
          <w:vertAlign w:val="subscript"/>
        </w:rPr>
        <w:t>7</w:t>
      </w:r>
      <w:r>
        <w:rPr>
          <w:i/>
          <w:color w:val="231F20"/>
          <w:sz w:val="20"/>
          <w:vertAlign w:val="baseline"/>
        </w:rPr>
        <w:t>   </w:t>
      </w:r>
      <w:r>
        <w:rPr>
          <w:sz w:val="20"/>
          <w:vertAlign w:val="baseline"/>
        </w:rPr>
        <w:t>0.624, </w:t>
      </w:r>
      <w:r>
        <w:rPr>
          <w:i/>
          <w:sz w:val="20"/>
          <w:vertAlign w:val="baseline"/>
        </w:rPr>
        <w:t>t</w:t>
      </w:r>
      <w:r>
        <w:rPr>
          <w:sz w:val="20"/>
          <w:vertAlign w:val="baseline"/>
        </w:rPr>
        <w:t>-stat   2.75) when firms’ near</w:t>
      </w:r>
      <w:r>
        <w:rPr>
          <w:spacing w:val="-19"/>
          <w:sz w:val="20"/>
          <w:vertAlign w:val="baseline"/>
        </w:rPr>
        <w:t> </w:t>
      </w:r>
      <w:r>
        <w:rPr>
          <w:sz w:val="20"/>
          <w:vertAlign w:val="baseline"/>
        </w:rPr>
        <w:t>insolvency</w:t>
      </w:r>
      <w:r>
        <w:rPr>
          <w:spacing w:val="-19"/>
          <w:sz w:val="20"/>
          <w:vertAlign w:val="baseline"/>
        </w:rPr>
        <w:t> </w:t>
      </w:r>
      <w:r>
        <w:rPr>
          <w:sz w:val="20"/>
          <w:vertAlign w:val="baseline"/>
        </w:rPr>
        <w:t>status</w:t>
      </w:r>
      <w:r>
        <w:rPr>
          <w:spacing w:val="-19"/>
          <w:sz w:val="20"/>
          <w:vertAlign w:val="baseline"/>
        </w:rPr>
        <w:t> </w:t>
      </w:r>
      <w:r>
        <w:rPr>
          <w:sz w:val="20"/>
          <w:vertAlign w:val="baseline"/>
        </w:rPr>
        <w:t>is</w:t>
      </w:r>
      <w:r>
        <w:rPr>
          <w:spacing w:val="-19"/>
          <w:sz w:val="20"/>
          <w:vertAlign w:val="baseline"/>
        </w:rPr>
        <w:t> </w:t>
      </w:r>
      <w:r>
        <w:rPr>
          <w:sz w:val="20"/>
          <w:vertAlign w:val="baseline"/>
        </w:rPr>
        <w:t>held</w:t>
      </w:r>
      <w:r>
        <w:rPr>
          <w:spacing w:val="-19"/>
          <w:sz w:val="20"/>
          <w:vertAlign w:val="baseline"/>
        </w:rPr>
        <w:t> </w:t>
      </w:r>
      <w:r>
        <w:rPr>
          <w:sz w:val="20"/>
          <w:vertAlign w:val="baseline"/>
        </w:rPr>
        <w:t>constant.</w:t>
      </w:r>
      <w:r>
        <w:rPr>
          <w:spacing w:val="-19"/>
          <w:sz w:val="20"/>
          <w:vertAlign w:val="baseline"/>
        </w:rPr>
        <w:t> </w:t>
      </w:r>
      <w:r>
        <w:rPr>
          <w:sz w:val="20"/>
          <w:vertAlign w:val="baseline"/>
        </w:rPr>
        <w:t>Thus,</w:t>
      </w:r>
      <w:r>
        <w:rPr>
          <w:spacing w:val="-19"/>
          <w:sz w:val="20"/>
          <w:vertAlign w:val="baseline"/>
        </w:rPr>
        <w:t> </w:t>
      </w:r>
      <w:r>
        <w:rPr>
          <w:sz w:val="20"/>
          <w:vertAlign w:val="baseline"/>
        </w:rPr>
        <w:t>our</w:t>
      </w:r>
      <w:r>
        <w:rPr>
          <w:spacing w:val="-19"/>
          <w:sz w:val="20"/>
          <w:vertAlign w:val="baseline"/>
        </w:rPr>
        <w:t> </w:t>
      </w:r>
      <w:r>
        <w:rPr>
          <w:sz w:val="20"/>
          <w:vertAlign w:val="baseline"/>
        </w:rPr>
        <w:t>findings</w:t>
      </w:r>
      <w:r>
        <w:rPr>
          <w:spacing w:val="-19"/>
          <w:sz w:val="20"/>
          <w:vertAlign w:val="baseline"/>
        </w:rPr>
        <w:t> </w:t>
      </w:r>
      <w:r>
        <w:rPr>
          <w:sz w:val="20"/>
          <w:vertAlign w:val="baseline"/>
        </w:rPr>
        <w:t>do</w:t>
      </w:r>
      <w:r>
        <w:rPr>
          <w:spacing w:val="-19"/>
          <w:sz w:val="20"/>
          <w:vertAlign w:val="baseline"/>
        </w:rPr>
        <w:t> </w:t>
      </w:r>
      <w:r>
        <w:rPr>
          <w:sz w:val="20"/>
          <w:vertAlign w:val="baseline"/>
        </w:rPr>
        <w:t>not</w:t>
      </w:r>
      <w:r>
        <w:rPr>
          <w:spacing w:val="-19"/>
          <w:sz w:val="20"/>
          <w:vertAlign w:val="baseline"/>
        </w:rPr>
        <w:t> </w:t>
      </w:r>
      <w:r>
        <w:rPr>
          <w:sz w:val="20"/>
          <w:vertAlign w:val="baseline"/>
        </w:rPr>
        <w:t>appear</w:t>
      </w:r>
      <w:r>
        <w:rPr>
          <w:spacing w:val="-19"/>
          <w:sz w:val="20"/>
          <w:vertAlign w:val="baseline"/>
        </w:rPr>
        <w:t> </w:t>
      </w:r>
      <w:r>
        <w:rPr>
          <w:sz w:val="20"/>
          <w:vertAlign w:val="baseline"/>
        </w:rPr>
        <w:t>to be</w:t>
      </w:r>
      <w:r>
        <w:rPr>
          <w:spacing w:val="-19"/>
          <w:sz w:val="20"/>
          <w:vertAlign w:val="baseline"/>
        </w:rPr>
        <w:t> </w:t>
      </w:r>
      <w:r>
        <w:rPr>
          <w:sz w:val="20"/>
          <w:vertAlign w:val="baseline"/>
        </w:rPr>
        <w:t>confounded</w:t>
      </w:r>
      <w:r>
        <w:rPr>
          <w:spacing w:val="-18"/>
          <w:sz w:val="20"/>
          <w:vertAlign w:val="baseline"/>
        </w:rPr>
        <w:t> </w:t>
      </w:r>
      <w:r>
        <w:rPr>
          <w:sz w:val="20"/>
          <w:vertAlign w:val="baseline"/>
        </w:rPr>
        <w:t>by</w:t>
      </w:r>
      <w:r>
        <w:rPr>
          <w:spacing w:val="-19"/>
          <w:sz w:val="20"/>
          <w:vertAlign w:val="baseline"/>
        </w:rPr>
        <w:t> </w:t>
      </w:r>
      <w:r>
        <w:rPr>
          <w:sz w:val="20"/>
          <w:vertAlign w:val="baseline"/>
        </w:rPr>
        <w:t>Delaware</w:t>
      </w:r>
      <w:r>
        <w:rPr>
          <w:spacing w:val="-18"/>
          <w:sz w:val="20"/>
          <w:vertAlign w:val="baseline"/>
        </w:rPr>
        <w:t> </w:t>
      </w:r>
      <w:r>
        <w:rPr>
          <w:sz w:val="20"/>
          <w:vertAlign w:val="baseline"/>
        </w:rPr>
        <w:t>firms</w:t>
      </w:r>
      <w:r>
        <w:rPr>
          <w:spacing w:val="-19"/>
          <w:sz w:val="20"/>
          <w:vertAlign w:val="baseline"/>
        </w:rPr>
        <w:t> </w:t>
      </w:r>
      <w:r>
        <w:rPr>
          <w:sz w:val="20"/>
          <w:vertAlign w:val="baseline"/>
        </w:rPr>
        <w:t>moving</w:t>
      </w:r>
      <w:r>
        <w:rPr>
          <w:spacing w:val="-19"/>
          <w:sz w:val="20"/>
          <w:vertAlign w:val="baseline"/>
        </w:rPr>
        <w:t> </w:t>
      </w:r>
      <w:r>
        <w:rPr>
          <w:sz w:val="20"/>
          <w:vertAlign w:val="baseline"/>
        </w:rPr>
        <w:t>out</w:t>
      </w:r>
      <w:r>
        <w:rPr>
          <w:spacing w:val="-19"/>
          <w:sz w:val="20"/>
          <w:vertAlign w:val="baseline"/>
        </w:rPr>
        <w:t> </w:t>
      </w:r>
      <w:r>
        <w:rPr>
          <w:sz w:val="20"/>
          <w:vertAlign w:val="baseline"/>
        </w:rPr>
        <w:t>of</w:t>
      </w:r>
      <w:r>
        <w:rPr>
          <w:spacing w:val="-19"/>
          <w:sz w:val="20"/>
          <w:vertAlign w:val="baseline"/>
        </w:rPr>
        <w:t> </w:t>
      </w:r>
      <w:r>
        <w:rPr>
          <w:sz w:val="20"/>
          <w:vertAlign w:val="baseline"/>
        </w:rPr>
        <w:t>the</w:t>
      </w:r>
      <w:r>
        <w:rPr>
          <w:spacing w:val="-19"/>
          <w:sz w:val="20"/>
          <w:vertAlign w:val="baseline"/>
        </w:rPr>
        <w:t> </w:t>
      </w:r>
      <w:r>
        <w:rPr>
          <w:sz w:val="20"/>
          <w:vertAlign w:val="baseline"/>
        </w:rPr>
        <w:t>near</w:t>
      </w:r>
      <w:r>
        <w:rPr>
          <w:spacing w:val="-18"/>
          <w:sz w:val="20"/>
          <w:vertAlign w:val="baseline"/>
        </w:rPr>
        <w:t> </w:t>
      </w:r>
      <w:r>
        <w:rPr>
          <w:sz w:val="20"/>
          <w:vertAlign w:val="baseline"/>
        </w:rPr>
        <w:t>insolvency</w:t>
      </w:r>
      <w:r>
        <w:rPr>
          <w:spacing w:val="-19"/>
          <w:sz w:val="20"/>
          <w:vertAlign w:val="baseline"/>
        </w:rPr>
        <w:t> </w:t>
      </w:r>
      <w:r>
        <w:rPr>
          <w:sz w:val="20"/>
          <w:vertAlign w:val="baseline"/>
        </w:rPr>
        <w:t>zone.</w:t>
      </w:r>
    </w:p>
    <w:p>
      <w:pPr>
        <w:pStyle w:val="ListParagraph"/>
        <w:numPr>
          <w:ilvl w:val="2"/>
          <w:numId w:val="5"/>
        </w:numPr>
        <w:tabs>
          <w:tab w:pos="940" w:val="left" w:leader="none"/>
        </w:tabs>
        <w:spacing w:line="230" w:lineRule="auto" w:before="158" w:after="0"/>
        <w:ind w:left="162" w:right="519" w:firstLine="199"/>
        <w:jc w:val="both"/>
        <w:rPr>
          <w:sz w:val="20"/>
        </w:rPr>
      </w:pPr>
      <w:r>
        <w:rPr>
          <w:i/>
          <w:sz w:val="20"/>
        </w:rPr>
        <w:t>Shorter</w:t>
      </w:r>
      <w:r>
        <w:rPr>
          <w:i/>
          <w:spacing w:val="-11"/>
          <w:sz w:val="20"/>
        </w:rPr>
        <w:t> </w:t>
      </w:r>
      <w:r>
        <w:rPr>
          <w:i/>
          <w:sz w:val="20"/>
        </w:rPr>
        <w:t>Pre-</w:t>
      </w:r>
      <w:r>
        <w:rPr>
          <w:i/>
          <w:spacing w:val="-11"/>
          <w:sz w:val="20"/>
        </w:rPr>
        <w:t> </w:t>
      </w:r>
      <w:r>
        <w:rPr>
          <w:i/>
          <w:sz w:val="20"/>
        </w:rPr>
        <w:t>and</w:t>
      </w:r>
      <w:r>
        <w:rPr>
          <w:i/>
          <w:spacing w:val="-11"/>
          <w:sz w:val="20"/>
        </w:rPr>
        <w:t> </w:t>
      </w:r>
      <w:r>
        <w:rPr>
          <w:i/>
          <w:sz w:val="20"/>
        </w:rPr>
        <w:t>Post-Ruling</w:t>
      </w:r>
      <w:r>
        <w:rPr>
          <w:i/>
          <w:spacing w:val="-11"/>
          <w:sz w:val="20"/>
        </w:rPr>
        <w:t> </w:t>
      </w:r>
      <w:r>
        <w:rPr>
          <w:i/>
          <w:sz w:val="20"/>
        </w:rPr>
        <w:t>Periods.</w:t>
      </w:r>
      <w:r>
        <w:rPr>
          <w:i/>
          <w:spacing w:val="5"/>
          <w:sz w:val="20"/>
        </w:rPr>
        <w:t> </w:t>
      </w:r>
      <w:r>
        <w:rPr>
          <w:sz w:val="20"/>
        </w:rPr>
        <w:t>As</w:t>
      </w:r>
      <w:r>
        <w:rPr>
          <w:spacing w:val="-11"/>
          <w:sz w:val="20"/>
        </w:rPr>
        <w:t> </w:t>
      </w:r>
      <w:r>
        <w:rPr>
          <w:sz w:val="20"/>
        </w:rPr>
        <w:t>we</w:t>
      </w:r>
      <w:r>
        <w:rPr>
          <w:spacing w:val="-11"/>
          <w:sz w:val="20"/>
        </w:rPr>
        <w:t> </w:t>
      </w:r>
      <w:r>
        <w:rPr>
          <w:sz w:val="20"/>
        </w:rPr>
        <w:t>discuss</w:t>
      </w:r>
      <w:r>
        <w:rPr>
          <w:spacing w:val="-11"/>
          <w:sz w:val="20"/>
        </w:rPr>
        <w:t> </w:t>
      </w:r>
      <w:r>
        <w:rPr>
          <w:sz w:val="20"/>
        </w:rPr>
        <w:t>in</w:t>
      </w:r>
      <w:r>
        <w:rPr>
          <w:spacing w:val="-11"/>
          <w:sz w:val="20"/>
        </w:rPr>
        <w:t> </w:t>
      </w:r>
      <w:r>
        <w:rPr>
          <w:sz w:val="20"/>
        </w:rPr>
        <w:t>section</w:t>
      </w:r>
      <w:r>
        <w:rPr>
          <w:spacing w:val="-11"/>
          <w:sz w:val="20"/>
        </w:rPr>
        <w:t> </w:t>
      </w:r>
      <w:r>
        <w:rPr>
          <w:sz w:val="20"/>
        </w:rPr>
        <w:t>3.1,</w:t>
      </w:r>
      <w:r>
        <w:rPr>
          <w:spacing w:val="-11"/>
          <w:sz w:val="20"/>
        </w:rPr>
        <w:t> </w:t>
      </w:r>
      <w:r>
        <w:rPr>
          <w:sz w:val="20"/>
        </w:rPr>
        <w:t>a fundamental</w:t>
      </w:r>
      <w:r>
        <w:rPr>
          <w:spacing w:val="-24"/>
          <w:sz w:val="20"/>
        </w:rPr>
        <w:t> </w:t>
      </w:r>
      <w:r>
        <w:rPr>
          <w:sz w:val="20"/>
        </w:rPr>
        <w:t>assumption</w:t>
      </w:r>
      <w:r>
        <w:rPr>
          <w:spacing w:val="-24"/>
          <w:sz w:val="20"/>
        </w:rPr>
        <w:t> </w:t>
      </w:r>
      <w:r>
        <w:rPr>
          <w:sz w:val="20"/>
        </w:rPr>
        <w:t>in</w:t>
      </w:r>
      <w:r>
        <w:rPr>
          <w:spacing w:val="-24"/>
          <w:sz w:val="20"/>
        </w:rPr>
        <w:t> </w:t>
      </w:r>
      <w:r>
        <w:rPr>
          <w:sz w:val="20"/>
        </w:rPr>
        <w:t>our</w:t>
      </w:r>
      <w:r>
        <w:rPr>
          <w:spacing w:val="-24"/>
          <w:sz w:val="20"/>
        </w:rPr>
        <w:t> </w:t>
      </w:r>
      <w:r>
        <w:rPr>
          <w:sz w:val="20"/>
        </w:rPr>
        <w:t>paper</w:t>
      </w:r>
      <w:r>
        <w:rPr>
          <w:spacing w:val="-24"/>
          <w:sz w:val="20"/>
        </w:rPr>
        <w:t> </w:t>
      </w:r>
      <w:r>
        <w:rPr>
          <w:sz w:val="20"/>
        </w:rPr>
        <w:t>is</w:t>
      </w:r>
      <w:r>
        <w:rPr>
          <w:spacing w:val="-24"/>
          <w:sz w:val="20"/>
        </w:rPr>
        <w:t> </w:t>
      </w:r>
      <w:r>
        <w:rPr>
          <w:sz w:val="20"/>
        </w:rPr>
        <w:t>that</w:t>
      </w:r>
      <w:r>
        <w:rPr>
          <w:spacing w:val="-24"/>
          <w:sz w:val="20"/>
        </w:rPr>
        <w:t> </w:t>
      </w:r>
      <w:r>
        <w:rPr>
          <w:sz w:val="20"/>
        </w:rPr>
        <w:t>a</w:t>
      </w:r>
      <w:r>
        <w:rPr>
          <w:spacing w:val="-24"/>
          <w:sz w:val="20"/>
        </w:rPr>
        <w:t> </w:t>
      </w:r>
      <w:r>
        <w:rPr>
          <w:spacing w:val="-2"/>
          <w:sz w:val="20"/>
        </w:rPr>
        <w:t>firm’s</w:t>
      </w:r>
      <w:r>
        <w:rPr>
          <w:spacing w:val="-24"/>
          <w:sz w:val="20"/>
        </w:rPr>
        <w:t> </w:t>
      </w:r>
      <w:r>
        <w:rPr>
          <w:sz w:val="20"/>
        </w:rPr>
        <w:t>near</w:t>
      </w:r>
      <w:r>
        <w:rPr>
          <w:spacing w:val="-24"/>
          <w:sz w:val="20"/>
        </w:rPr>
        <w:t> </w:t>
      </w:r>
      <w:r>
        <w:rPr>
          <w:sz w:val="20"/>
        </w:rPr>
        <w:t>insolvency</w:t>
      </w:r>
      <w:r>
        <w:rPr>
          <w:spacing w:val="-24"/>
          <w:sz w:val="20"/>
        </w:rPr>
        <w:t> </w:t>
      </w:r>
      <w:r>
        <w:rPr>
          <w:sz w:val="20"/>
        </w:rPr>
        <w:t>status does not change throughout the whole sample period. In order to min- imize concerns about the fixed near insolvency measure across years, we rerun model (1) using shorter pre- and post-ruling sample periods and summarize</w:t>
      </w:r>
      <w:r>
        <w:rPr>
          <w:spacing w:val="-19"/>
          <w:sz w:val="20"/>
        </w:rPr>
        <w:t> </w:t>
      </w:r>
      <w:r>
        <w:rPr>
          <w:sz w:val="20"/>
        </w:rPr>
        <w:t>the</w:t>
      </w:r>
      <w:r>
        <w:rPr>
          <w:spacing w:val="-19"/>
          <w:sz w:val="20"/>
        </w:rPr>
        <w:t> </w:t>
      </w:r>
      <w:r>
        <w:rPr>
          <w:sz w:val="20"/>
        </w:rPr>
        <w:t>results</w:t>
      </w:r>
      <w:r>
        <w:rPr>
          <w:spacing w:val="-19"/>
          <w:sz w:val="20"/>
        </w:rPr>
        <w:t> </w:t>
      </w:r>
      <w:r>
        <w:rPr>
          <w:sz w:val="20"/>
        </w:rPr>
        <w:t>in</w:t>
      </w:r>
      <w:r>
        <w:rPr>
          <w:spacing w:val="-19"/>
          <w:sz w:val="20"/>
        </w:rPr>
        <w:t> </w:t>
      </w:r>
      <w:r>
        <w:rPr>
          <w:sz w:val="20"/>
        </w:rPr>
        <w:t>panel</w:t>
      </w:r>
      <w:r>
        <w:rPr>
          <w:spacing w:val="-19"/>
          <w:sz w:val="20"/>
        </w:rPr>
        <w:t> </w:t>
      </w:r>
      <w:r>
        <w:rPr>
          <w:sz w:val="20"/>
        </w:rPr>
        <w:t>B</w:t>
      </w:r>
      <w:r>
        <w:rPr>
          <w:spacing w:val="-19"/>
          <w:sz w:val="20"/>
        </w:rPr>
        <w:t> </w:t>
      </w:r>
      <w:r>
        <w:rPr>
          <w:sz w:val="20"/>
        </w:rPr>
        <w:t>of</w:t>
      </w:r>
      <w:r>
        <w:rPr>
          <w:spacing w:val="-19"/>
          <w:sz w:val="20"/>
        </w:rPr>
        <w:t> </w:t>
      </w:r>
      <w:r>
        <w:rPr>
          <w:sz w:val="20"/>
        </w:rPr>
        <w:t>online</w:t>
      </w:r>
      <w:r>
        <w:rPr>
          <w:spacing w:val="-19"/>
          <w:sz w:val="20"/>
        </w:rPr>
        <w:t> </w:t>
      </w:r>
      <w:r>
        <w:rPr>
          <w:sz w:val="20"/>
        </w:rPr>
        <w:t>appendix</w:t>
      </w:r>
      <w:r>
        <w:rPr>
          <w:spacing w:val="-19"/>
          <w:sz w:val="20"/>
        </w:rPr>
        <w:t> </w:t>
      </w:r>
      <w:r>
        <w:rPr>
          <w:sz w:val="20"/>
        </w:rPr>
        <w:t>table</w:t>
      </w:r>
      <w:r>
        <w:rPr>
          <w:spacing w:val="-19"/>
          <w:sz w:val="20"/>
        </w:rPr>
        <w:t> </w:t>
      </w:r>
      <w:r>
        <w:rPr>
          <w:sz w:val="20"/>
        </w:rPr>
        <w:t>A15.</w:t>
      </w:r>
      <w:r>
        <w:rPr>
          <w:spacing w:val="-19"/>
          <w:sz w:val="20"/>
        </w:rPr>
        <w:t> </w:t>
      </w:r>
      <w:r>
        <w:rPr>
          <w:sz w:val="20"/>
        </w:rPr>
        <w:t>Specifically,</w:t>
      </w:r>
    </w:p>
    <w:p>
      <w:pPr>
        <w:pStyle w:val="BodyText"/>
        <w:spacing w:before="4"/>
        <w:rPr>
          <w:sz w:val="28"/>
        </w:rPr>
      </w:pPr>
      <w:r>
        <w:rPr/>
        <w:pict>
          <v:line style="position:absolute;mso-position-horizontal-relative:page;mso-position-vertical-relative:paragraph;z-index:7120;mso-wrap-distance-left:0;mso-wrap-distance-right:0" from="72.125999pt,19.867189pt" to="107.999999pt,19.867189pt" stroked="true" strokeweight=".504pt" strokecolor="#000000">
            <v:stroke dashstyle="solid"/>
            <w10:wrap type="topAndBottom"/>
          </v:line>
        </w:pict>
      </w:r>
    </w:p>
    <w:p>
      <w:pPr>
        <w:spacing w:line="216" w:lineRule="auto" w:before="89"/>
        <w:ind w:left="162" w:right="0" w:firstLine="179"/>
        <w:jc w:val="left"/>
        <w:rPr>
          <w:sz w:val="16"/>
          <w:szCs w:val="16"/>
        </w:rPr>
      </w:pPr>
      <w:r>
        <w:rPr>
          <w:color w:val="231F20"/>
          <w:position w:val="6"/>
          <w:sz w:val="12"/>
          <w:szCs w:val="12"/>
        </w:rPr>
        <w:t>31 </w:t>
      </w:r>
      <w:r>
        <w:rPr>
          <w:color w:val="231F20"/>
          <w:sz w:val="16"/>
          <w:szCs w:val="16"/>
        </w:rPr>
        <w:t>We thank John Graham for providing us with these data (https://faculty.fuqua. duke.edu/</w:t>
      </w:r>
      <w:r>
        <w:rPr>
          <w:rFonts w:ascii="Lucida Sans Unicode" w:hAnsi="Lucida Sans Unicode" w:cs="Lucida Sans Unicode" w:eastAsia="Lucida Sans Unicode"/>
          <w:color w:val="231F20"/>
          <w:sz w:val="16"/>
          <w:szCs w:val="16"/>
        </w:rPr>
        <w:t>�</w:t>
      </w:r>
      <w:r>
        <w:rPr>
          <w:color w:val="231F20"/>
          <w:sz w:val="16"/>
          <w:szCs w:val="16"/>
        </w:rPr>
        <w:t>jgraham/taxform.html).</w:t>
      </w:r>
    </w:p>
    <w:p>
      <w:pPr>
        <w:spacing w:after="0" w:line="216" w:lineRule="auto"/>
        <w:jc w:val="left"/>
        <w:rPr>
          <w:sz w:val="16"/>
          <w:szCs w:val="16"/>
        </w:rPr>
        <w:sectPr>
          <w:pgSz w:w="9720" w:h="14400"/>
          <w:pgMar w:header="1055" w:footer="0" w:top="1300" w:bottom="280" w:left="1280" w:right="1300"/>
        </w:sectPr>
      </w:pPr>
    </w:p>
    <w:p>
      <w:pPr>
        <w:pStyle w:val="BodyText"/>
        <w:spacing w:line="228" w:lineRule="auto" w:before="180"/>
        <w:ind w:left="532" w:right="149"/>
        <w:jc w:val="both"/>
      </w:pPr>
      <w:r>
        <w:rPr/>
        <w:pict>
          <v:shape style="position:absolute;margin-left:107.397003pt;margin-top:46.05957pt;width:72.45pt;height:17.45pt;mso-position-horizontal-relative:page;mso-position-vertical-relative:paragraph;z-index:-64360" type="#_x0000_t202" filled="false" stroked="false">
            <v:textbox inset="0,0,0,0">
              <w:txbxContent>
                <w:p>
                  <w:pPr>
                    <w:pStyle w:val="BodyText"/>
                    <w:tabs>
                      <w:tab w:pos="1292"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pict>
          <v:shape style="position:absolute;margin-left:106.317001pt;margin-top:34.107571pt;width:225.8pt;height:17.45pt;mso-position-horizontal-relative:page;mso-position-vertical-relative:paragraph;z-index:-64312" type="#_x0000_t202" filled="false" stroked="false">
            <v:textbox inset="0,0,0,0">
              <w:txbxContent>
                <w:p>
                  <w:pPr>
                    <w:pStyle w:val="BodyText"/>
                    <w:tabs>
                      <w:tab w:pos="1227" w:val="left" w:leader="none"/>
                      <w:tab w:pos="3132" w:val="left" w:leader="none"/>
                      <w:tab w:pos="4360" w:val="left" w:leader="none"/>
                    </w:tabs>
                    <w:spacing w:line="247" w:lineRule="exact"/>
                    <w:rPr>
                      <w:rFonts w:ascii="Lucida Sans Unicode"/>
                    </w:rPr>
                  </w:pPr>
                  <w:r>
                    <w:rPr>
                      <w:rFonts w:ascii="Lucida Sans Unicode"/>
                    </w:rPr>
                    <w:t>=</w:t>
                    <w:tab/>
                    <w:t>=</w:t>
                    <w:tab/>
                    <w:t>=</w:t>
                    <w:tab/>
                  </w:r>
                  <w:r>
                    <w:rPr>
                      <w:rFonts w:ascii="Lucida Sans Unicode"/>
                      <w:w w:val="95"/>
                    </w:rPr>
                    <w:t>=</w:t>
                  </w:r>
                </w:p>
              </w:txbxContent>
            </v:textbox>
            <w10:wrap type="none"/>
          </v:shape>
        </w:pict>
      </w:r>
      <w:r>
        <w:rPr/>
        <w:t>we</w:t>
      </w:r>
      <w:r>
        <w:rPr>
          <w:spacing w:val="-9"/>
        </w:rPr>
        <w:t> </w:t>
      </w:r>
      <w:r>
        <w:rPr/>
        <w:t>find</w:t>
      </w:r>
      <w:r>
        <w:rPr>
          <w:spacing w:val="-9"/>
        </w:rPr>
        <w:t> </w:t>
      </w:r>
      <w:r>
        <w:rPr/>
        <w:t>that</w:t>
      </w:r>
      <w:r>
        <w:rPr>
          <w:spacing w:val="-9"/>
        </w:rPr>
        <w:t> </w:t>
      </w:r>
      <w:r>
        <w:rPr/>
        <w:t>the</w:t>
      </w:r>
      <w:r>
        <w:rPr>
          <w:spacing w:val="-9"/>
        </w:rPr>
        <w:t> </w:t>
      </w:r>
      <w:r>
        <w:rPr/>
        <w:t>estimated</w:t>
      </w:r>
      <w:r>
        <w:rPr>
          <w:spacing w:val="-9"/>
        </w:rPr>
        <w:t> </w:t>
      </w:r>
      <w:r>
        <w:rPr/>
        <w:t>effect</w:t>
      </w:r>
      <w:r>
        <w:rPr>
          <w:spacing w:val="-9"/>
        </w:rPr>
        <w:t> </w:t>
      </w:r>
      <w:r>
        <w:rPr/>
        <w:t>of</w:t>
      </w:r>
      <w:r>
        <w:rPr>
          <w:spacing w:val="-9"/>
        </w:rPr>
        <w:t> </w:t>
      </w:r>
      <w:r>
        <w:rPr/>
        <w:t>the</w:t>
      </w:r>
      <w:r>
        <w:rPr>
          <w:spacing w:val="-9"/>
        </w:rPr>
        <w:t> </w:t>
      </w:r>
      <w:r>
        <w:rPr/>
        <w:t>ruling</w:t>
      </w:r>
      <w:r>
        <w:rPr>
          <w:spacing w:val="-9"/>
        </w:rPr>
        <w:t> </w:t>
      </w:r>
      <w:r>
        <w:rPr/>
        <w:t>on</w:t>
      </w:r>
      <w:r>
        <w:rPr>
          <w:spacing w:val="-9"/>
        </w:rPr>
        <w:t> </w:t>
      </w:r>
      <w:r>
        <w:rPr/>
        <w:t>conservatism</w:t>
      </w:r>
      <w:r>
        <w:rPr>
          <w:spacing w:val="-9"/>
        </w:rPr>
        <w:t> </w:t>
      </w:r>
      <w:r>
        <w:rPr/>
        <w:t>for</w:t>
      </w:r>
      <w:r>
        <w:rPr>
          <w:spacing w:val="-9"/>
        </w:rPr>
        <w:t> </w:t>
      </w:r>
      <w:r>
        <w:rPr/>
        <w:t>near</w:t>
      </w:r>
      <w:r>
        <w:rPr>
          <w:spacing w:val="-9"/>
        </w:rPr>
        <w:t> </w:t>
      </w:r>
      <w:r>
        <w:rPr/>
        <w:t>in- solvent</w:t>
      </w:r>
      <w:r>
        <w:rPr>
          <w:spacing w:val="-19"/>
        </w:rPr>
        <w:t> </w:t>
      </w:r>
      <w:r>
        <w:rPr/>
        <w:t>Delaware</w:t>
      </w:r>
      <w:r>
        <w:rPr>
          <w:spacing w:val="-19"/>
        </w:rPr>
        <w:t> </w:t>
      </w:r>
      <w:r>
        <w:rPr/>
        <w:t>firms</w:t>
      </w:r>
      <w:r>
        <w:rPr>
          <w:spacing w:val="-19"/>
        </w:rPr>
        <w:t> </w:t>
      </w:r>
      <w:r>
        <w:rPr/>
        <w:t>is</w:t>
      </w:r>
      <w:r>
        <w:rPr>
          <w:spacing w:val="-19"/>
        </w:rPr>
        <w:t> </w:t>
      </w:r>
      <w:r>
        <w:rPr/>
        <w:t>consistently</w:t>
      </w:r>
      <w:r>
        <w:rPr>
          <w:spacing w:val="-19"/>
        </w:rPr>
        <w:t> </w:t>
      </w:r>
      <w:r>
        <w:rPr/>
        <w:t>positive</w:t>
      </w:r>
      <w:r>
        <w:rPr>
          <w:spacing w:val="-19"/>
        </w:rPr>
        <w:t> </w:t>
      </w:r>
      <w:r>
        <w:rPr/>
        <w:t>and</w:t>
      </w:r>
      <w:r>
        <w:rPr>
          <w:spacing w:val="-19"/>
        </w:rPr>
        <w:t> </w:t>
      </w:r>
      <w:r>
        <w:rPr/>
        <w:t>significant</w:t>
      </w:r>
      <w:r>
        <w:rPr>
          <w:spacing w:val="-19"/>
        </w:rPr>
        <w:t> </w:t>
      </w:r>
      <w:r>
        <w:rPr/>
        <w:t>for</w:t>
      </w:r>
      <w:r>
        <w:rPr>
          <w:spacing w:val="-19"/>
        </w:rPr>
        <w:t> </w:t>
      </w:r>
      <w:r>
        <w:rPr/>
        <w:t>two-year (</w:t>
      </w:r>
      <w:r>
        <w:rPr>
          <w:i/>
        </w:rPr>
        <w:t>ß</w:t>
      </w:r>
      <w:r>
        <w:rPr>
          <w:i/>
          <w:color w:val="231F20"/>
          <w:vertAlign w:val="subscript"/>
        </w:rPr>
        <w:t>7</w:t>
      </w:r>
      <w:r>
        <w:rPr>
          <w:i/>
          <w:color w:val="231F20"/>
          <w:vertAlign w:val="baseline"/>
        </w:rPr>
        <w:t>   </w:t>
      </w:r>
      <w:r>
        <w:rPr>
          <w:vertAlign w:val="baseline"/>
        </w:rPr>
        <w:t>0.369, </w:t>
      </w:r>
      <w:r>
        <w:rPr>
          <w:i/>
          <w:vertAlign w:val="baseline"/>
        </w:rPr>
        <w:t>t</w:t>
      </w:r>
      <w:r>
        <w:rPr>
          <w:vertAlign w:val="baseline"/>
        </w:rPr>
        <w:t>-stat    1.45), four-year (</w:t>
      </w:r>
      <w:r>
        <w:rPr>
          <w:i/>
          <w:vertAlign w:val="baseline"/>
        </w:rPr>
        <w:t>ß</w:t>
      </w:r>
      <w:r>
        <w:rPr>
          <w:i/>
          <w:color w:val="231F20"/>
          <w:vertAlign w:val="subscript"/>
        </w:rPr>
        <w:t>7</w:t>
      </w:r>
      <w:r>
        <w:rPr>
          <w:i/>
          <w:color w:val="231F20"/>
          <w:vertAlign w:val="baseline"/>
        </w:rPr>
        <w:t>    </w:t>
      </w:r>
      <w:r>
        <w:rPr>
          <w:vertAlign w:val="baseline"/>
        </w:rPr>
        <w:t>0.428, </w:t>
      </w:r>
      <w:r>
        <w:rPr>
          <w:i/>
          <w:vertAlign w:val="baseline"/>
        </w:rPr>
        <w:t>t</w:t>
      </w:r>
      <w:r>
        <w:rPr>
          <w:vertAlign w:val="baseline"/>
        </w:rPr>
        <w:t>-stat    2.42), and six-year (</w:t>
      </w:r>
      <w:r>
        <w:rPr>
          <w:i/>
          <w:vertAlign w:val="baseline"/>
        </w:rPr>
        <w:t>ß</w:t>
      </w:r>
      <w:r>
        <w:rPr>
          <w:i/>
          <w:color w:val="231F20"/>
          <w:vertAlign w:val="subscript"/>
        </w:rPr>
        <w:t>7</w:t>
      </w:r>
      <w:r>
        <w:rPr>
          <w:i/>
          <w:color w:val="231F20"/>
          <w:vertAlign w:val="baseline"/>
        </w:rPr>
        <w:t> </w:t>
      </w:r>
      <w:r>
        <w:rPr>
          <w:vertAlign w:val="baseline"/>
        </w:rPr>
        <w:t>0.513, </w:t>
      </w:r>
      <w:r>
        <w:rPr>
          <w:i/>
          <w:vertAlign w:val="baseline"/>
        </w:rPr>
        <w:t>t</w:t>
      </w:r>
      <w:r>
        <w:rPr>
          <w:vertAlign w:val="baseline"/>
        </w:rPr>
        <w:t>-stat 3.54) event windows.</w:t>
      </w:r>
      <w:r>
        <w:rPr>
          <w:color w:val="231F20"/>
          <w:position w:val="7"/>
          <w:sz w:val="14"/>
          <w:vertAlign w:val="baseline"/>
        </w:rPr>
        <w:t>32 </w:t>
      </w:r>
      <w:r>
        <w:rPr>
          <w:vertAlign w:val="baseline"/>
        </w:rPr>
        <w:t>The robustness of results on shortened</w:t>
      </w:r>
      <w:r>
        <w:rPr>
          <w:spacing w:val="-8"/>
          <w:vertAlign w:val="baseline"/>
        </w:rPr>
        <w:t> </w:t>
      </w:r>
      <w:r>
        <w:rPr>
          <w:vertAlign w:val="baseline"/>
        </w:rPr>
        <w:t>event</w:t>
      </w:r>
      <w:r>
        <w:rPr>
          <w:spacing w:val="-8"/>
          <w:vertAlign w:val="baseline"/>
        </w:rPr>
        <w:t> </w:t>
      </w:r>
      <w:r>
        <w:rPr>
          <w:vertAlign w:val="baseline"/>
        </w:rPr>
        <w:t>windows</w:t>
      </w:r>
      <w:r>
        <w:rPr>
          <w:spacing w:val="-8"/>
          <w:vertAlign w:val="baseline"/>
        </w:rPr>
        <w:t> </w:t>
      </w:r>
      <w:r>
        <w:rPr>
          <w:vertAlign w:val="baseline"/>
        </w:rPr>
        <w:t>further</w:t>
      </w:r>
      <w:r>
        <w:rPr>
          <w:spacing w:val="-8"/>
          <w:vertAlign w:val="baseline"/>
        </w:rPr>
        <w:t> </w:t>
      </w:r>
      <w:r>
        <w:rPr>
          <w:vertAlign w:val="baseline"/>
        </w:rPr>
        <w:t>supports</w:t>
      </w:r>
      <w:r>
        <w:rPr>
          <w:spacing w:val="-8"/>
          <w:vertAlign w:val="baseline"/>
        </w:rPr>
        <w:t> </w:t>
      </w:r>
      <w:r>
        <w:rPr>
          <w:vertAlign w:val="baseline"/>
        </w:rPr>
        <w:t>our</w:t>
      </w:r>
      <w:r>
        <w:rPr>
          <w:spacing w:val="-8"/>
          <w:vertAlign w:val="baseline"/>
        </w:rPr>
        <w:t> </w:t>
      </w:r>
      <w:r>
        <w:rPr>
          <w:vertAlign w:val="baseline"/>
        </w:rPr>
        <w:t>main</w:t>
      </w:r>
      <w:r>
        <w:rPr>
          <w:spacing w:val="-8"/>
          <w:vertAlign w:val="baseline"/>
        </w:rPr>
        <w:t> </w:t>
      </w:r>
      <w:r>
        <w:rPr>
          <w:vertAlign w:val="baseline"/>
        </w:rPr>
        <w:t>findings</w:t>
      </w:r>
      <w:r>
        <w:rPr>
          <w:spacing w:val="-8"/>
          <w:vertAlign w:val="baseline"/>
        </w:rPr>
        <w:t> </w:t>
      </w:r>
      <w:r>
        <w:rPr>
          <w:vertAlign w:val="baseline"/>
        </w:rPr>
        <w:t>by</w:t>
      </w:r>
      <w:r>
        <w:rPr>
          <w:spacing w:val="-8"/>
          <w:vertAlign w:val="baseline"/>
        </w:rPr>
        <w:t> </w:t>
      </w:r>
      <w:r>
        <w:rPr>
          <w:vertAlign w:val="baseline"/>
        </w:rPr>
        <w:t>not</w:t>
      </w:r>
      <w:r>
        <w:rPr>
          <w:spacing w:val="-8"/>
          <w:vertAlign w:val="baseline"/>
        </w:rPr>
        <w:t> </w:t>
      </w:r>
      <w:r>
        <w:rPr>
          <w:vertAlign w:val="baseline"/>
        </w:rPr>
        <w:t>only validating our definition of </w:t>
      </w:r>
      <w:r>
        <w:rPr>
          <w:i/>
          <w:vertAlign w:val="baseline"/>
        </w:rPr>
        <w:t>HEDF93 </w:t>
      </w:r>
      <w:r>
        <w:rPr>
          <w:vertAlign w:val="baseline"/>
        </w:rPr>
        <w:t>but also ruling out the possible con- founding events during a longer</w:t>
      </w:r>
      <w:r>
        <w:rPr>
          <w:spacing w:val="-4"/>
          <w:vertAlign w:val="baseline"/>
        </w:rPr>
        <w:t> </w:t>
      </w:r>
      <w:r>
        <w:rPr>
          <w:vertAlign w:val="baseline"/>
        </w:rPr>
        <w:t>period.</w:t>
      </w:r>
    </w:p>
    <w:p>
      <w:pPr>
        <w:pStyle w:val="ListParagraph"/>
        <w:numPr>
          <w:ilvl w:val="1"/>
          <w:numId w:val="5"/>
        </w:numPr>
        <w:tabs>
          <w:tab w:pos="910" w:val="left" w:leader="none"/>
        </w:tabs>
        <w:spacing w:line="240" w:lineRule="auto" w:before="180" w:after="0"/>
        <w:ind w:left="909" w:right="0" w:hanging="377"/>
        <w:jc w:val="left"/>
        <w:rPr>
          <w:sz w:val="21"/>
        </w:rPr>
      </w:pPr>
      <w:r>
        <w:rPr>
          <w:w w:val="105"/>
          <w:sz w:val="16"/>
        </w:rPr>
        <w:t>CONTROLLING FOR POSSIBLE SELECTION</w:t>
      </w:r>
      <w:r>
        <w:rPr>
          <w:spacing w:val="3"/>
          <w:w w:val="105"/>
          <w:sz w:val="16"/>
        </w:rPr>
        <w:t> </w:t>
      </w:r>
      <w:r>
        <w:rPr>
          <w:w w:val="105"/>
          <w:sz w:val="16"/>
        </w:rPr>
        <w:t>BIASES</w:t>
      </w:r>
    </w:p>
    <w:p>
      <w:pPr>
        <w:pStyle w:val="BodyText"/>
        <w:spacing w:line="230" w:lineRule="auto" w:before="75"/>
        <w:ind w:left="532" w:right="149" w:firstLine="199"/>
        <w:jc w:val="both"/>
      </w:pPr>
      <w:r>
        <w:rPr/>
        <w:t>A</w:t>
      </w:r>
      <w:r>
        <w:rPr>
          <w:spacing w:val="-25"/>
        </w:rPr>
        <w:t> </w:t>
      </w:r>
      <w:r>
        <w:rPr/>
        <w:t>firm’s</w:t>
      </w:r>
      <w:r>
        <w:rPr>
          <w:spacing w:val="-25"/>
        </w:rPr>
        <w:t> </w:t>
      </w:r>
      <w:r>
        <w:rPr/>
        <w:t>state</w:t>
      </w:r>
      <w:r>
        <w:rPr>
          <w:spacing w:val="-25"/>
        </w:rPr>
        <w:t> </w:t>
      </w:r>
      <w:r>
        <w:rPr/>
        <w:t>of</w:t>
      </w:r>
      <w:r>
        <w:rPr>
          <w:spacing w:val="-25"/>
        </w:rPr>
        <w:t> </w:t>
      </w:r>
      <w:r>
        <w:rPr/>
        <w:t>incorporation</w:t>
      </w:r>
      <w:r>
        <w:rPr>
          <w:spacing w:val="-25"/>
        </w:rPr>
        <w:t> </w:t>
      </w:r>
      <w:r>
        <w:rPr/>
        <w:t>and</w:t>
      </w:r>
      <w:r>
        <w:rPr>
          <w:spacing w:val="-25"/>
        </w:rPr>
        <w:t> </w:t>
      </w:r>
      <w:r>
        <w:rPr/>
        <w:t>near</w:t>
      </w:r>
      <w:r>
        <w:rPr>
          <w:spacing w:val="-25"/>
        </w:rPr>
        <w:t> </w:t>
      </w:r>
      <w:r>
        <w:rPr/>
        <w:t>insolvency</w:t>
      </w:r>
      <w:r>
        <w:rPr>
          <w:spacing w:val="-25"/>
        </w:rPr>
        <w:t> </w:t>
      </w:r>
      <w:r>
        <w:rPr/>
        <w:t>status</w:t>
      </w:r>
      <w:r>
        <w:rPr>
          <w:spacing w:val="-25"/>
        </w:rPr>
        <w:t> </w:t>
      </w:r>
      <w:r>
        <w:rPr/>
        <w:t>may</w:t>
      </w:r>
      <w:r>
        <w:rPr>
          <w:spacing w:val="-25"/>
        </w:rPr>
        <w:t> </w:t>
      </w:r>
      <w:r>
        <w:rPr/>
        <w:t>not</w:t>
      </w:r>
      <w:r>
        <w:rPr>
          <w:spacing w:val="-25"/>
        </w:rPr>
        <w:t> </w:t>
      </w:r>
      <w:r>
        <w:rPr/>
        <w:t>be</w:t>
      </w:r>
      <w:r>
        <w:rPr>
          <w:spacing w:val="-25"/>
        </w:rPr>
        <w:t> </w:t>
      </w:r>
      <w:r>
        <w:rPr/>
        <w:t>ran- dom;</w:t>
      </w:r>
      <w:r>
        <w:rPr>
          <w:spacing w:val="-24"/>
        </w:rPr>
        <w:t> </w:t>
      </w:r>
      <w:r>
        <w:rPr>
          <w:spacing w:val="-4"/>
        </w:rPr>
        <w:t>rather,</w:t>
      </w:r>
      <w:r>
        <w:rPr>
          <w:spacing w:val="-24"/>
        </w:rPr>
        <w:t> </w:t>
      </w:r>
      <w:r>
        <w:rPr/>
        <w:t>they</w:t>
      </w:r>
      <w:r>
        <w:rPr>
          <w:spacing w:val="-24"/>
        </w:rPr>
        <w:t> </w:t>
      </w:r>
      <w:r>
        <w:rPr/>
        <w:t>can</w:t>
      </w:r>
      <w:r>
        <w:rPr>
          <w:spacing w:val="-24"/>
        </w:rPr>
        <w:t> </w:t>
      </w:r>
      <w:r>
        <w:rPr/>
        <w:t>be</w:t>
      </w:r>
      <w:r>
        <w:rPr>
          <w:spacing w:val="-24"/>
        </w:rPr>
        <w:t> </w:t>
      </w:r>
      <w:r>
        <w:rPr/>
        <w:t>driven</w:t>
      </w:r>
      <w:r>
        <w:rPr>
          <w:spacing w:val="-24"/>
        </w:rPr>
        <w:t> </w:t>
      </w:r>
      <w:r>
        <w:rPr/>
        <w:t>by</w:t>
      </w:r>
      <w:r>
        <w:rPr>
          <w:spacing w:val="-24"/>
        </w:rPr>
        <w:t> </w:t>
      </w:r>
      <w:r>
        <w:rPr/>
        <w:t>factors</w:t>
      </w:r>
      <w:r>
        <w:rPr>
          <w:spacing w:val="-24"/>
        </w:rPr>
        <w:t> </w:t>
      </w:r>
      <w:r>
        <w:rPr/>
        <w:t>that</w:t>
      </w:r>
      <w:r>
        <w:rPr>
          <w:spacing w:val="-24"/>
        </w:rPr>
        <w:t> </w:t>
      </w:r>
      <w:r>
        <w:rPr/>
        <w:t>also</w:t>
      </w:r>
      <w:r>
        <w:rPr>
          <w:spacing w:val="-24"/>
        </w:rPr>
        <w:t> </w:t>
      </w:r>
      <w:r>
        <w:rPr/>
        <w:t>affect</w:t>
      </w:r>
      <w:r>
        <w:rPr>
          <w:spacing w:val="-24"/>
        </w:rPr>
        <w:t> </w:t>
      </w:r>
      <w:r>
        <w:rPr/>
        <w:t>financial</w:t>
      </w:r>
      <w:r>
        <w:rPr>
          <w:spacing w:val="-24"/>
        </w:rPr>
        <w:t> </w:t>
      </w:r>
      <w:r>
        <w:rPr/>
        <w:t>reporting choices.</w:t>
      </w:r>
      <w:r>
        <w:rPr>
          <w:spacing w:val="-17"/>
        </w:rPr>
        <w:t> </w:t>
      </w:r>
      <w:r>
        <w:rPr>
          <w:spacing w:val="-6"/>
        </w:rPr>
        <w:t>We</w:t>
      </w:r>
      <w:r>
        <w:rPr>
          <w:spacing w:val="-17"/>
        </w:rPr>
        <w:t> </w:t>
      </w:r>
      <w:r>
        <w:rPr/>
        <w:t>address</w:t>
      </w:r>
      <w:r>
        <w:rPr>
          <w:spacing w:val="-17"/>
        </w:rPr>
        <w:t> </w:t>
      </w:r>
      <w:r>
        <w:rPr/>
        <w:t>such</w:t>
      </w:r>
      <w:r>
        <w:rPr>
          <w:spacing w:val="-17"/>
        </w:rPr>
        <w:t> </w:t>
      </w:r>
      <w:r>
        <w:rPr/>
        <w:t>selection</w:t>
      </w:r>
      <w:r>
        <w:rPr>
          <w:spacing w:val="-17"/>
        </w:rPr>
        <w:t> </w:t>
      </w:r>
      <w:r>
        <w:rPr/>
        <w:t>biases</w:t>
      </w:r>
      <w:r>
        <w:rPr>
          <w:spacing w:val="-17"/>
        </w:rPr>
        <w:t> </w:t>
      </w:r>
      <w:r>
        <w:rPr/>
        <w:t>using</w:t>
      </w:r>
      <w:r>
        <w:rPr>
          <w:spacing w:val="-17"/>
        </w:rPr>
        <w:t> </w:t>
      </w:r>
      <w:r>
        <w:rPr/>
        <w:t>Propensity</w:t>
      </w:r>
      <w:r>
        <w:rPr>
          <w:spacing w:val="-17"/>
        </w:rPr>
        <w:t> </w:t>
      </w:r>
      <w:r>
        <w:rPr/>
        <w:t>Score</w:t>
      </w:r>
      <w:r>
        <w:rPr>
          <w:spacing w:val="-17"/>
        </w:rPr>
        <w:t> </w:t>
      </w:r>
      <w:r>
        <w:rPr/>
        <w:t>Matching methodology.</w:t>
      </w:r>
    </w:p>
    <w:p>
      <w:pPr>
        <w:pStyle w:val="ListParagraph"/>
        <w:numPr>
          <w:ilvl w:val="2"/>
          <w:numId w:val="5"/>
        </w:numPr>
        <w:tabs>
          <w:tab w:pos="1310" w:val="left" w:leader="none"/>
        </w:tabs>
        <w:spacing w:line="230" w:lineRule="auto" w:before="162" w:after="0"/>
        <w:ind w:left="532" w:right="149" w:firstLine="199"/>
        <w:jc w:val="both"/>
        <w:rPr>
          <w:sz w:val="20"/>
        </w:rPr>
      </w:pPr>
      <w:r>
        <w:rPr/>
        <w:pict>
          <v:shape style="position:absolute;margin-left:328.069061pt;margin-top:69.159698pt;width:7.8pt;height:17.45pt;mso-position-horizontal-relative:page;mso-position-vertical-relative:paragraph;z-index:-64432"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244.251694pt;margin-top:152.851517pt;width:7.8pt;height:17.45pt;mso-position-horizontal-relative:page;mso-position-vertical-relative:paragraph;z-index:-64408"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393.715607pt;margin-top:140.890427pt;width:7.8pt;height:17.45pt;mso-position-horizontal-relative:page;mso-position-vertical-relative:paragraph;z-index:-64384" type="#_x0000_t202" filled="false" stroked="false">
            <v:textbox inset="0,0,0,0">
              <w:txbxContent>
                <w:p>
                  <w:pPr>
                    <w:pStyle w:val="BodyText"/>
                    <w:spacing w:line="247" w:lineRule="exact"/>
                    <w:rPr>
                      <w:rFonts w:ascii="Lucida Sans Unicode"/>
                    </w:rPr>
                  </w:pPr>
                  <w:r>
                    <w:rPr>
                      <w:rFonts w:ascii="Lucida Sans Unicode"/>
                      <w:w w:val="97"/>
                    </w:rPr>
                    <w:t>=</w:t>
                  </w:r>
                </w:p>
              </w:txbxContent>
            </v:textbox>
            <w10:wrap type="none"/>
          </v:shape>
        </w:pict>
      </w:r>
      <w:r>
        <w:rPr/>
        <w:pict>
          <v:shape style="position:absolute;margin-left:173.772003pt;margin-top:176.762589pt;width:69.3pt;height:17.45pt;mso-position-horizontal-relative:page;mso-position-vertical-relative:paragraph;z-index:-64336" type="#_x0000_t202" filled="false" stroked="false">
            <v:textbox inset="0,0,0,0">
              <w:txbxContent>
                <w:p>
                  <w:pPr>
                    <w:pStyle w:val="BodyText"/>
                    <w:tabs>
                      <w:tab w:pos="1229"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i/>
          <w:sz w:val="20"/>
        </w:rPr>
        <w:t>Possible</w:t>
      </w:r>
      <w:r>
        <w:rPr>
          <w:i/>
          <w:spacing w:val="-13"/>
          <w:sz w:val="20"/>
        </w:rPr>
        <w:t> </w:t>
      </w:r>
      <w:r>
        <w:rPr>
          <w:i/>
          <w:sz w:val="20"/>
        </w:rPr>
        <w:t>Selection</w:t>
      </w:r>
      <w:r>
        <w:rPr>
          <w:i/>
          <w:spacing w:val="-13"/>
          <w:sz w:val="20"/>
        </w:rPr>
        <w:t> </w:t>
      </w:r>
      <w:r>
        <w:rPr>
          <w:i/>
          <w:sz w:val="20"/>
        </w:rPr>
        <w:t>Bias</w:t>
      </w:r>
      <w:r>
        <w:rPr>
          <w:i/>
          <w:spacing w:val="-13"/>
          <w:sz w:val="20"/>
        </w:rPr>
        <w:t> </w:t>
      </w:r>
      <w:r>
        <w:rPr>
          <w:i/>
          <w:sz w:val="20"/>
        </w:rPr>
        <w:t>of</w:t>
      </w:r>
      <w:r>
        <w:rPr>
          <w:i/>
          <w:spacing w:val="-13"/>
          <w:sz w:val="20"/>
        </w:rPr>
        <w:t> </w:t>
      </w:r>
      <w:r>
        <w:rPr>
          <w:i/>
          <w:sz w:val="20"/>
        </w:rPr>
        <w:t>Near</w:t>
      </w:r>
      <w:r>
        <w:rPr>
          <w:i/>
          <w:spacing w:val="-13"/>
          <w:sz w:val="20"/>
        </w:rPr>
        <w:t> </w:t>
      </w:r>
      <w:r>
        <w:rPr>
          <w:i/>
          <w:sz w:val="20"/>
        </w:rPr>
        <w:t>Insolvent</w:t>
      </w:r>
      <w:r>
        <w:rPr>
          <w:i/>
          <w:spacing w:val="-13"/>
          <w:sz w:val="20"/>
        </w:rPr>
        <w:t> </w:t>
      </w:r>
      <w:r>
        <w:rPr>
          <w:i/>
          <w:sz w:val="20"/>
        </w:rPr>
        <w:t>Firms.</w:t>
      </w:r>
      <w:r>
        <w:rPr>
          <w:i/>
          <w:spacing w:val="2"/>
          <w:sz w:val="20"/>
        </w:rPr>
        <w:t> </w:t>
      </w:r>
      <w:r>
        <w:rPr>
          <w:sz w:val="20"/>
        </w:rPr>
        <w:t>Deteriorating</w:t>
      </w:r>
      <w:r>
        <w:rPr>
          <w:spacing w:val="-13"/>
          <w:sz w:val="20"/>
        </w:rPr>
        <w:t> </w:t>
      </w:r>
      <w:r>
        <w:rPr>
          <w:sz w:val="20"/>
        </w:rPr>
        <w:t>perfor- mance and/or financial constraints systematically drive firms to be near insolvent.</w:t>
      </w:r>
      <w:r>
        <w:rPr>
          <w:spacing w:val="-14"/>
          <w:sz w:val="20"/>
        </w:rPr>
        <w:t> </w:t>
      </w:r>
      <w:r>
        <w:rPr>
          <w:spacing w:val="-6"/>
          <w:sz w:val="20"/>
        </w:rPr>
        <w:t>We</w:t>
      </w:r>
      <w:r>
        <w:rPr>
          <w:spacing w:val="-14"/>
          <w:sz w:val="20"/>
        </w:rPr>
        <w:t> </w:t>
      </w:r>
      <w:r>
        <w:rPr>
          <w:sz w:val="20"/>
        </w:rPr>
        <w:t>control</w:t>
      </w:r>
      <w:r>
        <w:rPr>
          <w:spacing w:val="-15"/>
          <w:sz w:val="20"/>
        </w:rPr>
        <w:t> </w:t>
      </w:r>
      <w:r>
        <w:rPr>
          <w:sz w:val="20"/>
        </w:rPr>
        <w:t>for</w:t>
      </w:r>
      <w:r>
        <w:rPr>
          <w:spacing w:val="-14"/>
          <w:sz w:val="20"/>
        </w:rPr>
        <w:t> </w:t>
      </w:r>
      <w:r>
        <w:rPr>
          <w:sz w:val="20"/>
        </w:rPr>
        <w:t>such</w:t>
      </w:r>
      <w:r>
        <w:rPr>
          <w:spacing w:val="-15"/>
          <w:sz w:val="20"/>
        </w:rPr>
        <w:t> </w:t>
      </w:r>
      <w:r>
        <w:rPr>
          <w:sz w:val="20"/>
        </w:rPr>
        <w:t>variables</w:t>
      </w:r>
      <w:r>
        <w:rPr>
          <w:spacing w:val="-14"/>
          <w:sz w:val="20"/>
        </w:rPr>
        <w:t> </w:t>
      </w:r>
      <w:r>
        <w:rPr>
          <w:sz w:val="20"/>
        </w:rPr>
        <w:t>by</w:t>
      </w:r>
      <w:r>
        <w:rPr>
          <w:spacing w:val="-15"/>
          <w:sz w:val="20"/>
        </w:rPr>
        <w:t> </w:t>
      </w:r>
      <w:r>
        <w:rPr>
          <w:sz w:val="20"/>
        </w:rPr>
        <w:t>implementing</w:t>
      </w:r>
      <w:r>
        <w:rPr>
          <w:spacing w:val="-14"/>
          <w:sz w:val="20"/>
        </w:rPr>
        <w:t> </w:t>
      </w:r>
      <w:r>
        <w:rPr>
          <w:sz w:val="20"/>
        </w:rPr>
        <w:t>propensity</w:t>
      </w:r>
      <w:r>
        <w:rPr>
          <w:spacing w:val="-15"/>
          <w:sz w:val="20"/>
        </w:rPr>
        <w:t> </w:t>
      </w:r>
      <w:r>
        <w:rPr>
          <w:sz w:val="20"/>
        </w:rPr>
        <w:t>score matching on firms’ near insolvency status. In the first stage, we estimate a logit regression model following Jones and Hensher [2004], where the explanatory variables for the probability of </w:t>
      </w:r>
      <w:r>
        <w:rPr>
          <w:i/>
          <w:sz w:val="20"/>
        </w:rPr>
        <w:t>HEDF93 </w:t>
      </w:r>
      <w:r>
        <w:rPr>
          <w:sz w:val="20"/>
        </w:rPr>
        <w:t>1 include a new economy </w:t>
      </w:r>
      <w:r>
        <w:rPr>
          <w:spacing w:val="-3"/>
          <w:sz w:val="20"/>
        </w:rPr>
        <w:t>indicator, </w:t>
      </w:r>
      <w:r>
        <w:rPr>
          <w:sz w:val="20"/>
        </w:rPr>
        <w:t>cash resources deflated by total assets, operating cash flow deflated by total assets, debt–equity ratio, cash flow interest cover- age ratio (i.e., operating cash flow deflated by net interest expense), and industry and year dummies as tabulated in panel A of online appendix table A16. </w:t>
      </w:r>
      <w:r>
        <w:rPr>
          <w:spacing w:val="-6"/>
          <w:sz w:val="20"/>
        </w:rPr>
        <w:t>We </w:t>
      </w:r>
      <w:r>
        <w:rPr>
          <w:sz w:val="20"/>
        </w:rPr>
        <w:t>then use the predicted propensity of being near insolvent obtained from this model to match non-near insolvent firms (</w:t>
      </w:r>
      <w:r>
        <w:rPr>
          <w:i/>
          <w:sz w:val="20"/>
        </w:rPr>
        <w:t>HEDF93</w:t>
      </w:r>
      <w:r>
        <w:rPr>
          <w:i/>
          <w:spacing w:val="43"/>
          <w:sz w:val="20"/>
        </w:rPr>
        <w:t> </w:t>
      </w:r>
      <w:r>
        <w:rPr>
          <w:sz w:val="20"/>
        </w:rPr>
        <w:t>0) with near insolvent firms (</w:t>
      </w:r>
      <w:r>
        <w:rPr>
          <w:i/>
          <w:sz w:val="20"/>
        </w:rPr>
        <w:t>HEDF93</w:t>
      </w:r>
      <w:r>
        <w:rPr>
          <w:i/>
          <w:spacing w:val="5"/>
          <w:sz w:val="20"/>
        </w:rPr>
        <w:t> </w:t>
      </w:r>
      <w:r>
        <w:rPr>
          <w:sz w:val="20"/>
        </w:rPr>
        <w:t>1). In this matched sample we again find</w:t>
      </w:r>
      <w:r>
        <w:rPr>
          <w:spacing w:val="-25"/>
          <w:sz w:val="20"/>
        </w:rPr>
        <w:t> </w:t>
      </w:r>
      <w:r>
        <w:rPr>
          <w:sz w:val="20"/>
        </w:rPr>
        <w:t>that</w:t>
      </w:r>
      <w:r>
        <w:rPr>
          <w:spacing w:val="-25"/>
          <w:sz w:val="20"/>
        </w:rPr>
        <w:t> </w:t>
      </w:r>
      <w:r>
        <w:rPr>
          <w:sz w:val="20"/>
        </w:rPr>
        <w:t>the</w:t>
      </w:r>
      <w:r>
        <w:rPr>
          <w:spacing w:val="-25"/>
          <w:sz w:val="20"/>
        </w:rPr>
        <w:t> </w:t>
      </w:r>
      <w:r>
        <w:rPr>
          <w:sz w:val="20"/>
        </w:rPr>
        <w:t>post-ruling</w:t>
      </w:r>
      <w:r>
        <w:rPr>
          <w:spacing w:val="-25"/>
          <w:sz w:val="20"/>
        </w:rPr>
        <w:t> </w:t>
      </w:r>
      <w:r>
        <w:rPr>
          <w:sz w:val="20"/>
        </w:rPr>
        <w:t>increase</w:t>
      </w:r>
      <w:r>
        <w:rPr>
          <w:spacing w:val="-25"/>
          <w:sz w:val="20"/>
        </w:rPr>
        <w:t> </w:t>
      </w:r>
      <w:r>
        <w:rPr>
          <w:sz w:val="20"/>
        </w:rPr>
        <w:t>in</w:t>
      </w:r>
      <w:r>
        <w:rPr>
          <w:spacing w:val="-25"/>
          <w:sz w:val="20"/>
        </w:rPr>
        <w:t> </w:t>
      </w:r>
      <w:r>
        <w:rPr>
          <w:sz w:val="20"/>
        </w:rPr>
        <w:t>conservatism</w:t>
      </w:r>
      <w:r>
        <w:rPr>
          <w:spacing w:val="-25"/>
          <w:sz w:val="20"/>
        </w:rPr>
        <w:t> </w:t>
      </w:r>
      <w:r>
        <w:rPr>
          <w:sz w:val="20"/>
        </w:rPr>
        <w:t>is</w:t>
      </w:r>
      <w:r>
        <w:rPr>
          <w:spacing w:val="-25"/>
          <w:sz w:val="20"/>
        </w:rPr>
        <w:t> </w:t>
      </w:r>
      <w:r>
        <w:rPr>
          <w:sz w:val="20"/>
        </w:rPr>
        <w:t>larger</w:t>
      </w:r>
      <w:r>
        <w:rPr>
          <w:spacing w:val="-25"/>
          <w:sz w:val="20"/>
        </w:rPr>
        <w:t> </w:t>
      </w:r>
      <w:r>
        <w:rPr>
          <w:sz w:val="20"/>
        </w:rPr>
        <w:t>for</w:t>
      </w:r>
      <w:r>
        <w:rPr>
          <w:spacing w:val="-25"/>
          <w:sz w:val="20"/>
        </w:rPr>
        <w:t> </w:t>
      </w:r>
      <w:r>
        <w:rPr>
          <w:sz w:val="20"/>
        </w:rPr>
        <w:t>near</w:t>
      </w:r>
      <w:r>
        <w:rPr>
          <w:spacing w:val="-25"/>
          <w:sz w:val="20"/>
        </w:rPr>
        <w:t> </w:t>
      </w:r>
      <w:r>
        <w:rPr>
          <w:sz w:val="20"/>
        </w:rPr>
        <w:t>insolvent Delaware firms (</w:t>
      </w:r>
      <w:r>
        <w:rPr>
          <w:i/>
          <w:sz w:val="20"/>
        </w:rPr>
        <w:t>ß</w:t>
      </w:r>
      <w:r>
        <w:rPr>
          <w:i/>
          <w:color w:val="231F20"/>
          <w:sz w:val="20"/>
          <w:vertAlign w:val="subscript"/>
        </w:rPr>
        <w:t>7</w:t>
      </w:r>
      <w:r>
        <w:rPr>
          <w:i/>
          <w:color w:val="231F20"/>
          <w:sz w:val="20"/>
          <w:vertAlign w:val="baseline"/>
        </w:rPr>
        <w:t> </w:t>
      </w:r>
      <w:r>
        <w:rPr>
          <w:sz w:val="20"/>
          <w:vertAlign w:val="baseline"/>
        </w:rPr>
        <w:t>0.385, </w:t>
      </w:r>
      <w:r>
        <w:rPr>
          <w:i/>
          <w:sz w:val="20"/>
          <w:vertAlign w:val="baseline"/>
        </w:rPr>
        <w:t>t</w:t>
      </w:r>
      <w:r>
        <w:rPr>
          <w:sz w:val="20"/>
          <w:vertAlign w:val="baseline"/>
        </w:rPr>
        <w:t>-stat 2.15)—see panel B of online appendix table A16.</w:t>
      </w:r>
    </w:p>
    <w:p>
      <w:pPr>
        <w:pStyle w:val="ListParagraph"/>
        <w:numPr>
          <w:ilvl w:val="2"/>
          <w:numId w:val="5"/>
        </w:numPr>
        <w:tabs>
          <w:tab w:pos="1310" w:val="left" w:leader="none"/>
        </w:tabs>
        <w:spacing w:line="230" w:lineRule="auto" w:before="169" w:after="0"/>
        <w:ind w:left="532" w:right="149" w:firstLine="199"/>
        <w:jc w:val="both"/>
        <w:rPr>
          <w:sz w:val="20"/>
        </w:rPr>
      </w:pPr>
      <w:r>
        <w:rPr>
          <w:i/>
          <w:sz w:val="20"/>
        </w:rPr>
        <w:t>Possible</w:t>
      </w:r>
      <w:r>
        <w:rPr>
          <w:i/>
          <w:spacing w:val="-13"/>
          <w:sz w:val="20"/>
        </w:rPr>
        <w:t> </w:t>
      </w:r>
      <w:r>
        <w:rPr>
          <w:i/>
          <w:sz w:val="20"/>
        </w:rPr>
        <w:t>Selection</w:t>
      </w:r>
      <w:r>
        <w:rPr>
          <w:i/>
          <w:spacing w:val="-13"/>
          <w:sz w:val="20"/>
        </w:rPr>
        <w:t> </w:t>
      </w:r>
      <w:r>
        <w:rPr>
          <w:i/>
          <w:sz w:val="20"/>
        </w:rPr>
        <w:t>Bias</w:t>
      </w:r>
      <w:r>
        <w:rPr>
          <w:i/>
          <w:spacing w:val="-13"/>
          <w:sz w:val="20"/>
        </w:rPr>
        <w:t> </w:t>
      </w:r>
      <w:r>
        <w:rPr>
          <w:i/>
          <w:sz w:val="20"/>
        </w:rPr>
        <w:t>of</w:t>
      </w:r>
      <w:r>
        <w:rPr>
          <w:i/>
          <w:spacing w:val="-13"/>
          <w:sz w:val="20"/>
        </w:rPr>
        <w:t> </w:t>
      </w:r>
      <w:r>
        <w:rPr>
          <w:i/>
          <w:sz w:val="20"/>
        </w:rPr>
        <w:t>State</w:t>
      </w:r>
      <w:r>
        <w:rPr>
          <w:i/>
          <w:spacing w:val="-13"/>
          <w:sz w:val="20"/>
        </w:rPr>
        <w:t> </w:t>
      </w:r>
      <w:r>
        <w:rPr>
          <w:i/>
          <w:sz w:val="20"/>
        </w:rPr>
        <w:t>of</w:t>
      </w:r>
      <w:r>
        <w:rPr>
          <w:i/>
          <w:spacing w:val="-13"/>
          <w:sz w:val="20"/>
        </w:rPr>
        <w:t> </w:t>
      </w:r>
      <w:r>
        <w:rPr>
          <w:i/>
          <w:sz w:val="20"/>
        </w:rPr>
        <w:t>Incorporation.</w:t>
      </w:r>
      <w:r>
        <w:rPr>
          <w:i/>
          <w:spacing w:val="2"/>
          <w:sz w:val="20"/>
        </w:rPr>
        <w:t> </w:t>
      </w:r>
      <w:r>
        <w:rPr>
          <w:sz w:val="20"/>
        </w:rPr>
        <w:t>Prior</w:t>
      </w:r>
      <w:r>
        <w:rPr>
          <w:spacing w:val="-13"/>
          <w:sz w:val="20"/>
        </w:rPr>
        <w:t> </w:t>
      </w:r>
      <w:r>
        <w:rPr>
          <w:sz w:val="20"/>
        </w:rPr>
        <w:t>studies</w:t>
      </w:r>
      <w:r>
        <w:rPr>
          <w:spacing w:val="-13"/>
          <w:sz w:val="20"/>
        </w:rPr>
        <w:t> </w:t>
      </w:r>
      <w:r>
        <w:rPr>
          <w:sz w:val="20"/>
        </w:rPr>
        <w:t>suggest that</w:t>
      </w:r>
      <w:r>
        <w:rPr>
          <w:spacing w:val="-27"/>
          <w:sz w:val="20"/>
        </w:rPr>
        <w:t> </w:t>
      </w:r>
      <w:r>
        <w:rPr>
          <w:sz w:val="20"/>
        </w:rPr>
        <w:t>firms</w:t>
      </w:r>
      <w:r>
        <w:rPr>
          <w:spacing w:val="-27"/>
          <w:sz w:val="20"/>
        </w:rPr>
        <w:t> </w:t>
      </w:r>
      <w:r>
        <w:rPr>
          <w:sz w:val="20"/>
        </w:rPr>
        <w:t>strategically</w:t>
      </w:r>
      <w:r>
        <w:rPr>
          <w:spacing w:val="-27"/>
          <w:sz w:val="20"/>
        </w:rPr>
        <w:t> </w:t>
      </w:r>
      <w:r>
        <w:rPr>
          <w:sz w:val="20"/>
        </w:rPr>
        <w:t>choose</w:t>
      </w:r>
      <w:r>
        <w:rPr>
          <w:spacing w:val="-27"/>
          <w:sz w:val="20"/>
        </w:rPr>
        <w:t> </w:t>
      </w:r>
      <w:r>
        <w:rPr>
          <w:sz w:val="20"/>
        </w:rPr>
        <w:t>to</w:t>
      </w:r>
      <w:r>
        <w:rPr>
          <w:spacing w:val="-27"/>
          <w:sz w:val="20"/>
        </w:rPr>
        <w:t> </w:t>
      </w:r>
      <w:r>
        <w:rPr>
          <w:sz w:val="20"/>
        </w:rPr>
        <w:t>incorporate</w:t>
      </w:r>
      <w:r>
        <w:rPr>
          <w:spacing w:val="-27"/>
          <w:sz w:val="20"/>
        </w:rPr>
        <w:t> </w:t>
      </w:r>
      <w:r>
        <w:rPr>
          <w:sz w:val="20"/>
        </w:rPr>
        <w:t>in</w:t>
      </w:r>
      <w:r>
        <w:rPr>
          <w:spacing w:val="-27"/>
          <w:sz w:val="20"/>
        </w:rPr>
        <w:t> </w:t>
      </w:r>
      <w:r>
        <w:rPr>
          <w:sz w:val="20"/>
        </w:rPr>
        <w:t>certain</w:t>
      </w:r>
      <w:r>
        <w:rPr>
          <w:spacing w:val="-27"/>
          <w:sz w:val="20"/>
        </w:rPr>
        <w:t> </w:t>
      </w:r>
      <w:r>
        <w:rPr>
          <w:sz w:val="20"/>
        </w:rPr>
        <w:t>states</w:t>
      </w:r>
      <w:r>
        <w:rPr>
          <w:spacing w:val="-27"/>
          <w:sz w:val="20"/>
        </w:rPr>
        <w:t> </w:t>
      </w:r>
      <w:r>
        <w:rPr>
          <w:sz w:val="20"/>
        </w:rPr>
        <w:t>like</w:t>
      </w:r>
      <w:r>
        <w:rPr>
          <w:spacing w:val="-27"/>
          <w:sz w:val="20"/>
        </w:rPr>
        <w:t> </w:t>
      </w:r>
      <w:r>
        <w:rPr>
          <w:sz w:val="20"/>
        </w:rPr>
        <w:t>Delaware, and this decision can improve firm value (Daines [2001], Bebchuk and Cohen [2003]). More recently, Litwak [2011] provides evidence that the results</w:t>
      </w:r>
      <w:r>
        <w:rPr>
          <w:spacing w:val="-20"/>
          <w:sz w:val="20"/>
        </w:rPr>
        <w:t> </w:t>
      </w:r>
      <w:r>
        <w:rPr>
          <w:sz w:val="20"/>
        </w:rPr>
        <w:t>of</w:t>
      </w:r>
      <w:r>
        <w:rPr>
          <w:spacing w:val="-20"/>
          <w:sz w:val="20"/>
        </w:rPr>
        <w:t> </w:t>
      </w:r>
      <w:r>
        <w:rPr>
          <w:sz w:val="20"/>
        </w:rPr>
        <w:t>increased</w:t>
      </w:r>
      <w:r>
        <w:rPr>
          <w:spacing w:val="-20"/>
          <w:sz w:val="20"/>
        </w:rPr>
        <w:t> </w:t>
      </w:r>
      <w:r>
        <w:rPr>
          <w:sz w:val="20"/>
        </w:rPr>
        <w:t>firm</w:t>
      </w:r>
      <w:r>
        <w:rPr>
          <w:spacing w:val="-20"/>
          <w:sz w:val="20"/>
        </w:rPr>
        <w:t> </w:t>
      </w:r>
      <w:r>
        <w:rPr>
          <w:sz w:val="20"/>
        </w:rPr>
        <w:t>value</w:t>
      </w:r>
      <w:r>
        <w:rPr>
          <w:spacing w:val="-20"/>
          <w:sz w:val="20"/>
        </w:rPr>
        <w:t> </w:t>
      </w:r>
      <w:r>
        <w:rPr>
          <w:sz w:val="20"/>
        </w:rPr>
        <w:t>and</w:t>
      </w:r>
      <w:r>
        <w:rPr>
          <w:spacing w:val="-20"/>
          <w:sz w:val="20"/>
        </w:rPr>
        <w:t> </w:t>
      </w:r>
      <w:r>
        <w:rPr>
          <w:sz w:val="20"/>
        </w:rPr>
        <w:t>performance</w:t>
      </w:r>
      <w:r>
        <w:rPr>
          <w:spacing w:val="-20"/>
          <w:sz w:val="20"/>
        </w:rPr>
        <w:t> </w:t>
      </w:r>
      <w:r>
        <w:rPr>
          <w:sz w:val="20"/>
        </w:rPr>
        <w:t>among</w:t>
      </w:r>
      <w:r>
        <w:rPr>
          <w:spacing w:val="-20"/>
          <w:sz w:val="20"/>
        </w:rPr>
        <w:t> </w:t>
      </w:r>
      <w:r>
        <w:rPr>
          <w:sz w:val="20"/>
        </w:rPr>
        <w:t>Delaware</w:t>
      </w:r>
      <w:r>
        <w:rPr>
          <w:spacing w:val="-20"/>
          <w:sz w:val="20"/>
        </w:rPr>
        <w:t> </w:t>
      </w:r>
      <w:r>
        <w:rPr>
          <w:sz w:val="20"/>
        </w:rPr>
        <w:t>incorpo- rated</w:t>
      </w:r>
      <w:r>
        <w:rPr>
          <w:spacing w:val="-21"/>
          <w:sz w:val="20"/>
        </w:rPr>
        <w:t> </w:t>
      </w:r>
      <w:r>
        <w:rPr>
          <w:sz w:val="20"/>
        </w:rPr>
        <w:t>firms</w:t>
      </w:r>
      <w:r>
        <w:rPr>
          <w:spacing w:val="-21"/>
          <w:sz w:val="20"/>
        </w:rPr>
        <w:t> </w:t>
      </w:r>
      <w:r>
        <w:rPr>
          <w:sz w:val="20"/>
        </w:rPr>
        <w:t>disappear</w:t>
      </w:r>
      <w:r>
        <w:rPr>
          <w:spacing w:val="-21"/>
          <w:sz w:val="20"/>
        </w:rPr>
        <w:t> </w:t>
      </w:r>
      <w:r>
        <w:rPr>
          <w:sz w:val="20"/>
        </w:rPr>
        <w:t>after</w:t>
      </w:r>
      <w:r>
        <w:rPr>
          <w:spacing w:val="-21"/>
          <w:sz w:val="20"/>
        </w:rPr>
        <w:t> </w:t>
      </w:r>
      <w:r>
        <w:rPr>
          <w:sz w:val="20"/>
        </w:rPr>
        <w:t>controlling</w:t>
      </w:r>
      <w:r>
        <w:rPr>
          <w:spacing w:val="-21"/>
          <w:sz w:val="20"/>
        </w:rPr>
        <w:t> </w:t>
      </w:r>
      <w:r>
        <w:rPr>
          <w:sz w:val="20"/>
        </w:rPr>
        <w:t>for</w:t>
      </w:r>
      <w:r>
        <w:rPr>
          <w:spacing w:val="-21"/>
          <w:sz w:val="20"/>
        </w:rPr>
        <w:t> </w:t>
      </w:r>
      <w:r>
        <w:rPr>
          <w:sz w:val="20"/>
        </w:rPr>
        <w:t>the</w:t>
      </w:r>
      <w:r>
        <w:rPr>
          <w:spacing w:val="-21"/>
          <w:sz w:val="20"/>
        </w:rPr>
        <w:t> </w:t>
      </w:r>
      <w:r>
        <w:rPr>
          <w:sz w:val="20"/>
        </w:rPr>
        <w:t>general</w:t>
      </w:r>
      <w:r>
        <w:rPr>
          <w:spacing w:val="-21"/>
          <w:sz w:val="20"/>
        </w:rPr>
        <w:t> </w:t>
      </w:r>
      <w:r>
        <w:rPr>
          <w:sz w:val="20"/>
        </w:rPr>
        <w:t>choice</w:t>
      </w:r>
      <w:r>
        <w:rPr>
          <w:spacing w:val="-21"/>
          <w:sz w:val="20"/>
        </w:rPr>
        <w:t> </w:t>
      </w:r>
      <w:r>
        <w:rPr>
          <w:sz w:val="20"/>
        </w:rPr>
        <w:t>of</w:t>
      </w:r>
      <w:r>
        <w:rPr>
          <w:spacing w:val="-21"/>
          <w:sz w:val="20"/>
        </w:rPr>
        <w:t> </w:t>
      </w:r>
      <w:r>
        <w:rPr>
          <w:sz w:val="20"/>
        </w:rPr>
        <w:t>out-of-state incorporation. Although the literature is in disagreement over the influ- ence</w:t>
      </w:r>
      <w:r>
        <w:rPr>
          <w:spacing w:val="-7"/>
          <w:sz w:val="20"/>
        </w:rPr>
        <w:t> </w:t>
      </w:r>
      <w:r>
        <w:rPr>
          <w:sz w:val="20"/>
        </w:rPr>
        <w:t>of</w:t>
      </w:r>
      <w:r>
        <w:rPr>
          <w:spacing w:val="-7"/>
          <w:sz w:val="20"/>
        </w:rPr>
        <w:t> </w:t>
      </w:r>
      <w:r>
        <w:rPr>
          <w:sz w:val="20"/>
        </w:rPr>
        <w:t>Delaware</w:t>
      </w:r>
      <w:r>
        <w:rPr>
          <w:spacing w:val="-7"/>
          <w:sz w:val="20"/>
        </w:rPr>
        <w:t> </w:t>
      </w:r>
      <w:r>
        <w:rPr>
          <w:sz w:val="20"/>
        </w:rPr>
        <w:t>incorporation</w:t>
      </w:r>
      <w:r>
        <w:rPr>
          <w:spacing w:val="-7"/>
          <w:sz w:val="20"/>
        </w:rPr>
        <w:t> </w:t>
      </w:r>
      <w:r>
        <w:rPr>
          <w:sz w:val="20"/>
        </w:rPr>
        <w:t>choice</w:t>
      </w:r>
      <w:r>
        <w:rPr>
          <w:spacing w:val="-7"/>
          <w:sz w:val="20"/>
        </w:rPr>
        <w:t> </w:t>
      </w:r>
      <w:r>
        <w:rPr>
          <w:sz w:val="20"/>
        </w:rPr>
        <w:t>on</w:t>
      </w:r>
      <w:r>
        <w:rPr>
          <w:spacing w:val="-7"/>
          <w:sz w:val="20"/>
        </w:rPr>
        <w:t> </w:t>
      </w:r>
      <w:r>
        <w:rPr>
          <w:sz w:val="20"/>
        </w:rPr>
        <w:t>firm</w:t>
      </w:r>
      <w:r>
        <w:rPr>
          <w:spacing w:val="-7"/>
          <w:sz w:val="20"/>
        </w:rPr>
        <w:t> </w:t>
      </w:r>
      <w:r>
        <w:rPr>
          <w:sz w:val="20"/>
        </w:rPr>
        <w:t>behaviors,</w:t>
      </w:r>
      <w:r>
        <w:rPr>
          <w:spacing w:val="-7"/>
          <w:sz w:val="20"/>
        </w:rPr>
        <w:t> </w:t>
      </w:r>
      <w:r>
        <w:rPr>
          <w:sz w:val="20"/>
        </w:rPr>
        <w:t>we</w:t>
      </w:r>
      <w:r>
        <w:rPr>
          <w:spacing w:val="-7"/>
          <w:sz w:val="20"/>
        </w:rPr>
        <w:t> </w:t>
      </w:r>
      <w:r>
        <w:rPr>
          <w:sz w:val="20"/>
        </w:rPr>
        <w:t>still</w:t>
      </w:r>
      <w:r>
        <w:rPr>
          <w:spacing w:val="-7"/>
          <w:sz w:val="20"/>
        </w:rPr>
        <w:t> </w:t>
      </w:r>
      <w:r>
        <w:rPr>
          <w:sz w:val="20"/>
        </w:rPr>
        <w:t>conduct an</w:t>
      </w:r>
      <w:r>
        <w:rPr>
          <w:spacing w:val="-32"/>
          <w:sz w:val="20"/>
        </w:rPr>
        <w:t> </w:t>
      </w:r>
      <w:r>
        <w:rPr>
          <w:sz w:val="20"/>
        </w:rPr>
        <w:t>additional</w:t>
      </w:r>
      <w:r>
        <w:rPr>
          <w:spacing w:val="-32"/>
          <w:sz w:val="20"/>
        </w:rPr>
        <w:t> </w:t>
      </w:r>
      <w:r>
        <w:rPr>
          <w:sz w:val="20"/>
        </w:rPr>
        <w:t>analysis</w:t>
      </w:r>
      <w:r>
        <w:rPr>
          <w:spacing w:val="-32"/>
          <w:sz w:val="20"/>
        </w:rPr>
        <w:t> </w:t>
      </w:r>
      <w:r>
        <w:rPr>
          <w:sz w:val="20"/>
        </w:rPr>
        <w:t>by</w:t>
      </w:r>
      <w:r>
        <w:rPr>
          <w:spacing w:val="-32"/>
          <w:sz w:val="20"/>
        </w:rPr>
        <w:t> </w:t>
      </w:r>
      <w:r>
        <w:rPr>
          <w:sz w:val="20"/>
        </w:rPr>
        <w:t>matching</w:t>
      </w:r>
      <w:r>
        <w:rPr>
          <w:spacing w:val="-32"/>
          <w:sz w:val="20"/>
        </w:rPr>
        <w:t> </w:t>
      </w:r>
      <w:r>
        <w:rPr>
          <w:sz w:val="20"/>
        </w:rPr>
        <w:t>Delaware</w:t>
      </w:r>
      <w:r>
        <w:rPr>
          <w:spacing w:val="-32"/>
          <w:sz w:val="20"/>
        </w:rPr>
        <w:t> </w:t>
      </w:r>
      <w:r>
        <w:rPr>
          <w:sz w:val="20"/>
        </w:rPr>
        <w:t>and</w:t>
      </w:r>
      <w:r>
        <w:rPr>
          <w:spacing w:val="-32"/>
          <w:sz w:val="20"/>
        </w:rPr>
        <w:t> </w:t>
      </w:r>
      <w:r>
        <w:rPr>
          <w:sz w:val="20"/>
        </w:rPr>
        <w:t>non-Delaware</w:t>
      </w:r>
      <w:r>
        <w:rPr>
          <w:spacing w:val="-32"/>
          <w:sz w:val="20"/>
        </w:rPr>
        <w:t> </w:t>
      </w:r>
      <w:r>
        <w:rPr>
          <w:sz w:val="20"/>
        </w:rPr>
        <w:t>companies</w:t>
      </w:r>
    </w:p>
    <w:p>
      <w:pPr>
        <w:pStyle w:val="BodyText"/>
      </w:pPr>
    </w:p>
    <w:p>
      <w:pPr>
        <w:pStyle w:val="BodyText"/>
        <w:rPr>
          <w:sz w:val="11"/>
        </w:rPr>
      </w:pPr>
      <w:r>
        <w:rPr/>
        <w:pict>
          <v:line style="position:absolute;mso-position-horizontal-relative:page;mso-position-vertical-relative:paragraph;z-index:7216;mso-wrap-distance-left:0;mso-wrap-distance-right:0" from="90.629997pt,9.125681pt" to="126.503997pt,9.125681pt" stroked="true" strokeweight=".504pt" strokecolor="#000000">
            <v:stroke dashstyle="solid"/>
            <w10:wrap type="topAndBottom"/>
          </v:line>
        </w:pict>
      </w:r>
    </w:p>
    <w:p>
      <w:pPr>
        <w:spacing w:before="72"/>
        <w:ind w:left="711" w:right="0" w:firstLine="0"/>
        <w:jc w:val="left"/>
        <w:rPr>
          <w:sz w:val="16"/>
        </w:rPr>
      </w:pPr>
      <w:r>
        <w:rPr>
          <w:color w:val="231F20"/>
          <w:position w:val="6"/>
          <w:sz w:val="12"/>
        </w:rPr>
        <w:t>32</w:t>
      </w:r>
      <w:r>
        <w:rPr>
          <w:color w:val="231F20"/>
          <w:spacing w:val="-18"/>
          <w:position w:val="6"/>
          <w:sz w:val="12"/>
        </w:rPr>
        <w:t> </w:t>
      </w:r>
      <w:r>
        <w:rPr>
          <w:color w:val="231F20"/>
          <w:sz w:val="16"/>
        </w:rPr>
        <w:t>The</w:t>
      </w:r>
      <w:r>
        <w:rPr>
          <w:color w:val="231F20"/>
          <w:spacing w:val="-15"/>
          <w:sz w:val="16"/>
        </w:rPr>
        <w:t> </w:t>
      </w:r>
      <w:r>
        <w:rPr>
          <w:color w:val="231F20"/>
          <w:sz w:val="16"/>
        </w:rPr>
        <w:t>marginal</w:t>
      </w:r>
      <w:r>
        <w:rPr>
          <w:color w:val="231F20"/>
          <w:spacing w:val="-15"/>
          <w:sz w:val="16"/>
        </w:rPr>
        <w:t> </w:t>
      </w:r>
      <w:r>
        <w:rPr>
          <w:color w:val="231F20"/>
          <w:sz w:val="16"/>
        </w:rPr>
        <w:t>significance</w:t>
      </w:r>
      <w:r>
        <w:rPr>
          <w:color w:val="231F20"/>
          <w:spacing w:val="-15"/>
          <w:sz w:val="16"/>
        </w:rPr>
        <w:t> </w:t>
      </w:r>
      <w:r>
        <w:rPr>
          <w:color w:val="231F20"/>
          <w:sz w:val="16"/>
        </w:rPr>
        <w:t>for</w:t>
      </w:r>
      <w:r>
        <w:rPr>
          <w:color w:val="231F20"/>
          <w:spacing w:val="-15"/>
          <w:sz w:val="16"/>
        </w:rPr>
        <w:t> </w:t>
      </w:r>
      <w:r>
        <w:rPr>
          <w:color w:val="231F20"/>
          <w:sz w:val="16"/>
        </w:rPr>
        <w:t>the</w:t>
      </w:r>
      <w:r>
        <w:rPr>
          <w:color w:val="231F20"/>
          <w:spacing w:val="-15"/>
          <w:sz w:val="16"/>
        </w:rPr>
        <w:t> </w:t>
      </w:r>
      <w:r>
        <w:rPr>
          <w:color w:val="231F20"/>
          <w:sz w:val="16"/>
        </w:rPr>
        <w:t>two-year</w:t>
      </w:r>
      <w:r>
        <w:rPr>
          <w:color w:val="231F20"/>
          <w:spacing w:val="-15"/>
          <w:sz w:val="16"/>
        </w:rPr>
        <w:t> </w:t>
      </w:r>
      <w:r>
        <w:rPr>
          <w:color w:val="231F20"/>
          <w:sz w:val="16"/>
        </w:rPr>
        <w:t>event</w:t>
      </w:r>
      <w:r>
        <w:rPr>
          <w:color w:val="231F20"/>
          <w:spacing w:val="-15"/>
          <w:sz w:val="16"/>
        </w:rPr>
        <w:t> </w:t>
      </w:r>
      <w:r>
        <w:rPr>
          <w:color w:val="231F20"/>
          <w:sz w:val="16"/>
        </w:rPr>
        <w:t>window</w:t>
      </w:r>
      <w:r>
        <w:rPr>
          <w:color w:val="231F20"/>
          <w:spacing w:val="-15"/>
          <w:sz w:val="16"/>
        </w:rPr>
        <w:t> </w:t>
      </w:r>
      <w:r>
        <w:rPr>
          <w:color w:val="231F20"/>
          <w:sz w:val="16"/>
        </w:rPr>
        <w:t>is</w:t>
      </w:r>
      <w:r>
        <w:rPr>
          <w:color w:val="231F20"/>
          <w:spacing w:val="-15"/>
          <w:sz w:val="16"/>
        </w:rPr>
        <w:t> </w:t>
      </w:r>
      <w:r>
        <w:rPr>
          <w:color w:val="231F20"/>
          <w:sz w:val="16"/>
        </w:rPr>
        <w:t>probably</w:t>
      </w:r>
      <w:r>
        <w:rPr>
          <w:color w:val="231F20"/>
          <w:spacing w:val="-15"/>
          <w:sz w:val="16"/>
        </w:rPr>
        <w:t> </w:t>
      </w:r>
      <w:r>
        <w:rPr>
          <w:color w:val="231F20"/>
          <w:sz w:val="16"/>
        </w:rPr>
        <w:t>due</w:t>
      </w:r>
      <w:r>
        <w:rPr>
          <w:color w:val="231F20"/>
          <w:spacing w:val="-15"/>
          <w:sz w:val="16"/>
        </w:rPr>
        <w:t> </w:t>
      </w:r>
      <w:r>
        <w:rPr>
          <w:color w:val="231F20"/>
          <w:sz w:val="16"/>
        </w:rPr>
        <w:t>to</w:t>
      </w:r>
      <w:r>
        <w:rPr>
          <w:color w:val="231F20"/>
          <w:spacing w:val="-15"/>
          <w:sz w:val="16"/>
        </w:rPr>
        <w:t> </w:t>
      </w:r>
      <w:r>
        <w:rPr>
          <w:color w:val="231F20"/>
          <w:sz w:val="16"/>
        </w:rPr>
        <w:t>two</w:t>
      </w:r>
      <w:r>
        <w:rPr>
          <w:color w:val="231F20"/>
          <w:spacing w:val="-15"/>
          <w:sz w:val="16"/>
        </w:rPr>
        <w:t> </w:t>
      </w:r>
      <w:r>
        <w:rPr>
          <w:color w:val="231F20"/>
          <w:sz w:val="16"/>
        </w:rPr>
        <w:t>reasons:</w:t>
      </w:r>
    </w:p>
    <w:p>
      <w:pPr>
        <w:spacing w:before="1"/>
        <w:ind w:left="532" w:right="149" w:hanging="1"/>
        <w:jc w:val="both"/>
        <w:rPr>
          <w:sz w:val="16"/>
        </w:rPr>
      </w:pPr>
      <w:r>
        <w:rPr/>
        <w:pict>
          <v:line style="position:absolute;mso-position-horizontal-relative:page;mso-position-vertical-relative:paragraph;z-index:-64480" from="331.380005pt,7.530973pt" to="333.774005pt,7.530973pt" stroked="true" strokeweight=".405pt" strokecolor="#000000">
            <v:stroke dashstyle="solid"/>
            <w10:wrap type="none"/>
          </v:line>
        </w:pict>
      </w:r>
      <w:r>
        <w:rPr/>
        <w:pict>
          <v:line style="position:absolute;mso-position-horizontal-relative:page;mso-position-vertical-relative:paragraph;z-index:-64456" from="377.675995pt,7.530973pt" to="380.069995pt,7.530973pt" stroked="true" strokeweight=".405pt" strokecolor="#000000">
            <v:stroke dashstyle="solid"/>
            <w10:wrap type="none"/>
          </v:line>
        </w:pict>
      </w:r>
      <w:r>
        <w:rPr>
          <w:color w:val="231F20"/>
          <w:sz w:val="16"/>
        </w:rPr>
        <w:t>(1) conservatism measures are estimated over multiple years (e.g., </w:t>
      </w:r>
      <w:r>
        <w:rPr>
          <w:i/>
          <w:color w:val="231F20"/>
          <w:sz w:val="16"/>
        </w:rPr>
        <w:t>C ACCR </w:t>
      </w:r>
      <w:r>
        <w:rPr>
          <w:color w:val="231F20"/>
          <w:sz w:val="16"/>
        </w:rPr>
        <w:t>and </w:t>
      </w:r>
      <w:r>
        <w:rPr>
          <w:i/>
          <w:color w:val="231F20"/>
          <w:sz w:val="16"/>
        </w:rPr>
        <w:t>C SKEW</w:t>
      </w:r>
      <w:r>
        <w:rPr>
          <w:color w:val="231F20"/>
          <w:sz w:val="16"/>
        </w:rPr>
        <w:t>) to mitigate</w:t>
      </w:r>
      <w:r>
        <w:rPr>
          <w:color w:val="231F20"/>
          <w:spacing w:val="-19"/>
          <w:sz w:val="16"/>
        </w:rPr>
        <w:t> </w:t>
      </w:r>
      <w:r>
        <w:rPr>
          <w:color w:val="231F20"/>
          <w:sz w:val="16"/>
        </w:rPr>
        <w:t>the</w:t>
      </w:r>
      <w:r>
        <w:rPr>
          <w:color w:val="231F20"/>
          <w:spacing w:val="-19"/>
          <w:sz w:val="16"/>
        </w:rPr>
        <w:t> </w:t>
      </w:r>
      <w:r>
        <w:rPr>
          <w:color w:val="231F20"/>
          <w:sz w:val="16"/>
        </w:rPr>
        <w:t>impact</w:t>
      </w:r>
      <w:r>
        <w:rPr>
          <w:color w:val="231F20"/>
          <w:spacing w:val="-19"/>
          <w:sz w:val="16"/>
        </w:rPr>
        <w:t> </w:t>
      </w:r>
      <w:r>
        <w:rPr>
          <w:color w:val="231F20"/>
          <w:sz w:val="16"/>
        </w:rPr>
        <w:t>of</w:t>
      </w:r>
      <w:r>
        <w:rPr>
          <w:color w:val="231F20"/>
          <w:spacing w:val="-19"/>
          <w:sz w:val="16"/>
        </w:rPr>
        <w:t> </w:t>
      </w:r>
      <w:r>
        <w:rPr>
          <w:color w:val="231F20"/>
          <w:sz w:val="16"/>
        </w:rPr>
        <w:t>any</w:t>
      </w:r>
      <w:r>
        <w:rPr>
          <w:color w:val="231F20"/>
          <w:spacing w:val="-19"/>
          <w:sz w:val="16"/>
        </w:rPr>
        <w:t> </w:t>
      </w:r>
      <w:r>
        <w:rPr>
          <w:color w:val="231F20"/>
          <w:sz w:val="16"/>
        </w:rPr>
        <w:t>temporary</w:t>
      </w:r>
      <w:r>
        <w:rPr>
          <w:color w:val="231F20"/>
          <w:spacing w:val="-19"/>
          <w:sz w:val="16"/>
        </w:rPr>
        <w:t> </w:t>
      </w:r>
      <w:r>
        <w:rPr>
          <w:color w:val="231F20"/>
          <w:sz w:val="16"/>
        </w:rPr>
        <w:t>large</w:t>
      </w:r>
      <w:r>
        <w:rPr>
          <w:color w:val="231F20"/>
          <w:spacing w:val="-19"/>
          <w:sz w:val="16"/>
        </w:rPr>
        <w:t> </w:t>
      </w:r>
      <w:r>
        <w:rPr>
          <w:color w:val="231F20"/>
          <w:sz w:val="16"/>
        </w:rPr>
        <w:t>accruals,</w:t>
      </w:r>
      <w:r>
        <w:rPr>
          <w:color w:val="231F20"/>
          <w:spacing w:val="-19"/>
          <w:sz w:val="16"/>
        </w:rPr>
        <w:t> </w:t>
      </w:r>
      <w:r>
        <w:rPr>
          <w:color w:val="231F20"/>
          <w:sz w:val="16"/>
        </w:rPr>
        <w:t>and</w:t>
      </w:r>
      <w:r>
        <w:rPr>
          <w:color w:val="231F20"/>
          <w:spacing w:val="-19"/>
          <w:sz w:val="16"/>
        </w:rPr>
        <w:t> </w:t>
      </w:r>
      <w:r>
        <w:rPr>
          <w:color w:val="231F20"/>
          <w:sz w:val="16"/>
        </w:rPr>
        <w:t>thus</w:t>
      </w:r>
      <w:r>
        <w:rPr>
          <w:color w:val="231F20"/>
          <w:spacing w:val="-19"/>
          <w:sz w:val="16"/>
        </w:rPr>
        <w:t> </w:t>
      </w:r>
      <w:r>
        <w:rPr>
          <w:color w:val="231F20"/>
          <w:sz w:val="16"/>
        </w:rPr>
        <w:t>the</w:t>
      </w:r>
      <w:r>
        <w:rPr>
          <w:color w:val="231F20"/>
          <w:spacing w:val="-19"/>
          <w:sz w:val="16"/>
        </w:rPr>
        <w:t> </w:t>
      </w:r>
      <w:r>
        <w:rPr>
          <w:color w:val="231F20"/>
          <w:sz w:val="16"/>
        </w:rPr>
        <w:t>change</w:t>
      </w:r>
      <w:r>
        <w:rPr>
          <w:color w:val="231F20"/>
          <w:spacing w:val="-19"/>
          <w:sz w:val="16"/>
        </w:rPr>
        <w:t> </w:t>
      </w:r>
      <w:r>
        <w:rPr>
          <w:color w:val="231F20"/>
          <w:sz w:val="16"/>
        </w:rPr>
        <w:t>in</w:t>
      </w:r>
      <w:r>
        <w:rPr>
          <w:color w:val="231F20"/>
          <w:spacing w:val="-19"/>
          <w:sz w:val="16"/>
        </w:rPr>
        <w:t> </w:t>
      </w:r>
      <w:r>
        <w:rPr>
          <w:color w:val="231F20"/>
          <w:sz w:val="16"/>
        </w:rPr>
        <w:t>conservatism</w:t>
      </w:r>
      <w:r>
        <w:rPr>
          <w:color w:val="231F20"/>
          <w:spacing w:val="-19"/>
          <w:sz w:val="16"/>
        </w:rPr>
        <w:t> </w:t>
      </w:r>
      <w:r>
        <w:rPr>
          <w:color w:val="231F20"/>
          <w:sz w:val="16"/>
        </w:rPr>
        <w:t>over a</w:t>
      </w:r>
      <w:r>
        <w:rPr>
          <w:color w:val="231F20"/>
          <w:spacing w:val="-3"/>
          <w:sz w:val="16"/>
        </w:rPr>
        <w:t> </w:t>
      </w:r>
      <w:r>
        <w:rPr>
          <w:color w:val="231F20"/>
          <w:sz w:val="16"/>
        </w:rPr>
        <w:t>short</w:t>
      </w:r>
      <w:r>
        <w:rPr>
          <w:color w:val="231F20"/>
          <w:spacing w:val="-3"/>
          <w:sz w:val="16"/>
        </w:rPr>
        <w:t> </w:t>
      </w:r>
      <w:r>
        <w:rPr>
          <w:color w:val="231F20"/>
          <w:sz w:val="16"/>
        </w:rPr>
        <w:t>period</w:t>
      </w:r>
      <w:r>
        <w:rPr>
          <w:color w:val="231F20"/>
          <w:spacing w:val="-3"/>
          <w:sz w:val="16"/>
        </w:rPr>
        <w:t> </w:t>
      </w:r>
      <w:r>
        <w:rPr>
          <w:color w:val="231F20"/>
          <w:sz w:val="16"/>
        </w:rPr>
        <w:t>may</w:t>
      </w:r>
      <w:r>
        <w:rPr>
          <w:color w:val="231F20"/>
          <w:spacing w:val="-3"/>
          <w:sz w:val="16"/>
        </w:rPr>
        <w:t> </w:t>
      </w:r>
      <w:r>
        <w:rPr>
          <w:color w:val="231F20"/>
          <w:sz w:val="16"/>
        </w:rPr>
        <w:t>be</w:t>
      </w:r>
      <w:r>
        <w:rPr>
          <w:color w:val="231F20"/>
          <w:spacing w:val="-3"/>
          <w:sz w:val="16"/>
        </w:rPr>
        <w:t> </w:t>
      </w:r>
      <w:r>
        <w:rPr>
          <w:color w:val="231F20"/>
          <w:sz w:val="16"/>
        </w:rPr>
        <w:t>small;</w:t>
      </w:r>
      <w:r>
        <w:rPr>
          <w:color w:val="231F20"/>
          <w:spacing w:val="-3"/>
          <w:sz w:val="16"/>
        </w:rPr>
        <w:t> </w:t>
      </w:r>
      <w:r>
        <w:rPr>
          <w:color w:val="231F20"/>
          <w:sz w:val="16"/>
        </w:rPr>
        <w:t>(2)</w:t>
      </w:r>
      <w:r>
        <w:rPr>
          <w:color w:val="231F20"/>
          <w:spacing w:val="-3"/>
          <w:sz w:val="16"/>
        </w:rPr>
        <w:t> </w:t>
      </w:r>
      <w:r>
        <w:rPr>
          <w:color w:val="231F20"/>
          <w:sz w:val="16"/>
        </w:rPr>
        <w:t>the</w:t>
      </w:r>
      <w:r>
        <w:rPr>
          <w:color w:val="231F20"/>
          <w:spacing w:val="-3"/>
          <w:sz w:val="16"/>
        </w:rPr>
        <w:t> </w:t>
      </w:r>
      <w:r>
        <w:rPr>
          <w:color w:val="231F20"/>
          <w:sz w:val="16"/>
        </w:rPr>
        <w:t>effect</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z w:val="16"/>
        </w:rPr>
        <w:t>ruling</w:t>
      </w:r>
      <w:r>
        <w:rPr>
          <w:color w:val="231F20"/>
          <w:spacing w:val="-3"/>
          <w:sz w:val="16"/>
        </w:rPr>
        <w:t> </w:t>
      </w:r>
      <w:r>
        <w:rPr>
          <w:color w:val="231F20"/>
          <w:sz w:val="16"/>
        </w:rPr>
        <w:t>may</w:t>
      </w:r>
      <w:r>
        <w:rPr>
          <w:color w:val="231F20"/>
          <w:spacing w:val="-3"/>
          <w:sz w:val="16"/>
        </w:rPr>
        <w:t> </w:t>
      </w:r>
      <w:r>
        <w:rPr>
          <w:color w:val="231F20"/>
          <w:sz w:val="16"/>
        </w:rPr>
        <w:t>also</w:t>
      </w:r>
      <w:r>
        <w:rPr>
          <w:color w:val="231F20"/>
          <w:spacing w:val="-3"/>
          <w:sz w:val="16"/>
        </w:rPr>
        <w:t> </w:t>
      </w:r>
      <w:r>
        <w:rPr>
          <w:color w:val="231F20"/>
          <w:sz w:val="16"/>
        </w:rPr>
        <w:t>need</w:t>
      </w:r>
      <w:r>
        <w:rPr>
          <w:color w:val="231F20"/>
          <w:spacing w:val="-3"/>
          <w:sz w:val="16"/>
        </w:rPr>
        <w:t> </w:t>
      </w:r>
      <w:r>
        <w:rPr>
          <w:color w:val="231F20"/>
          <w:sz w:val="16"/>
        </w:rPr>
        <w:t>more</w:t>
      </w:r>
      <w:r>
        <w:rPr>
          <w:color w:val="231F20"/>
          <w:spacing w:val="-3"/>
          <w:sz w:val="16"/>
        </w:rPr>
        <w:t> </w:t>
      </w:r>
      <w:r>
        <w:rPr>
          <w:color w:val="231F20"/>
          <w:sz w:val="16"/>
        </w:rPr>
        <w:t>than</w:t>
      </w:r>
      <w:r>
        <w:rPr>
          <w:color w:val="231F20"/>
          <w:spacing w:val="-3"/>
          <w:sz w:val="16"/>
        </w:rPr>
        <w:t> </w:t>
      </w:r>
      <w:r>
        <w:rPr>
          <w:color w:val="231F20"/>
          <w:sz w:val="16"/>
        </w:rPr>
        <w:t>one</w:t>
      </w:r>
      <w:r>
        <w:rPr>
          <w:color w:val="231F20"/>
          <w:spacing w:val="-3"/>
          <w:sz w:val="16"/>
        </w:rPr>
        <w:t> </w:t>
      </w:r>
      <w:r>
        <w:rPr>
          <w:color w:val="231F20"/>
          <w:sz w:val="16"/>
        </w:rPr>
        <w:t>year</w:t>
      </w:r>
      <w:r>
        <w:rPr>
          <w:color w:val="231F20"/>
          <w:spacing w:val="-3"/>
          <w:sz w:val="16"/>
        </w:rPr>
        <w:t> </w:t>
      </w:r>
      <w:r>
        <w:rPr>
          <w:color w:val="231F20"/>
          <w:sz w:val="16"/>
        </w:rPr>
        <w:t>to take hold.</w:t>
      </w:r>
    </w:p>
    <w:p>
      <w:pPr>
        <w:spacing w:after="0"/>
        <w:jc w:val="both"/>
        <w:rPr>
          <w:sz w:val="16"/>
        </w:rPr>
        <w:sectPr>
          <w:headerReference w:type="default" r:id="rId26"/>
          <w:headerReference w:type="even" r:id="rId27"/>
          <w:pgSz w:w="9720" w:h="14400"/>
          <w:pgMar w:header="1055" w:footer="0" w:top="1300" w:bottom="280" w:left="1280" w:right="1300"/>
        </w:sectPr>
      </w:pPr>
    </w:p>
    <w:p>
      <w:pPr>
        <w:pStyle w:val="BodyText"/>
        <w:spacing w:line="230" w:lineRule="auto" w:before="178"/>
        <w:ind w:left="162" w:right="519"/>
        <w:jc w:val="both"/>
      </w:pPr>
      <w:r>
        <w:rPr/>
        <w:pict>
          <v:shape style="position:absolute;margin-left:263.709015pt;margin-top:129.746063pt;width:69pt;height:17.45pt;mso-position-horizontal-relative:page;mso-position-vertical-relative:paragraph;z-index:-64288" type="#_x0000_t202" filled="false" stroked="false">
            <v:textbox inset="0,0,0,0">
              <w:txbxContent>
                <w:p>
                  <w:pPr>
                    <w:pStyle w:val="BodyText"/>
                    <w:tabs>
                      <w:tab w:pos="1223" w:val="left" w:leader="none"/>
                    </w:tabs>
                    <w:spacing w:line="247" w:lineRule="exact"/>
                    <w:rPr>
                      <w:rFonts w:ascii="Lucida Sans Unicode"/>
                    </w:rPr>
                  </w:pPr>
                  <w:r>
                    <w:rPr>
                      <w:rFonts w:ascii="Lucida Sans Unicode"/>
                    </w:rPr>
                    <w:t>=</w:t>
                    <w:tab/>
                  </w:r>
                  <w:r>
                    <w:rPr>
                      <w:rFonts w:ascii="Lucida Sans Unicode"/>
                      <w:w w:val="95"/>
                    </w:rPr>
                    <w:t>=</w:t>
                  </w:r>
                </w:p>
              </w:txbxContent>
            </v:textbox>
            <w10:wrap type="none"/>
          </v:shape>
        </w:pict>
      </w:r>
      <w:r>
        <w:rPr/>
        <w:t>based</w:t>
      </w:r>
      <w:r>
        <w:rPr>
          <w:spacing w:val="-7"/>
        </w:rPr>
        <w:t> </w:t>
      </w:r>
      <w:r>
        <w:rPr/>
        <w:t>on</w:t>
      </w:r>
      <w:r>
        <w:rPr>
          <w:spacing w:val="-7"/>
        </w:rPr>
        <w:t> </w:t>
      </w:r>
      <w:r>
        <w:rPr/>
        <w:t>firms’</w:t>
      </w:r>
      <w:r>
        <w:rPr>
          <w:spacing w:val="-7"/>
        </w:rPr>
        <w:t> </w:t>
      </w:r>
      <w:r>
        <w:rPr/>
        <w:t>propensity</w:t>
      </w:r>
      <w:r>
        <w:rPr>
          <w:spacing w:val="-7"/>
        </w:rPr>
        <w:t> </w:t>
      </w:r>
      <w:r>
        <w:rPr/>
        <w:t>to</w:t>
      </w:r>
      <w:r>
        <w:rPr>
          <w:spacing w:val="-7"/>
        </w:rPr>
        <w:t> </w:t>
      </w:r>
      <w:r>
        <w:rPr/>
        <w:t>incorporate</w:t>
      </w:r>
      <w:r>
        <w:rPr>
          <w:spacing w:val="-7"/>
        </w:rPr>
        <w:t> </w:t>
      </w:r>
      <w:r>
        <w:rPr/>
        <w:t>in</w:t>
      </w:r>
      <w:r>
        <w:rPr>
          <w:spacing w:val="-7"/>
        </w:rPr>
        <w:t> </w:t>
      </w:r>
      <w:r>
        <w:rPr/>
        <w:t>Delaware</w:t>
      </w:r>
      <w:r>
        <w:rPr>
          <w:spacing w:val="-7"/>
        </w:rPr>
        <w:t> </w:t>
      </w:r>
      <w:r>
        <w:rPr/>
        <w:t>to</w:t>
      </w:r>
      <w:r>
        <w:rPr>
          <w:spacing w:val="-7"/>
        </w:rPr>
        <w:t> </w:t>
      </w:r>
      <w:r>
        <w:rPr/>
        <w:t>rule</w:t>
      </w:r>
      <w:r>
        <w:rPr>
          <w:spacing w:val="-7"/>
        </w:rPr>
        <w:t> </w:t>
      </w:r>
      <w:r>
        <w:rPr/>
        <w:t>out</w:t>
      </w:r>
      <w:r>
        <w:rPr>
          <w:spacing w:val="-7"/>
        </w:rPr>
        <w:t> </w:t>
      </w:r>
      <w:r>
        <w:rPr/>
        <w:t>the</w:t>
      </w:r>
      <w:r>
        <w:rPr>
          <w:spacing w:val="-7"/>
        </w:rPr>
        <w:t> </w:t>
      </w:r>
      <w:r>
        <w:rPr/>
        <w:t>con- cern that the observed post-ruling increase in conservatism in near insol- vent</w:t>
      </w:r>
      <w:r>
        <w:rPr>
          <w:spacing w:val="-24"/>
        </w:rPr>
        <w:t> </w:t>
      </w:r>
      <w:r>
        <w:rPr/>
        <w:t>Delaware</w:t>
      </w:r>
      <w:r>
        <w:rPr>
          <w:spacing w:val="-24"/>
        </w:rPr>
        <w:t> </w:t>
      </w:r>
      <w:r>
        <w:rPr/>
        <w:t>firms</w:t>
      </w:r>
      <w:r>
        <w:rPr>
          <w:spacing w:val="-24"/>
        </w:rPr>
        <w:t> </w:t>
      </w:r>
      <w:r>
        <w:rPr/>
        <w:t>is</w:t>
      </w:r>
      <w:r>
        <w:rPr>
          <w:spacing w:val="-24"/>
        </w:rPr>
        <w:t> </w:t>
      </w:r>
      <w:r>
        <w:rPr/>
        <w:t>related</w:t>
      </w:r>
      <w:r>
        <w:rPr>
          <w:spacing w:val="-24"/>
        </w:rPr>
        <w:t> </w:t>
      </w:r>
      <w:r>
        <w:rPr/>
        <w:t>to</w:t>
      </w:r>
      <w:r>
        <w:rPr>
          <w:spacing w:val="-24"/>
        </w:rPr>
        <w:t> </w:t>
      </w:r>
      <w:r>
        <w:rPr/>
        <w:t>factors</w:t>
      </w:r>
      <w:r>
        <w:rPr>
          <w:spacing w:val="-24"/>
        </w:rPr>
        <w:t> </w:t>
      </w:r>
      <w:r>
        <w:rPr/>
        <w:t>that</w:t>
      </w:r>
      <w:r>
        <w:rPr>
          <w:spacing w:val="-24"/>
        </w:rPr>
        <w:t> </w:t>
      </w:r>
      <w:r>
        <w:rPr/>
        <w:t>have</w:t>
      </w:r>
      <w:r>
        <w:rPr>
          <w:spacing w:val="-24"/>
        </w:rPr>
        <w:t> </w:t>
      </w:r>
      <w:r>
        <w:rPr/>
        <w:t>driven</w:t>
      </w:r>
      <w:r>
        <w:rPr>
          <w:spacing w:val="-24"/>
        </w:rPr>
        <w:t> </w:t>
      </w:r>
      <w:r>
        <w:rPr/>
        <w:t>the</w:t>
      </w:r>
      <w:r>
        <w:rPr>
          <w:spacing w:val="-24"/>
        </w:rPr>
        <w:t> </w:t>
      </w:r>
      <w:r>
        <w:rPr>
          <w:spacing w:val="-2"/>
        </w:rPr>
        <w:t>firm’s</w:t>
      </w:r>
      <w:r>
        <w:rPr>
          <w:spacing w:val="-24"/>
        </w:rPr>
        <w:t> </w:t>
      </w:r>
      <w:r>
        <w:rPr/>
        <w:t>decision to incorporate in Delaware. </w:t>
      </w:r>
      <w:r>
        <w:rPr>
          <w:spacing w:val="-6"/>
        </w:rPr>
        <w:t>We </w:t>
      </w:r>
      <w:r>
        <w:rPr/>
        <w:t>first estimate the probability of being in- corporated in Delaware using firm characteristics identified by Bebchuk and Cohen [2003], which include log of sales, </w:t>
      </w:r>
      <w:r>
        <w:rPr>
          <w:spacing w:val="-4"/>
        </w:rPr>
        <w:t>Tobin’s </w:t>
      </w:r>
      <w:r>
        <w:rPr/>
        <w:t>Q, ROA, number of employees,</w:t>
      </w:r>
      <w:r>
        <w:rPr>
          <w:spacing w:val="-10"/>
        </w:rPr>
        <w:t> </w:t>
      </w:r>
      <w:r>
        <w:rPr/>
        <w:t>firm</w:t>
      </w:r>
      <w:r>
        <w:rPr>
          <w:spacing w:val="-10"/>
        </w:rPr>
        <w:t> </w:t>
      </w:r>
      <w:r>
        <w:rPr/>
        <w:t>age,</w:t>
      </w:r>
      <w:r>
        <w:rPr>
          <w:spacing w:val="-10"/>
        </w:rPr>
        <w:t> </w:t>
      </w:r>
      <w:r>
        <w:rPr/>
        <w:t>indicator</w:t>
      </w:r>
      <w:r>
        <w:rPr>
          <w:spacing w:val="-10"/>
        </w:rPr>
        <w:t> </w:t>
      </w:r>
      <w:r>
        <w:rPr/>
        <w:t>variables</w:t>
      </w:r>
      <w:r>
        <w:rPr>
          <w:spacing w:val="-10"/>
        </w:rPr>
        <w:t> </w:t>
      </w:r>
      <w:r>
        <w:rPr/>
        <w:t>for</w:t>
      </w:r>
      <w:r>
        <w:rPr>
          <w:spacing w:val="-10"/>
        </w:rPr>
        <w:t> </w:t>
      </w:r>
      <w:r>
        <w:rPr/>
        <w:t>the</w:t>
      </w:r>
      <w:r>
        <w:rPr>
          <w:spacing w:val="-10"/>
        </w:rPr>
        <w:t> </w:t>
      </w:r>
      <w:r>
        <w:rPr/>
        <w:t>state</w:t>
      </w:r>
      <w:r>
        <w:rPr>
          <w:spacing w:val="-10"/>
        </w:rPr>
        <w:t> </w:t>
      </w:r>
      <w:r>
        <w:rPr/>
        <w:t>of</w:t>
      </w:r>
      <w:r>
        <w:rPr>
          <w:spacing w:val="-10"/>
        </w:rPr>
        <w:t> </w:t>
      </w:r>
      <w:r>
        <w:rPr/>
        <w:t>business,</w:t>
      </w:r>
      <w:r>
        <w:rPr>
          <w:spacing w:val="-10"/>
        </w:rPr>
        <w:t> </w:t>
      </w:r>
      <w:r>
        <w:rPr/>
        <w:t>and</w:t>
      </w:r>
      <w:r>
        <w:rPr>
          <w:spacing w:val="-10"/>
        </w:rPr>
        <w:t> </w:t>
      </w:r>
      <w:r>
        <w:rPr/>
        <w:t>two- digit SIC industry dummies (see panel A of online appendix table A17). In the sample matched on the propensity score of being incorporated in Delaware, our main result on the larger post-ruling increase in conser- vatism for near insolvent Delaware firms (</w:t>
      </w:r>
      <w:r>
        <w:rPr>
          <w:i/>
        </w:rPr>
        <w:t>ß</w:t>
      </w:r>
      <w:r>
        <w:rPr>
          <w:i/>
          <w:color w:val="231F20"/>
          <w:vertAlign w:val="subscript"/>
        </w:rPr>
        <w:t>7</w:t>
      </w:r>
      <w:r>
        <w:rPr>
          <w:i/>
          <w:color w:val="231F20"/>
          <w:vertAlign w:val="baseline"/>
        </w:rPr>
        <w:t> </w:t>
      </w:r>
      <w:r>
        <w:rPr>
          <w:vertAlign w:val="baseline"/>
        </w:rPr>
        <w:t>0.394, </w:t>
      </w:r>
      <w:r>
        <w:rPr>
          <w:i/>
          <w:vertAlign w:val="baseline"/>
        </w:rPr>
        <w:t>t</w:t>
      </w:r>
      <w:r>
        <w:rPr>
          <w:vertAlign w:val="baseline"/>
        </w:rPr>
        <w:t>-stat 1.82) remains consistent with those reported in table 4 (see panel B of online appendix table</w:t>
      </w:r>
      <w:r>
        <w:rPr>
          <w:spacing w:val="0"/>
          <w:vertAlign w:val="baseline"/>
        </w:rPr>
        <w:t> </w:t>
      </w:r>
      <w:r>
        <w:rPr>
          <w:vertAlign w:val="baseline"/>
        </w:rPr>
        <w:t>A17).</w:t>
      </w:r>
    </w:p>
    <w:p>
      <w:pPr>
        <w:pStyle w:val="ListParagraph"/>
        <w:numPr>
          <w:ilvl w:val="1"/>
          <w:numId w:val="5"/>
        </w:numPr>
        <w:tabs>
          <w:tab w:pos="540" w:val="left" w:leader="none"/>
        </w:tabs>
        <w:spacing w:line="240" w:lineRule="auto" w:before="109" w:after="0"/>
        <w:ind w:left="539" w:right="0" w:hanging="377"/>
        <w:jc w:val="left"/>
        <w:rPr>
          <w:sz w:val="21"/>
        </w:rPr>
      </w:pPr>
      <w:r>
        <w:rPr>
          <w:w w:val="105"/>
          <w:sz w:val="16"/>
        </w:rPr>
        <w:t>OTHER CONFOUNDING</w:t>
      </w:r>
      <w:r>
        <w:rPr>
          <w:spacing w:val="21"/>
          <w:w w:val="105"/>
          <w:sz w:val="16"/>
        </w:rPr>
        <w:t> </w:t>
      </w:r>
      <w:r>
        <w:rPr>
          <w:w w:val="105"/>
          <w:sz w:val="16"/>
        </w:rPr>
        <w:t>EVENTS</w:t>
      </w:r>
    </w:p>
    <w:p>
      <w:pPr>
        <w:pStyle w:val="BodyText"/>
        <w:spacing w:line="230" w:lineRule="auto" w:before="75"/>
        <w:ind w:left="162" w:right="519" w:firstLine="199"/>
        <w:jc w:val="both"/>
      </w:pPr>
      <w:r>
        <w:rPr/>
        <w:pict>
          <v:shape style="position:absolute;margin-left:180.559341pt;margin-top:184.365067pt;width:161.35pt;height:17.45pt;mso-position-horizontal-relative:page;mso-position-vertical-relative:paragraph;z-index:-64264" type="#_x0000_t202" filled="false" stroked="false">
            <v:textbox inset="0,0,0,0">
              <w:txbxContent>
                <w:p>
                  <w:pPr>
                    <w:pStyle w:val="BodyText"/>
                    <w:tabs>
                      <w:tab w:pos="518" w:val="left" w:leader="none"/>
                      <w:tab w:pos="1782" w:val="left" w:leader="none"/>
                      <w:tab w:pos="3070" w:val="left" w:leader="none"/>
                    </w:tabs>
                    <w:spacing w:line="247" w:lineRule="exact"/>
                    <w:rPr>
                      <w:rFonts w:ascii="Lucida Sans Unicode" w:hAnsi="Lucida Sans Unicode"/>
                    </w:rPr>
                  </w:pPr>
                  <w:r>
                    <w:rPr>
                      <w:rFonts w:ascii="Lucida Sans Unicode" w:hAnsi="Lucida Sans Unicode"/>
                    </w:rPr>
                    <w:t>×</w:t>
                    <w:tab/>
                    <w:t>×</w:t>
                    <w:tab/>
                    <w:t>=</w:t>
                    <w:tab/>
                  </w:r>
                  <w:r>
                    <w:rPr>
                      <w:rFonts w:ascii="Lucida Sans Unicode" w:hAnsi="Lucida Sans Unicode"/>
                      <w:w w:val="95"/>
                    </w:rPr>
                    <w:t>=</w:t>
                  </w:r>
                </w:p>
              </w:txbxContent>
            </v:textbox>
            <w10:wrap type="none"/>
          </v:shape>
        </w:pict>
      </w:r>
      <w:r>
        <w:rPr/>
        <w:t>Last, our finding may be confounded by events that were concurrent to the court ruling in 1991. For example, a number of state antitakeover laws</w:t>
      </w:r>
      <w:r>
        <w:rPr>
          <w:spacing w:val="-11"/>
        </w:rPr>
        <w:t> </w:t>
      </w:r>
      <w:r>
        <w:rPr/>
        <w:t>came</w:t>
      </w:r>
      <w:r>
        <w:rPr>
          <w:spacing w:val="-11"/>
        </w:rPr>
        <w:t> </w:t>
      </w:r>
      <w:r>
        <w:rPr/>
        <w:t>into</w:t>
      </w:r>
      <w:r>
        <w:rPr>
          <w:spacing w:val="-11"/>
        </w:rPr>
        <w:t> </w:t>
      </w:r>
      <w:r>
        <w:rPr/>
        <w:t>effect</w:t>
      </w:r>
      <w:r>
        <w:rPr>
          <w:spacing w:val="-11"/>
        </w:rPr>
        <w:t> </w:t>
      </w:r>
      <w:r>
        <w:rPr/>
        <w:t>in</w:t>
      </w:r>
      <w:r>
        <w:rPr>
          <w:spacing w:val="-11"/>
        </w:rPr>
        <w:t> </w:t>
      </w:r>
      <w:r>
        <w:rPr/>
        <w:t>the</w:t>
      </w:r>
      <w:r>
        <w:rPr>
          <w:spacing w:val="-11"/>
        </w:rPr>
        <w:t> </w:t>
      </w:r>
      <w:r>
        <w:rPr/>
        <w:t>late</w:t>
      </w:r>
      <w:r>
        <w:rPr>
          <w:spacing w:val="-11"/>
        </w:rPr>
        <w:t> </w:t>
      </w:r>
      <w:r>
        <w:rPr/>
        <w:t>1980s–early</w:t>
      </w:r>
      <w:r>
        <w:rPr>
          <w:spacing w:val="-11"/>
        </w:rPr>
        <w:t> </w:t>
      </w:r>
      <w:r>
        <w:rPr/>
        <w:t>1990s</w:t>
      </w:r>
      <w:r>
        <w:rPr>
          <w:spacing w:val="-11"/>
        </w:rPr>
        <w:t> </w:t>
      </w:r>
      <w:r>
        <w:rPr/>
        <w:t>and</w:t>
      </w:r>
      <w:r>
        <w:rPr>
          <w:spacing w:val="-11"/>
        </w:rPr>
        <w:t> </w:t>
      </w:r>
      <w:r>
        <w:rPr/>
        <w:t>the</w:t>
      </w:r>
      <w:r>
        <w:rPr>
          <w:spacing w:val="-11"/>
        </w:rPr>
        <w:t> </w:t>
      </w:r>
      <w:r>
        <w:rPr/>
        <w:t>passage</w:t>
      </w:r>
      <w:r>
        <w:rPr>
          <w:spacing w:val="-11"/>
        </w:rPr>
        <w:t> </w:t>
      </w:r>
      <w:r>
        <w:rPr/>
        <w:t>of</w:t>
      </w:r>
      <w:r>
        <w:rPr>
          <w:spacing w:val="-11"/>
        </w:rPr>
        <w:t> </w:t>
      </w:r>
      <w:r>
        <w:rPr/>
        <w:t>some of</w:t>
      </w:r>
      <w:r>
        <w:rPr>
          <w:spacing w:val="-15"/>
        </w:rPr>
        <w:t> </w:t>
      </w:r>
      <w:r>
        <w:rPr/>
        <w:t>these</w:t>
      </w:r>
      <w:r>
        <w:rPr>
          <w:spacing w:val="-15"/>
        </w:rPr>
        <w:t> </w:t>
      </w:r>
      <w:r>
        <w:rPr/>
        <w:t>laws</w:t>
      </w:r>
      <w:r>
        <w:rPr>
          <w:spacing w:val="-15"/>
        </w:rPr>
        <w:t> </w:t>
      </w:r>
      <w:r>
        <w:rPr/>
        <w:t>coincided</w:t>
      </w:r>
      <w:r>
        <w:rPr>
          <w:spacing w:val="-14"/>
        </w:rPr>
        <w:t> </w:t>
      </w:r>
      <w:r>
        <w:rPr/>
        <w:t>with</w:t>
      </w:r>
      <w:r>
        <w:rPr>
          <w:spacing w:val="-14"/>
        </w:rPr>
        <w:t> </w:t>
      </w:r>
      <w:r>
        <w:rPr/>
        <w:t>our</w:t>
      </w:r>
      <w:r>
        <w:rPr>
          <w:spacing w:val="-15"/>
        </w:rPr>
        <w:t> </w:t>
      </w:r>
      <w:r>
        <w:rPr/>
        <w:t>sample</w:t>
      </w:r>
      <w:r>
        <w:rPr>
          <w:spacing w:val="-15"/>
        </w:rPr>
        <w:t> </w:t>
      </w:r>
      <w:r>
        <w:rPr/>
        <w:t>period.</w:t>
      </w:r>
      <w:r>
        <w:rPr>
          <w:spacing w:val="-15"/>
        </w:rPr>
        <w:t> </w:t>
      </w:r>
      <w:r>
        <w:rPr/>
        <w:t>Armstrong,</w:t>
      </w:r>
      <w:r>
        <w:rPr>
          <w:spacing w:val="-15"/>
        </w:rPr>
        <w:t> </w:t>
      </w:r>
      <w:r>
        <w:rPr/>
        <w:t>Balakrishnan, and Cohen [2012] document that Delaware adopted a stronger version  of these laws in 1988, and further find that the adoption of state anti- takeover laws led to increased financial statement informativeness. Their results suggest that the adoption of antitakeover provisions could con- found our finding of increased accounting conservatism after the 1991 court</w:t>
      </w:r>
      <w:r>
        <w:rPr>
          <w:spacing w:val="-12"/>
        </w:rPr>
        <w:t> </w:t>
      </w:r>
      <w:r>
        <w:rPr/>
        <w:t>ruling</w:t>
      </w:r>
      <w:r>
        <w:rPr>
          <w:spacing w:val="-12"/>
        </w:rPr>
        <w:t> </w:t>
      </w:r>
      <w:r>
        <w:rPr/>
        <w:t>(Jayaraman</w:t>
      </w:r>
      <w:r>
        <w:rPr>
          <w:spacing w:val="-11"/>
        </w:rPr>
        <w:t> </w:t>
      </w:r>
      <w:r>
        <w:rPr/>
        <w:t>and</w:t>
      </w:r>
      <w:r>
        <w:rPr>
          <w:spacing w:val="-12"/>
        </w:rPr>
        <w:t> </w:t>
      </w:r>
      <w:r>
        <w:rPr/>
        <w:t>Shivakumar</w:t>
      </w:r>
      <w:r>
        <w:rPr>
          <w:spacing w:val="-12"/>
        </w:rPr>
        <w:t> </w:t>
      </w:r>
      <w:r>
        <w:rPr/>
        <w:t>[2013]).</w:t>
      </w:r>
      <w:r>
        <w:rPr>
          <w:spacing w:val="-12"/>
        </w:rPr>
        <w:t> </w:t>
      </w:r>
      <w:r>
        <w:rPr>
          <w:spacing w:val="-9"/>
        </w:rPr>
        <w:t>To</w:t>
      </w:r>
      <w:r>
        <w:rPr>
          <w:spacing w:val="-12"/>
        </w:rPr>
        <w:t> </w:t>
      </w:r>
      <w:r>
        <w:rPr/>
        <w:t>mitigate</w:t>
      </w:r>
      <w:r>
        <w:rPr>
          <w:spacing w:val="-12"/>
        </w:rPr>
        <w:t> </w:t>
      </w:r>
      <w:r>
        <w:rPr/>
        <w:t>this</w:t>
      </w:r>
      <w:r>
        <w:rPr>
          <w:spacing w:val="-12"/>
        </w:rPr>
        <w:t> </w:t>
      </w:r>
      <w:r>
        <w:rPr/>
        <w:t>concern, we extend the sample period to include the years 1998–2001, when adop- tions</w:t>
      </w:r>
      <w:r>
        <w:rPr>
          <w:spacing w:val="-5"/>
        </w:rPr>
        <w:t> </w:t>
      </w:r>
      <w:r>
        <w:rPr/>
        <w:t>of</w:t>
      </w:r>
      <w:r>
        <w:rPr>
          <w:spacing w:val="-5"/>
        </w:rPr>
        <w:t> </w:t>
      </w:r>
      <w:r>
        <w:rPr/>
        <w:t>antitakeover</w:t>
      </w:r>
      <w:r>
        <w:rPr>
          <w:spacing w:val="-5"/>
        </w:rPr>
        <w:t> </w:t>
      </w:r>
      <w:r>
        <w:rPr/>
        <w:t>laws</w:t>
      </w:r>
      <w:r>
        <w:rPr>
          <w:spacing w:val="-5"/>
        </w:rPr>
        <w:t> </w:t>
      </w:r>
      <w:r>
        <w:rPr/>
        <w:t>should</w:t>
      </w:r>
      <w:r>
        <w:rPr>
          <w:spacing w:val="-5"/>
        </w:rPr>
        <w:t> </w:t>
      </w:r>
      <w:r>
        <w:rPr/>
        <w:t>have</w:t>
      </w:r>
      <w:r>
        <w:rPr>
          <w:spacing w:val="-5"/>
        </w:rPr>
        <w:t> </w:t>
      </w:r>
      <w:r>
        <w:rPr/>
        <w:t>been</w:t>
      </w:r>
      <w:r>
        <w:rPr>
          <w:spacing w:val="-5"/>
        </w:rPr>
        <w:t> </w:t>
      </w:r>
      <w:r>
        <w:rPr/>
        <w:t>completed</w:t>
      </w:r>
      <w:r>
        <w:rPr>
          <w:spacing w:val="-5"/>
        </w:rPr>
        <w:t> </w:t>
      </w:r>
      <w:r>
        <w:rPr/>
        <w:t>across</w:t>
      </w:r>
      <w:r>
        <w:rPr>
          <w:spacing w:val="-5"/>
        </w:rPr>
        <w:t> </w:t>
      </w:r>
      <w:r>
        <w:rPr/>
        <w:t>all</w:t>
      </w:r>
      <w:r>
        <w:rPr>
          <w:spacing w:val="-5"/>
        </w:rPr>
        <w:t> </w:t>
      </w:r>
      <w:r>
        <w:rPr/>
        <w:t>state</w:t>
      </w:r>
      <w:r>
        <w:rPr>
          <w:spacing w:val="-5"/>
        </w:rPr>
        <w:t> </w:t>
      </w:r>
      <w:r>
        <w:rPr/>
        <w:t>ju- risdictions</w:t>
      </w:r>
      <w:r>
        <w:rPr>
          <w:spacing w:val="-8"/>
        </w:rPr>
        <w:t> </w:t>
      </w:r>
      <w:r>
        <w:rPr/>
        <w:t>and</w:t>
      </w:r>
      <w:r>
        <w:rPr>
          <w:spacing w:val="-8"/>
        </w:rPr>
        <w:t> </w:t>
      </w:r>
      <w:r>
        <w:rPr/>
        <w:t>their</w:t>
      </w:r>
      <w:r>
        <w:rPr>
          <w:spacing w:val="-8"/>
        </w:rPr>
        <w:t> </w:t>
      </w:r>
      <w:r>
        <w:rPr/>
        <w:t>possible</w:t>
      </w:r>
      <w:r>
        <w:rPr>
          <w:spacing w:val="-8"/>
        </w:rPr>
        <w:t> </w:t>
      </w:r>
      <w:r>
        <w:rPr/>
        <w:t>effects</w:t>
      </w:r>
      <w:r>
        <w:rPr>
          <w:spacing w:val="-7"/>
        </w:rPr>
        <w:t> </w:t>
      </w:r>
      <w:r>
        <w:rPr/>
        <w:t>on</w:t>
      </w:r>
      <w:r>
        <w:rPr>
          <w:spacing w:val="-8"/>
        </w:rPr>
        <w:t> </w:t>
      </w:r>
      <w:r>
        <w:rPr/>
        <w:t>conservatism</w:t>
      </w:r>
      <w:r>
        <w:rPr>
          <w:spacing w:val="-8"/>
        </w:rPr>
        <w:t> </w:t>
      </w:r>
      <w:r>
        <w:rPr/>
        <w:t>should</w:t>
      </w:r>
      <w:r>
        <w:rPr>
          <w:spacing w:val="-8"/>
        </w:rPr>
        <w:t> </w:t>
      </w:r>
      <w:r>
        <w:rPr/>
        <w:t>be</w:t>
      </w:r>
      <w:r>
        <w:rPr>
          <w:spacing w:val="-8"/>
        </w:rPr>
        <w:t> </w:t>
      </w:r>
      <w:r>
        <w:rPr/>
        <w:t>stable.</w:t>
      </w:r>
      <w:r>
        <w:rPr>
          <w:spacing w:val="-8"/>
        </w:rPr>
        <w:t> </w:t>
      </w:r>
      <w:r>
        <w:rPr>
          <w:spacing w:val="-6"/>
        </w:rPr>
        <w:t>We </w:t>
      </w:r>
      <w:r>
        <w:rPr/>
        <w:t>rerun our analysis on the extended period (i.e., 1988–1991 as pre-ruling period and 1993–2001 as post-ruling period) and still find a positive and significant sign on </w:t>
      </w:r>
      <w:r>
        <w:rPr>
          <w:i/>
        </w:rPr>
        <w:t>POST DEL HEDF93 </w:t>
      </w:r>
      <w:r>
        <w:rPr/>
        <w:t>(</w:t>
      </w:r>
      <w:r>
        <w:rPr>
          <w:i/>
        </w:rPr>
        <w:t>ß</w:t>
      </w:r>
      <w:r>
        <w:rPr>
          <w:i/>
          <w:color w:val="231F20"/>
          <w:vertAlign w:val="subscript"/>
        </w:rPr>
        <w:t>7</w:t>
      </w:r>
      <w:r>
        <w:rPr>
          <w:i/>
          <w:color w:val="231F20"/>
          <w:vertAlign w:val="baseline"/>
        </w:rPr>
        <w:t> </w:t>
      </w:r>
      <w:r>
        <w:rPr>
          <w:vertAlign w:val="baseline"/>
        </w:rPr>
        <w:t>0.414, </w:t>
      </w:r>
      <w:r>
        <w:rPr>
          <w:i/>
          <w:vertAlign w:val="baseline"/>
        </w:rPr>
        <w:t>t</w:t>
      </w:r>
      <w:r>
        <w:rPr>
          <w:vertAlign w:val="baseline"/>
        </w:rPr>
        <w:t>-stat  3.93) as re-  ported in online appendix table A18. Therefore, the adoption of the state antitakeover laws is ruled out as an alternative explanation for our main results.</w:t>
      </w:r>
    </w:p>
    <w:p>
      <w:pPr>
        <w:pStyle w:val="BodyText"/>
        <w:spacing w:before="2"/>
      </w:pPr>
    </w:p>
    <w:p>
      <w:pPr>
        <w:pStyle w:val="Heading1"/>
        <w:numPr>
          <w:ilvl w:val="0"/>
          <w:numId w:val="3"/>
        </w:numPr>
        <w:tabs>
          <w:tab w:pos="474" w:val="left" w:leader="none"/>
        </w:tabs>
        <w:spacing w:line="240" w:lineRule="auto" w:before="0" w:after="0"/>
        <w:ind w:left="473" w:right="0" w:hanging="311"/>
        <w:jc w:val="left"/>
        <w:rPr>
          <w:i/>
        </w:rPr>
      </w:pPr>
      <w:r>
        <w:rPr>
          <w:i/>
        </w:rPr>
        <w:t>Conclusion</w:t>
      </w:r>
    </w:p>
    <w:p>
      <w:pPr>
        <w:pStyle w:val="BodyText"/>
        <w:spacing w:line="230" w:lineRule="auto" w:before="147"/>
        <w:ind w:left="162" w:right="519" w:firstLine="199"/>
        <w:jc w:val="both"/>
      </w:pPr>
      <w:r>
        <w:rPr/>
        <w:t>A 1991 Delaware court ruling expanded the scope of director fiduciary duties to include creditors for near insolvent Delaware firms. </w:t>
      </w:r>
      <w:r>
        <w:rPr>
          <w:spacing w:val="-6"/>
        </w:rPr>
        <w:t>We </w:t>
      </w:r>
      <w:r>
        <w:rPr/>
        <w:t>exploit this</w:t>
      </w:r>
      <w:r>
        <w:rPr>
          <w:spacing w:val="-14"/>
        </w:rPr>
        <w:t> </w:t>
      </w:r>
      <w:r>
        <w:rPr/>
        <w:t>natural</w:t>
      </w:r>
      <w:r>
        <w:rPr>
          <w:spacing w:val="-14"/>
        </w:rPr>
        <w:t> </w:t>
      </w:r>
      <w:r>
        <w:rPr/>
        <w:t>event</w:t>
      </w:r>
      <w:r>
        <w:rPr>
          <w:spacing w:val="-14"/>
        </w:rPr>
        <w:t> </w:t>
      </w:r>
      <w:r>
        <w:rPr/>
        <w:t>setting</w:t>
      </w:r>
      <w:r>
        <w:rPr>
          <w:spacing w:val="-14"/>
        </w:rPr>
        <w:t> </w:t>
      </w:r>
      <w:r>
        <w:rPr/>
        <w:t>to</w:t>
      </w:r>
      <w:r>
        <w:rPr>
          <w:spacing w:val="-14"/>
        </w:rPr>
        <w:t> </w:t>
      </w:r>
      <w:r>
        <w:rPr/>
        <w:t>establish</w:t>
      </w:r>
      <w:r>
        <w:rPr>
          <w:spacing w:val="-14"/>
        </w:rPr>
        <w:t> </w:t>
      </w:r>
      <w:r>
        <w:rPr/>
        <w:t>a</w:t>
      </w:r>
      <w:r>
        <w:rPr>
          <w:spacing w:val="-14"/>
        </w:rPr>
        <w:t> </w:t>
      </w:r>
      <w:r>
        <w:rPr/>
        <w:t>causal</w:t>
      </w:r>
      <w:r>
        <w:rPr>
          <w:spacing w:val="-14"/>
        </w:rPr>
        <w:t> </w:t>
      </w:r>
      <w:r>
        <w:rPr/>
        <w:t>relation</w:t>
      </w:r>
      <w:r>
        <w:rPr>
          <w:spacing w:val="-14"/>
        </w:rPr>
        <w:t> </w:t>
      </w:r>
      <w:r>
        <w:rPr/>
        <w:t>between</w:t>
      </w:r>
      <w:r>
        <w:rPr>
          <w:spacing w:val="-14"/>
        </w:rPr>
        <w:t> </w:t>
      </w:r>
      <w:r>
        <w:rPr/>
        <w:t>accounting conservatism and debtholders’ demand. </w:t>
      </w:r>
      <w:r>
        <w:rPr>
          <w:spacing w:val="-6"/>
        </w:rPr>
        <w:t>We </w:t>
      </w:r>
      <w:r>
        <w:rPr/>
        <w:t>find that near insolvent Delaware firms increased their conservatism in the  period  following the court ruling and this effect is more pronounced in near insolvent Delaware</w:t>
      </w:r>
      <w:r>
        <w:rPr>
          <w:spacing w:val="-6"/>
        </w:rPr>
        <w:t> </w:t>
      </w:r>
      <w:r>
        <w:rPr/>
        <w:t>companies</w:t>
      </w:r>
      <w:r>
        <w:rPr>
          <w:spacing w:val="-6"/>
        </w:rPr>
        <w:t> </w:t>
      </w:r>
      <w:r>
        <w:rPr/>
        <w:t>with</w:t>
      </w:r>
      <w:r>
        <w:rPr>
          <w:spacing w:val="-6"/>
        </w:rPr>
        <w:t> </w:t>
      </w:r>
      <w:r>
        <w:rPr/>
        <w:t>stronger</w:t>
      </w:r>
      <w:r>
        <w:rPr>
          <w:spacing w:val="-7"/>
        </w:rPr>
        <w:t> </w:t>
      </w:r>
      <w:r>
        <w:rPr/>
        <w:t>boards.</w:t>
      </w:r>
      <w:r>
        <w:rPr>
          <w:spacing w:val="-7"/>
        </w:rPr>
        <w:t> </w:t>
      </w:r>
      <w:r>
        <w:rPr/>
        <w:t>The</w:t>
      </w:r>
      <w:r>
        <w:rPr>
          <w:spacing w:val="-6"/>
        </w:rPr>
        <w:t> </w:t>
      </w:r>
      <w:r>
        <w:rPr/>
        <w:t>results</w:t>
      </w:r>
      <w:r>
        <w:rPr>
          <w:spacing w:val="-7"/>
        </w:rPr>
        <w:t> </w:t>
      </w:r>
      <w:r>
        <w:rPr/>
        <w:t>are</w:t>
      </w:r>
      <w:r>
        <w:rPr>
          <w:spacing w:val="-6"/>
        </w:rPr>
        <w:t> </w:t>
      </w:r>
      <w:r>
        <w:rPr/>
        <w:t>robust</w:t>
      </w:r>
      <w:r>
        <w:rPr>
          <w:spacing w:val="-7"/>
        </w:rPr>
        <w:t> </w:t>
      </w:r>
      <w:r>
        <w:rPr/>
        <w:t>to</w:t>
      </w:r>
      <w:r>
        <w:rPr>
          <w:spacing w:val="-6"/>
        </w:rPr>
        <w:t> </w:t>
      </w:r>
      <w:r>
        <w:rPr/>
        <w:t>alter- native</w:t>
      </w:r>
      <w:r>
        <w:rPr>
          <w:spacing w:val="-23"/>
        </w:rPr>
        <w:t> </w:t>
      </w:r>
      <w:r>
        <w:rPr/>
        <w:t>measures</w:t>
      </w:r>
      <w:r>
        <w:rPr>
          <w:spacing w:val="-23"/>
        </w:rPr>
        <w:t> </w:t>
      </w:r>
      <w:r>
        <w:rPr/>
        <w:t>of</w:t>
      </w:r>
      <w:r>
        <w:rPr>
          <w:spacing w:val="-23"/>
        </w:rPr>
        <w:t> </w:t>
      </w:r>
      <w:r>
        <w:rPr/>
        <w:t>conservatism</w:t>
      </w:r>
      <w:r>
        <w:rPr>
          <w:spacing w:val="-23"/>
        </w:rPr>
        <w:t> </w:t>
      </w:r>
      <w:r>
        <w:rPr/>
        <w:t>and</w:t>
      </w:r>
      <w:r>
        <w:rPr>
          <w:spacing w:val="-23"/>
        </w:rPr>
        <w:t> </w:t>
      </w:r>
      <w:r>
        <w:rPr/>
        <w:t>near</w:t>
      </w:r>
      <w:r>
        <w:rPr>
          <w:spacing w:val="-23"/>
        </w:rPr>
        <w:t> </w:t>
      </w:r>
      <w:r>
        <w:rPr/>
        <w:t>insolvency</w:t>
      </w:r>
      <w:r>
        <w:rPr>
          <w:spacing w:val="-23"/>
        </w:rPr>
        <w:t> </w:t>
      </w:r>
      <w:r>
        <w:rPr/>
        <w:t>status,</w:t>
      </w:r>
      <w:r>
        <w:rPr>
          <w:spacing w:val="-23"/>
        </w:rPr>
        <w:t> </w:t>
      </w:r>
      <w:r>
        <w:rPr/>
        <w:t>controlling</w:t>
      </w:r>
      <w:r>
        <w:rPr>
          <w:spacing w:val="-23"/>
        </w:rPr>
        <w:t> </w:t>
      </w:r>
      <w:r>
        <w:rPr/>
        <w:t>for operational changes, covenant violations, declines in firm performance, selection</w:t>
      </w:r>
      <w:r>
        <w:rPr>
          <w:spacing w:val="-20"/>
        </w:rPr>
        <w:t> </w:t>
      </w:r>
      <w:r>
        <w:rPr/>
        <w:t>biases</w:t>
      </w:r>
      <w:r>
        <w:rPr>
          <w:spacing w:val="-21"/>
        </w:rPr>
        <w:t> </w:t>
      </w:r>
      <w:r>
        <w:rPr/>
        <w:t>of</w:t>
      </w:r>
      <w:r>
        <w:rPr>
          <w:spacing w:val="-20"/>
        </w:rPr>
        <w:t> </w:t>
      </w:r>
      <w:r>
        <w:rPr/>
        <w:t>the</w:t>
      </w:r>
      <w:r>
        <w:rPr>
          <w:spacing w:val="-20"/>
        </w:rPr>
        <w:t> </w:t>
      </w:r>
      <w:r>
        <w:rPr/>
        <w:t>near</w:t>
      </w:r>
      <w:r>
        <w:rPr>
          <w:spacing w:val="-20"/>
        </w:rPr>
        <w:t> </w:t>
      </w:r>
      <w:r>
        <w:rPr/>
        <w:t>insolvency</w:t>
      </w:r>
      <w:r>
        <w:rPr>
          <w:spacing w:val="-20"/>
        </w:rPr>
        <w:t> </w:t>
      </w:r>
      <w:r>
        <w:rPr/>
        <w:t>status</w:t>
      </w:r>
      <w:r>
        <w:rPr>
          <w:spacing w:val="-21"/>
        </w:rPr>
        <w:t> </w:t>
      </w:r>
      <w:r>
        <w:rPr/>
        <w:t>and</w:t>
      </w:r>
      <w:r>
        <w:rPr>
          <w:spacing w:val="-20"/>
        </w:rPr>
        <w:t> </w:t>
      </w:r>
      <w:r>
        <w:rPr/>
        <w:t>the</w:t>
      </w:r>
      <w:r>
        <w:rPr>
          <w:spacing w:val="-20"/>
        </w:rPr>
        <w:t> </w:t>
      </w:r>
      <w:r>
        <w:rPr/>
        <w:t>state</w:t>
      </w:r>
      <w:r>
        <w:rPr>
          <w:spacing w:val="-21"/>
        </w:rPr>
        <w:t> </w:t>
      </w:r>
      <w:r>
        <w:rPr/>
        <w:t>of</w:t>
      </w:r>
      <w:r>
        <w:rPr>
          <w:spacing w:val="-20"/>
        </w:rPr>
        <w:t> </w:t>
      </w:r>
      <w:r>
        <w:rPr/>
        <w:t>incorporation,</w:t>
      </w:r>
    </w:p>
    <w:p>
      <w:pPr>
        <w:spacing w:after="0" w:line="230" w:lineRule="auto"/>
        <w:jc w:val="both"/>
        <w:sectPr>
          <w:pgSz w:w="9720" w:h="14400"/>
          <w:pgMar w:header="1055" w:footer="0" w:top="1300" w:bottom="280" w:left="1280" w:right="1300"/>
        </w:sectPr>
      </w:pPr>
    </w:p>
    <w:p>
      <w:pPr>
        <w:pStyle w:val="BodyText"/>
        <w:spacing w:line="230" w:lineRule="auto" w:before="178"/>
        <w:ind w:left="532" w:right="149"/>
        <w:jc w:val="both"/>
      </w:pPr>
      <w:r>
        <w:rPr/>
        <w:t>other stakeholders’ demand for conservatism, and confounding events like</w:t>
      </w:r>
      <w:r>
        <w:rPr>
          <w:spacing w:val="-18"/>
        </w:rPr>
        <w:t> </w:t>
      </w:r>
      <w:r>
        <w:rPr/>
        <w:t>the</w:t>
      </w:r>
      <w:r>
        <w:rPr>
          <w:spacing w:val="-18"/>
        </w:rPr>
        <w:t> </w:t>
      </w:r>
      <w:r>
        <w:rPr/>
        <w:t>adoption</w:t>
      </w:r>
      <w:r>
        <w:rPr>
          <w:spacing w:val="-18"/>
        </w:rPr>
        <w:t> </w:t>
      </w:r>
      <w:r>
        <w:rPr/>
        <w:t>of</w:t>
      </w:r>
      <w:r>
        <w:rPr>
          <w:spacing w:val="-18"/>
        </w:rPr>
        <w:t> </w:t>
      </w:r>
      <w:r>
        <w:rPr/>
        <w:t>state</w:t>
      </w:r>
      <w:r>
        <w:rPr>
          <w:spacing w:val="-18"/>
        </w:rPr>
        <w:t> </w:t>
      </w:r>
      <w:r>
        <w:rPr/>
        <w:t>antitakeover</w:t>
      </w:r>
      <w:r>
        <w:rPr>
          <w:spacing w:val="-18"/>
        </w:rPr>
        <w:t> </w:t>
      </w:r>
      <w:r>
        <w:rPr/>
        <w:t>laws.</w:t>
      </w:r>
      <w:r>
        <w:rPr>
          <w:spacing w:val="-18"/>
        </w:rPr>
        <w:t> </w:t>
      </w:r>
      <w:r>
        <w:rPr/>
        <w:t>Our</w:t>
      </w:r>
      <w:r>
        <w:rPr>
          <w:spacing w:val="-18"/>
        </w:rPr>
        <w:t> </w:t>
      </w:r>
      <w:r>
        <w:rPr/>
        <w:t>findings</w:t>
      </w:r>
      <w:r>
        <w:rPr>
          <w:spacing w:val="-18"/>
        </w:rPr>
        <w:t> </w:t>
      </w:r>
      <w:r>
        <w:rPr/>
        <w:t>provide</w:t>
      </w:r>
      <w:r>
        <w:rPr>
          <w:spacing w:val="-18"/>
        </w:rPr>
        <w:t> </w:t>
      </w:r>
      <w:r>
        <w:rPr/>
        <w:t>evidence to support the casual link between debtholders’ demand and accounting conservatism as suggested in the literature. The study also offers some insights into the role of boards in financial reporting and suggests that litigation</w:t>
      </w:r>
      <w:r>
        <w:rPr>
          <w:spacing w:val="-6"/>
        </w:rPr>
        <w:t> </w:t>
      </w:r>
      <w:r>
        <w:rPr/>
        <w:t>risk</w:t>
      </w:r>
      <w:r>
        <w:rPr>
          <w:spacing w:val="-6"/>
        </w:rPr>
        <w:t> </w:t>
      </w:r>
      <w:r>
        <w:rPr/>
        <w:t>arising</w:t>
      </w:r>
      <w:r>
        <w:rPr>
          <w:spacing w:val="-6"/>
        </w:rPr>
        <w:t> </w:t>
      </w:r>
      <w:r>
        <w:rPr/>
        <w:t>from</w:t>
      </w:r>
      <w:r>
        <w:rPr>
          <w:spacing w:val="-6"/>
        </w:rPr>
        <w:t> </w:t>
      </w:r>
      <w:r>
        <w:rPr/>
        <w:t>fiduciary</w:t>
      </w:r>
      <w:r>
        <w:rPr>
          <w:spacing w:val="-6"/>
        </w:rPr>
        <w:t> </w:t>
      </w:r>
      <w:r>
        <w:rPr/>
        <w:t>obligations</w:t>
      </w:r>
      <w:r>
        <w:rPr>
          <w:spacing w:val="-6"/>
        </w:rPr>
        <w:t> </w:t>
      </w:r>
      <w:r>
        <w:rPr/>
        <w:t>is</w:t>
      </w:r>
      <w:r>
        <w:rPr>
          <w:spacing w:val="-6"/>
        </w:rPr>
        <w:t> </w:t>
      </w:r>
      <w:r>
        <w:rPr/>
        <w:t>one</w:t>
      </w:r>
      <w:r>
        <w:rPr>
          <w:spacing w:val="-6"/>
        </w:rPr>
        <w:t> </w:t>
      </w:r>
      <w:r>
        <w:rPr/>
        <w:t>reason</w:t>
      </w:r>
      <w:r>
        <w:rPr>
          <w:spacing w:val="-6"/>
        </w:rPr>
        <w:t> </w:t>
      </w:r>
      <w:r>
        <w:rPr/>
        <w:t>why</w:t>
      </w:r>
      <w:r>
        <w:rPr>
          <w:spacing w:val="-6"/>
        </w:rPr>
        <w:t> </w:t>
      </w:r>
      <w:r>
        <w:rPr/>
        <w:t>boards may influence financial reporting</w:t>
      </w:r>
      <w:r>
        <w:rPr>
          <w:spacing w:val="-2"/>
        </w:rPr>
        <w:t> </w:t>
      </w:r>
      <w:r>
        <w:rPr/>
        <w:t>decisions.</w:t>
      </w:r>
    </w:p>
    <w:p>
      <w:pPr>
        <w:pStyle w:val="BodyText"/>
        <w:spacing w:before="1"/>
        <w:rPr>
          <w:sz w:val="26"/>
        </w:rPr>
      </w:pPr>
    </w:p>
    <w:p>
      <w:pPr>
        <w:spacing w:before="0"/>
        <w:ind w:left="495" w:right="115" w:firstLine="0"/>
        <w:jc w:val="center"/>
        <w:rPr>
          <w:sz w:val="19"/>
        </w:rPr>
      </w:pPr>
      <w:r>
        <w:rPr>
          <w:sz w:val="19"/>
        </w:rPr>
        <w:t>APPENDIX</w:t>
      </w:r>
    </w:p>
    <w:p>
      <w:pPr>
        <w:spacing w:before="40"/>
        <w:ind w:left="495" w:right="81" w:firstLine="0"/>
        <w:jc w:val="center"/>
        <w:rPr>
          <w:i/>
          <w:sz w:val="20"/>
        </w:rPr>
      </w:pPr>
      <w:r>
        <w:rPr>
          <w:i/>
          <w:sz w:val="20"/>
        </w:rPr>
        <w:t>Definitions of Variables</w:t>
      </w:r>
    </w:p>
    <w:p>
      <w:pPr>
        <w:pStyle w:val="BodyText"/>
        <w:rPr>
          <w:i/>
        </w:rPr>
      </w:pPr>
    </w:p>
    <w:p>
      <w:pPr>
        <w:pStyle w:val="BodyText"/>
        <w:spacing w:before="10"/>
        <w:rPr>
          <w:i/>
          <w:sz w:val="15"/>
        </w:rPr>
      </w:pPr>
      <w:r>
        <w:rPr/>
        <w:pict>
          <v:group style="position:absolute;margin-left:90.629997pt;margin-top:11.581717pt;width:322.8pt;height:2.6pt;mso-position-horizontal-relative:page;mso-position-vertical-relative:paragraph;z-index:7480;mso-wrap-distance-left:0;mso-wrap-distance-right:0" coordorigin="1813,232" coordsize="6456,52">
            <v:line style="position:absolute" from="1813,237" to="8268,237" stroked="true" strokeweight=".504pt" strokecolor="#000000">
              <v:stroke dashstyle="solid"/>
            </v:line>
            <v:line style="position:absolute" from="1813,278" to="8268,278" stroked="true" strokeweight=".504pt" strokecolor="#000000">
              <v:stroke dashstyle="solid"/>
            </v:line>
            <w10:wrap type="topAndBottom"/>
          </v:group>
        </w:pict>
      </w:r>
    </w:p>
    <w:p>
      <w:pPr>
        <w:spacing w:before="17"/>
        <w:ind w:left="532" w:right="0" w:firstLine="0"/>
        <w:jc w:val="left"/>
        <w:rPr>
          <w:sz w:val="16"/>
        </w:rPr>
      </w:pPr>
      <w:r>
        <w:rPr>
          <w:color w:val="231F20"/>
          <w:sz w:val="16"/>
        </w:rPr>
        <w:t>Conservatism Measures</w:t>
      </w:r>
    </w:p>
    <w:p>
      <w:pPr>
        <w:tabs>
          <w:tab w:pos="2206" w:val="left" w:leader="none"/>
          <w:tab w:pos="3045" w:val="left" w:leader="none"/>
          <w:tab w:pos="4300" w:val="left" w:leader="none"/>
          <w:tab w:pos="5433" w:val="left" w:leader="none"/>
          <w:tab w:pos="5628" w:val="left" w:leader="none"/>
          <w:tab w:pos="6192" w:val="left" w:leader="none"/>
        </w:tabs>
        <w:spacing w:before="1"/>
        <w:ind w:left="2206" w:right="270" w:hanging="1674"/>
        <w:jc w:val="left"/>
        <w:rPr>
          <w:sz w:val="16"/>
        </w:rPr>
      </w:pPr>
      <w:r>
        <w:rPr/>
        <w:pict>
          <v:line style="position:absolute;mso-position-horizontal-relative:page;mso-position-vertical-relative:paragraph;z-index:-64192" from="117.116997pt,7.530437pt" to="119.519997pt,7.530437pt" stroked="true" strokeweight=".405pt" strokecolor="#000000">
            <v:stroke dashstyle="solid"/>
            <w10:wrap type="none"/>
          </v:line>
        </w:pict>
      </w:r>
      <w:r>
        <w:rPr/>
        <w:pict>
          <v:line style="position:absolute;mso-position-horizontal-relative:page;mso-position-vertical-relative:paragraph;z-index:-64168" from="233.847pt,7.530437pt" to="236.25pt,7.530437pt" stroked="true" strokeweight=".405pt" strokecolor="#000000">
            <v:stroke dashstyle="solid"/>
            <w10:wrap type="none"/>
          </v:line>
        </w:pict>
      </w:r>
      <w:r>
        <w:rPr/>
        <w:pict>
          <v:line style="position:absolute;mso-position-horizontal-relative:page;mso-position-vertical-relative:paragraph;z-index:-64144" from="289.071014pt,7.530437pt" to="291.474014pt,7.530437pt" stroked="true" strokeweight=".405pt" strokecolor="#000000">
            <v:stroke dashstyle="solid"/>
            <w10:wrap type="none"/>
          </v:line>
        </w:pict>
      </w:r>
      <w:r>
        <w:rPr/>
        <w:pict>
          <v:shape style="position:absolute;margin-left:208.005112pt;margin-top:31.270638pt;width:6.25pt;height:14pt;mso-position-horizontal-relative:page;mso-position-vertical-relative:paragraph;z-index:-6388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270.705536pt;margin-top:21.307487pt;width:137.3pt;height:14pt;mso-position-horizontal-relative:page;mso-position-vertical-relative:paragraph;z-index:-63712" type="#_x0000_t202" filled="false" stroked="false">
            <v:textbox inset="0,0,0,0">
              <w:txbxContent>
                <w:p>
                  <w:pPr>
                    <w:tabs>
                      <w:tab w:pos="1133" w:val="left" w:leader="none"/>
                      <w:tab w:pos="1892" w:val="left" w:leader="none"/>
                      <w:tab w:pos="2620" w:val="left" w:leader="none"/>
                    </w:tabs>
                    <w:spacing w:line="197" w:lineRule="exact" w:before="0"/>
                    <w:ind w:left="0" w:right="0" w:firstLine="0"/>
                    <w:jc w:val="left"/>
                    <w:rPr>
                      <w:rFonts w:ascii="Lucida Sans Unicode"/>
                      <w:sz w:val="16"/>
                    </w:rPr>
                  </w:pPr>
                  <w:r>
                    <w:rPr>
                      <w:rFonts w:ascii="Lucida Sans Unicode"/>
                      <w:color w:val="231F20"/>
                      <w:sz w:val="16"/>
                    </w:rPr>
                    <w:t>+</w:t>
                    <w:tab/>
                    <w:t>+</w:t>
                    <w:tab/>
                    <w:t>+</w:t>
                    <w:tab/>
                  </w:r>
                  <w:r>
                    <w:rPr>
                      <w:rFonts w:ascii="Lucida Sans Unicode"/>
                      <w:color w:val="231F20"/>
                      <w:w w:val="95"/>
                      <w:sz w:val="16"/>
                    </w:rPr>
                    <w:t>+</w:t>
                  </w:r>
                </w:p>
              </w:txbxContent>
            </v:textbox>
            <w10:wrap type="none"/>
          </v:shape>
        </w:pict>
      </w:r>
      <w:r>
        <w:rPr/>
        <w:pict>
          <v:shape style="position:absolute;margin-left:321.140594pt;margin-top:11.344327pt;width:22.25pt;height:14pt;mso-position-horizontal-relative:page;mso-position-vertical-relative:paragraph;z-index:-6368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pict>
          <v:shape style="position:absolute;margin-left:150.405884pt;margin-top:1.381177pt;width:6.25pt;height:14pt;mso-position-horizontal-relative:page;mso-position-vertical-relative:paragraph;z-index:-6366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w:t>
      </w:r>
      <w:r>
        <w:rPr>
          <w:i/>
          <w:color w:val="231F20"/>
          <w:spacing w:val="-12"/>
          <w:sz w:val="16"/>
        </w:rPr>
        <w:t> </w:t>
      </w:r>
      <w:r>
        <w:rPr>
          <w:i/>
          <w:color w:val="231F20"/>
          <w:sz w:val="16"/>
        </w:rPr>
        <w:t>ACCR</w:t>
        <w:tab/>
      </w:r>
      <w:r>
        <w:rPr>
          <w:color w:val="231F20"/>
          <w:w w:val="105"/>
          <w:sz w:val="16"/>
        </w:rPr>
        <w:t>Deciles</w:t>
      </w:r>
      <w:r>
        <w:rPr>
          <w:color w:val="231F20"/>
          <w:spacing w:val="-22"/>
          <w:w w:val="105"/>
          <w:sz w:val="16"/>
        </w:rPr>
        <w:t> </w:t>
      </w:r>
      <w:r>
        <w:rPr>
          <w:color w:val="231F20"/>
          <w:w w:val="105"/>
          <w:sz w:val="16"/>
        </w:rPr>
        <w:t>rank</w:t>
      </w:r>
      <w:r>
        <w:rPr>
          <w:color w:val="231F20"/>
          <w:spacing w:val="-22"/>
          <w:w w:val="105"/>
          <w:sz w:val="16"/>
        </w:rPr>
        <w:t> </w:t>
      </w:r>
      <w:r>
        <w:rPr>
          <w:color w:val="231F20"/>
          <w:w w:val="105"/>
          <w:sz w:val="16"/>
        </w:rPr>
        <w:t>of</w:t>
      </w:r>
      <w:r>
        <w:rPr>
          <w:color w:val="231F20"/>
          <w:spacing w:val="-22"/>
          <w:w w:val="105"/>
          <w:sz w:val="16"/>
        </w:rPr>
        <w:t> </w:t>
      </w:r>
      <w:r>
        <w:rPr>
          <w:i/>
          <w:color w:val="231F20"/>
          <w:w w:val="105"/>
          <w:sz w:val="16"/>
        </w:rPr>
        <w:t>C</w:t>
      </w:r>
      <w:r>
        <w:rPr>
          <w:i/>
          <w:color w:val="231F20"/>
          <w:spacing w:val="-15"/>
          <w:w w:val="105"/>
          <w:sz w:val="16"/>
        </w:rPr>
        <w:t> </w:t>
      </w:r>
      <w:r>
        <w:rPr>
          <w:i/>
          <w:color w:val="231F20"/>
          <w:w w:val="105"/>
          <w:sz w:val="16"/>
        </w:rPr>
        <w:t>ACCR</w:t>
      </w:r>
      <w:r>
        <w:rPr>
          <w:color w:val="231F20"/>
          <w:w w:val="105"/>
          <w:sz w:val="16"/>
        </w:rPr>
        <w:t>,</w:t>
      </w:r>
      <w:r>
        <w:rPr>
          <w:color w:val="231F20"/>
          <w:spacing w:val="-22"/>
          <w:w w:val="105"/>
          <w:sz w:val="16"/>
        </w:rPr>
        <w:t> </w:t>
      </w:r>
      <w:r>
        <w:rPr>
          <w:color w:val="231F20"/>
          <w:w w:val="105"/>
          <w:sz w:val="16"/>
        </w:rPr>
        <w:t>where</w:t>
      </w:r>
      <w:r>
        <w:rPr>
          <w:color w:val="231F20"/>
          <w:spacing w:val="-22"/>
          <w:w w:val="105"/>
          <w:sz w:val="16"/>
        </w:rPr>
        <w:t> </w:t>
      </w:r>
      <w:r>
        <w:rPr>
          <w:i/>
          <w:color w:val="231F20"/>
          <w:w w:val="105"/>
          <w:sz w:val="16"/>
        </w:rPr>
        <w:t>C</w:t>
      </w:r>
      <w:r>
        <w:rPr>
          <w:i/>
          <w:color w:val="231F20"/>
          <w:spacing w:val="-15"/>
          <w:w w:val="105"/>
          <w:sz w:val="16"/>
        </w:rPr>
        <w:t> </w:t>
      </w:r>
      <w:r>
        <w:rPr>
          <w:i/>
          <w:color w:val="231F20"/>
          <w:w w:val="105"/>
          <w:sz w:val="16"/>
        </w:rPr>
        <w:t>ACCR</w:t>
      </w:r>
      <w:r>
        <w:rPr>
          <w:i/>
          <w:color w:val="231F20"/>
          <w:spacing w:val="-22"/>
          <w:w w:val="105"/>
          <w:sz w:val="16"/>
        </w:rPr>
        <w:t> </w:t>
      </w:r>
      <w:r>
        <w:rPr>
          <w:color w:val="231F20"/>
          <w:w w:val="105"/>
          <w:sz w:val="16"/>
        </w:rPr>
        <w:t>is</w:t>
      </w:r>
      <w:r>
        <w:rPr>
          <w:color w:val="231F20"/>
          <w:spacing w:val="-22"/>
          <w:w w:val="105"/>
          <w:sz w:val="16"/>
        </w:rPr>
        <w:t> </w:t>
      </w:r>
      <w:r>
        <w:rPr>
          <w:color w:val="231F20"/>
          <w:w w:val="105"/>
          <w:sz w:val="16"/>
        </w:rPr>
        <w:t>a</w:t>
      </w:r>
      <w:r>
        <w:rPr>
          <w:color w:val="231F20"/>
          <w:spacing w:val="-22"/>
          <w:w w:val="105"/>
          <w:sz w:val="16"/>
        </w:rPr>
        <w:t> </w:t>
      </w:r>
      <w:r>
        <w:rPr>
          <w:color w:val="231F20"/>
          <w:w w:val="105"/>
          <w:sz w:val="16"/>
        </w:rPr>
        <w:t>measure</w:t>
      </w:r>
      <w:r>
        <w:rPr>
          <w:color w:val="231F20"/>
          <w:spacing w:val="-22"/>
          <w:w w:val="105"/>
          <w:sz w:val="16"/>
        </w:rPr>
        <w:t> </w:t>
      </w:r>
      <w:r>
        <w:rPr>
          <w:color w:val="231F20"/>
          <w:w w:val="105"/>
          <w:sz w:val="16"/>
        </w:rPr>
        <w:t>of</w:t>
      </w:r>
      <w:r>
        <w:rPr>
          <w:color w:val="231F20"/>
          <w:spacing w:val="-22"/>
          <w:w w:val="105"/>
          <w:sz w:val="16"/>
        </w:rPr>
        <w:t> </w:t>
      </w:r>
      <w:r>
        <w:rPr>
          <w:color w:val="231F20"/>
          <w:w w:val="105"/>
          <w:sz w:val="16"/>
        </w:rPr>
        <w:t>negative non-operating</w:t>
      </w:r>
      <w:r>
        <w:rPr>
          <w:color w:val="231F20"/>
          <w:spacing w:val="-22"/>
          <w:w w:val="105"/>
          <w:sz w:val="16"/>
        </w:rPr>
        <w:t> </w:t>
      </w:r>
      <w:r>
        <w:rPr>
          <w:color w:val="231F20"/>
          <w:w w:val="105"/>
          <w:sz w:val="16"/>
        </w:rPr>
        <w:t>accruals</w:t>
      </w:r>
      <w:r>
        <w:rPr>
          <w:color w:val="231F20"/>
          <w:spacing w:val="-22"/>
          <w:w w:val="105"/>
          <w:sz w:val="16"/>
        </w:rPr>
        <w:t> </w:t>
      </w:r>
      <w:r>
        <w:rPr>
          <w:color w:val="231F20"/>
          <w:w w:val="105"/>
          <w:sz w:val="16"/>
        </w:rPr>
        <w:t>and</w:t>
      </w:r>
      <w:r>
        <w:rPr>
          <w:color w:val="231F20"/>
          <w:spacing w:val="-22"/>
          <w:w w:val="105"/>
          <w:sz w:val="16"/>
        </w:rPr>
        <w:t> </w:t>
      </w:r>
      <w:r>
        <w:rPr>
          <w:color w:val="231F20"/>
          <w:w w:val="105"/>
          <w:sz w:val="16"/>
        </w:rPr>
        <w:t>calculated</w:t>
      </w:r>
      <w:r>
        <w:rPr>
          <w:color w:val="231F20"/>
          <w:spacing w:val="-22"/>
          <w:w w:val="105"/>
          <w:sz w:val="16"/>
        </w:rPr>
        <w:t> </w:t>
      </w:r>
      <w:r>
        <w:rPr>
          <w:color w:val="231F20"/>
          <w:w w:val="105"/>
          <w:sz w:val="16"/>
        </w:rPr>
        <w:t>as</w:t>
      </w:r>
      <w:r>
        <w:rPr>
          <w:color w:val="231F20"/>
          <w:spacing w:val="-22"/>
          <w:w w:val="105"/>
          <w:sz w:val="16"/>
        </w:rPr>
        <w:t> </w:t>
      </w:r>
      <w:r>
        <w:rPr>
          <w:color w:val="231F20"/>
          <w:w w:val="105"/>
          <w:sz w:val="16"/>
        </w:rPr>
        <w:t>(</w:t>
      </w:r>
      <w:r>
        <w:rPr>
          <w:color w:val="231F20"/>
          <w:spacing w:val="17"/>
          <w:w w:val="105"/>
          <w:sz w:val="16"/>
        </w:rPr>
        <w:t> </w:t>
      </w:r>
      <w:r>
        <w:rPr>
          <w:color w:val="231F20"/>
          <w:w w:val="105"/>
          <w:sz w:val="16"/>
        </w:rPr>
        <w:t>1)</w:t>
        <w:tab/>
        <w:tab/>
        <w:t>the average of non-operating</w:t>
      </w:r>
      <w:r>
        <w:rPr>
          <w:color w:val="231F20"/>
          <w:spacing w:val="-28"/>
          <w:w w:val="105"/>
          <w:sz w:val="16"/>
        </w:rPr>
        <w:t> </w:t>
      </w:r>
      <w:r>
        <w:rPr>
          <w:color w:val="231F20"/>
          <w:w w:val="105"/>
          <w:sz w:val="16"/>
        </w:rPr>
        <w:t>accruals</w:t>
      </w:r>
      <w:r>
        <w:rPr>
          <w:color w:val="231F20"/>
          <w:spacing w:val="-28"/>
          <w:w w:val="105"/>
          <w:sz w:val="16"/>
        </w:rPr>
        <w:t> </w:t>
      </w:r>
      <w:r>
        <w:rPr>
          <w:color w:val="231F20"/>
          <w:w w:val="105"/>
          <w:sz w:val="16"/>
        </w:rPr>
        <w:t>(NI</w:t>
        <w:tab/>
        <w:t>DP</w:t>
      </w:r>
      <w:r>
        <w:rPr>
          <w:color w:val="231F20"/>
          <w:spacing w:val="-22"/>
          <w:w w:val="105"/>
          <w:sz w:val="16"/>
        </w:rPr>
        <w:t> </w:t>
      </w:r>
      <w:r>
        <w:rPr>
          <w:color w:val="231F20"/>
          <w:w w:val="105"/>
          <w:sz w:val="16"/>
        </w:rPr>
        <w:t>–</w:t>
      </w:r>
      <w:r>
        <w:rPr>
          <w:color w:val="231F20"/>
          <w:spacing w:val="-22"/>
          <w:w w:val="105"/>
          <w:sz w:val="16"/>
        </w:rPr>
        <w:t> </w:t>
      </w:r>
      <w:r>
        <w:rPr>
          <w:color w:val="231F20"/>
          <w:w w:val="105"/>
          <w:sz w:val="16"/>
        </w:rPr>
        <w:t>OANCF</w:t>
        <w:tab/>
        <w:t>RECCH</w:t>
        <w:tab/>
        <w:t>INVCH </w:t>
      </w:r>
      <w:r>
        <w:rPr>
          <w:color w:val="231F20"/>
          <w:spacing w:val="-3"/>
          <w:sz w:val="16"/>
        </w:rPr>
        <w:t>APALCH</w:t>
        <w:tab/>
      </w:r>
      <w:r>
        <w:rPr>
          <w:color w:val="231F20"/>
          <w:w w:val="105"/>
          <w:sz w:val="16"/>
        </w:rPr>
        <w:t>TXACH) scaled by total assets </w:t>
      </w:r>
      <w:r>
        <w:rPr>
          <w:color w:val="231F20"/>
          <w:spacing w:val="-3"/>
          <w:w w:val="105"/>
          <w:sz w:val="16"/>
        </w:rPr>
        <w:t>(AT) </w:t>
      </w:r>
      <w:r>
        <w:rPr>
          <w:color w:val="231F20"/>
          <w:w w:val="105"/>
          <w:sz w:val="16"/>
        </w:rPr>
        <w:t>over a five-year </w:t>
      </w:r>
      <w:r>
        <w:rPr>
          <w:color w:val="231F20"/>
          <w:sz w:val="16"/>
        </w:rPr>
        <w:t>window</w:t>
      </w:r>
      <w:r>
        <w:rPr>
          <w:color w:val="231F20"/>
          <w:spacing w:val="-15"/>
          <w:sz w:val="16"/>
        </w:rPr>
        <w:t> </w:t>
      </w:r>
      <w:r>
        <w:rPr>
          <w:color w:val="231F20"/>
          <w:sz w:val="16"/>
        </w:rPr>
        <w:t>(with</w:t>
      </w:r>
      <w:r>
        <w:rPr>
          <w:color w:val="231F20"/>
          <w:spacing w:val="-15"/>
          <w:sz w:val="16"/>
        </w:rPr>
        <w:t> </w:t>
      </w:r>
      <w:r>
        <w:rPr>
          <w:color w:val="231F20"/>
          <w:sz w:val="16"/>
        </w:rPr>
        <w:t>a</w:t>
      </w:r>
      <w:r>
        <w:rPr>
          <w:color w:val="231F20"/>
          <w:spacing w:val="-15"/>
          <w:sz w:val="16"/>
        </w:rPr>
        <w:t> </w:t>
      </w:r>
      <w:r>
        <w:rPr>
          <w:color w:val="231F20"/>
          <w:sz w:val="16"/>
        </w:rPr>
        <w:t>minimum</w:t>
      </w:r>
      <w:r>
        <w:rPr>
          <w:color w:val="231F20"/>
          <w:spacing w:val="-15"/>
          <w:sz w:val="16"/>
        </w:rPr>
        <w:t> </w:t>
      </w:r>
      <w:r>
        <w:rPr>
          <w:color w:val="231F20"/>
          <w:sz w:val="16"/>
        </w:rPr>
        <w:t>of</w:t>
      </w:r>
      <w:r>
        <w:rPr>
          <w:color w:val="231F20"/>
          <w:spacing w:val="-15"/>
          <w:sz w:val="16"/>
        </w:rPr>
        <w:t> </w:t>
      </w:r>
      <w:r>
        <w:rPr>
          <w:color w:val="231F20"/>
          <w:sz w:val="16"/>
        </w:rPr>
        <w:t>two</w:t>
      </w:r>
      <w:r>
        <w:rPr>
          <w:color w:val="231F20"/>
          <w:spacing w:val="-15"/>
          <w:sz w:val="16"/>
        </w:rPr>
        <w:t> </w:t>
      </w:r>
      <w:r>
        <w:rPr>
          <w:color w:val="231F20"/>
          <w:sz w:val="16"/>
        </w:rPr>
        <w:t>years)</w:t>
      </w:r>
      <w:r>
        <w:rPr>
          <w:color w:val="231F20"/>
          <w:spacing w:val="-15"/>
          <w:sz w:val="16"/>
        </w:rPr>
        <w:t> </w:t>
      </w:r>
      <w:r>
        <w:rPr>
          <w:color w:val="231F20"/>
          <w:sz w:val="16"/>
        </w:rPr>
        <w:t>centered</w:t>
      </w:r>
      <w:r>
        <w:rPr>
          <w:color w:val="231F20"/>
          <w:spacing w:val="-15"/>
          <w:sz w:val="16"/>
        </w:rPr>
        <w:t> </w:t>
      </w:r>
      <w:r>
        <w:rPr>
          <w:color w:val="231F20"/>
          <w:sz w:val="16"/>
        </w:rPr>
        <w:t>in</w:t>
      </w:r>
      <w:r>
        <w:rPr>
          <w:color w:val="231F20"/>
          <w:spacing w:val="-15"/>
          <w:sz w:val="16"/>
        </w:rPr>
        <w:t> </w:t>
      </w:r>
      <w:r>
        <w:rPr>
          <w:color w:val="231F20"/>
          <w:sz w:val="16"/>
        </w:rPr>
        <w:t>the</w:t>
      </w:r>
      <w:r>
        <w:rPr>
          <w:color w:val="231F20"/>
          <w:spacing w:val="-15"/>
          <w:sz w:val="16"/>
        </w:rPr>
        <w:t> </w:t>
      </w:r>
      <w:r>
        <w:rPr>
          <w:color w:val="231F20"/>
          <w:sz w:val="16"/>
        </w:rPr>
        <w:t>observation </w:t>
      </w:r>
      <w:r>
        <w:rPr>
          <w:color w:val="231F20"/>
          <w:spacing w:val="-3"/>
          <w:w w:val="105"/>
          <w:sz w:val="16"/>
        </w:rPr>
        <w:t>year.</w:t>
      </w:r>
    </w:p>
    <w:p>
      <w:pPr>
        <w:tabs>
          <w:tab w:pos="2206" w:val="left" w:leader="none"/>
          <w:tab w:pos="4645" w:val="left" w:leader="none"/>
        </w:tabs>
        <w:spacing w:before="2"/>
        <w:ind w:left="2206" w:right="321" w:hanging="1674"/>
        <w:jc w:val="left"/>
        <w:rPr>
          <w:sz w:val="16"/>
        </w:rPr>
      </w:pPr>
      <w:r>
        <w:rPr/>
        <w:pict>
          <v:line style="position:absolute;mso-position-horizontal-relative:page;mso-position-vertical-relative:paragraph;z-index:-64120" from="117.116997pt,7.57975pt" to="119.519997pt,7.57975pt" stroked="true" strokeweight=".405pt" strokecolor="#000000">
            <v:stroke dashstyle="solid"/>
            <w10:wrap type="none"/>
          </v:line>
        </w:pict>
      </w:r>
      <w:r>
        <w:rPr/>
        <w:pict>
          <v:line style="position:absolute;mso-position-horizontal-relative:page;mso-position-vertical-relative:paragraph;z-index:-64096" from="233.847pt,7.57975pt" to="236.25pt,7.57975pt" stroked="true" strokeweight=".405pt" strokecolor="#000000">
            <v:stroke dashstyle="solid"/>
            <w10:wrap type="none"/>
          </v:line>
        </w:pict>
      </w:r>
      <w:r>
        <w:rPr/>
        <w:pict>
          <v:line style="position:absolute;mso-position-horizontal-relative:page;mso-position-vertical-relative:paragraph;z-index:-64072" from="289.233002pt,7.57975pt" to="291.636002pt,7.57975pt" stroked="true" strokeweight=".405pt" strokecolor="#000000">
            <v:stroke dashstyle="solid"/>
            <w10:wrap type="none"/>
          </v:line>
        </w:pict>
      </w:r>
      <w:r>
        <w:rPr/>
        <w:pict>
          <v:shape style="position:absolute;margin-left:271.985352pt;margin-top:11.393741pt;width:22.25pt;height:14pt;mso-position-horizontal-relative:page;mso-position-vertical-relative:paragraph;z-index:-63760"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sz w:val="16"/>
                    </w:rPr>
                    <w:t>− ×</w:t>
                  </w:r>
                </w:p>
              </w:txbxContent>
            </v:textbox>
            <w10:wrap type="none"/>
          </v:shape>
        </w:pict>
      </w:r>
      <w:r>
        <w:rPr/>
        <w:pict>
          <v:shape style="position:absolute;margin-left:150.405884pt;margin-top:1.430591pt;width:6.25pt;height:14pt;mso-position-horizontal-relative:page;mso-position-vertical-relative:paragraph;z-index:-6373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w:t>
      </w:r>
      <w:r>
        <w:rPr>
          <w:i/>
          <w:color w:val="231F20"/>
          <w:spacing w:val="-14"/>
          <w:sz w:val="16"/>
        </w:rPr>
        <w:t> </w:t>
      </w:r>
      <w:r>
        <w:rPr>
          <w:i/>
          <w:color w:val="231F20"/>
          <w:sz w:val="16"/>
        </w:rPr>
        <w:t>SKEW</w:t>
        <w:tab/>
      </w:r>
      <w:r>
        <w:rPr>
          <w:color w:val="231F20"/>
          <w:sz w:val="16"/>
        </w:rPr>
        <w:t>Deciles rank of </w:t>
      </w:r>
      <w:r>
        <w:rPr>
          <w:i/>
          <w:color w:val="231F20"/>
          <w:sz w:val="16"/>
        </w:rPr>
        <w:t>C SKEW</w:t>
      </w:r>
      <w:r>
        <w:rPr>
          <w:color w:val="231F20"/>
          <w:sz w:val="16"/>
        </w:rPr>
        <w:t>, where </w:t>
      </w:r>
      <w:r>
        <w:rPr>
          <w:i/>
          <w:color w:val="231F20"/>
          <w:sz w:val="16"/>
        </w:rPr>
        <w:t>C SKEW </w:t>
      </w:r>
      <w:r>
        <w:rPr>
          <w:color w:val="231F20"/>
          <w:sz w:val="16"/>
        </w:rPr>
        <w:t>is a measure of earnings skewness and calculated as</w:t>
      </w:r>
      <w:r>
        <w:rPr>
          <w:color w:val="231F20"/>
          <w:spacing w:val="-27"/>
          <w:sz w:val="16"/>
        </w:rPr>
        <w:t> </w:t>
      </w:r>
      <w:r>
        <w:rPr>
          <w:color w:val="231F20"/>
          <w:sz w:val="16"/>
        </w:rPr>
        <w:t>( </w:t>
      </w:r>
      <w:r>
        <w:rPr>
          <w:color w:val="231F20"/>
          <w:spacing w:val="20"/>
          <w:sz w:val="16"/>
        </w:rPr>
        <w:t> </w:t>
      </w:r>
      <w:r>
        <w:rPr>
          <w:color w:val="231F20"/>
          <w:sz w:val="16"/>
        </w:rPr>
        <w:t>1)</w:t>
        <w:tab/>
        <w:t>the</w:t>
      </w:r>
      <w:r>
        <w:rPr>
          <w:color w:val="231F20"/>
          <w:spacing w:val="-9"/>
          <w:sz w:val="16"/>
        </w:rPr>
        <w:t> </w:t>
      </w:r>
      <w:r>
        <w:rPr>
          <w:color w:val="231F20"/>
          <w:sz w:val="16"/>
        </w:rPr>
        <w:t>skewness</w:t>
      </w:r>
      <w:r>
        <w:rPr>
          <w:color w:val="231F20"/>
          <w:spacing w:val="-9"/>
          <w:sz w:val="16"/>
        </w:rPr>
        <w:t> </w:t>
      </w:r>
      <w:r>
        <w:rPr>
          <w:color w:val="231F20"/>
          <w:sz w:val="16"/>
        </w:rPr>
        <w:t>of</w:t>
      </w:r>
      <w:r>
        <w:rPr>
          <w:color w:val="231F20"/>
          <w:spacing w:val="-9"/>
          <w:sz w:val="16"/>
        </w:rPr>
        <w:t> </w:t>
      </w:r>
      <w:r>
        <w:rPr>
          <w:color w:val="231F20"/>
          <w:sz w:val="16"/>
        </w:rPr>
        <w:t>earnings</w:t>
      </w:r>
      <w:r>
        <w:rPr>
          <w:color w:val="231F20"/>
          <w:spacing w:val="-9"/>
          <w:sz w:val="16"/>
        </w:rPr>
        <w:t> </w:t>
      </w:r>
      <w:r>
        <w:rPr>
          <w:color w:val="231F20"/>
          <w:sz w:val="16"/>
        </w:rPr>
        <w:t>(IBQ) scaled</w:t>
      </w:r>
      <w:r>
        <w:rPr>
          <w:color w:val="231F20"/>
          <w:spacing w:val="-15"/>
          <w:sz w:val="16"/>
        </w:rPr>
        <w:t> </w:t>
      </w:r>
      <w:r>
        <w:rPr>
          <w:color w:val="231F20"/>
          <w:sz w:val="16"/>
        </w:rPr>
        <w:t>by</w:t>
      </w:r>
      <w:r>
        <w:rPr>
          <w:color w:val="231F20"/>
          <w:spacing w:val="-15"/>
          <w:sz w:val="16"/>
        </w:rPr>
        <w:t> </w:t>
      </w:r>
      <w:r>
        <w:rPr>
          <w:color w:val="231F20"/>
          <w:sz w:val="16"/>
        </w:rPr>
        <w:t>the</w:t>
      </w:r>
      <w:r>
        <w:rPr>
          <w:color w:val="231F20"/>
          <w:spacing w:val="-15"/>
          <w:sz w:val="16"/>
        </w:rPr>
        <w:t> </w:t>
      </w:r>
      <w:r>
        <w:rPr>
          <w:color w:val="231F20"/>
          <w:sz w:val="16"/>
        </w:rPr>
        <w:t>skewness</w:t>
      </w:r>
      <w:r>
        <w:rPr>
          <w:color w:val="231F20"/>
          <w:spacing w:val="-15"/>
          <w:sz w:val="16"/>
        </w:rPr>
        <w:t> </w:t>
      </w:r>
      <w:r>
        <w:rPr>
          <w:color w:val="231F20"/>
          <w:sz w:val="16"/>
        </w:rPr>
        <w:t>of</w:t>
      </w:r>
      <w:r>
        <w:rPr>
          <w:color w:val="231F20"/>
          <w:spacing w:val="-15"/>
          <w:sz w:val="16"/>
        </w:rPr>
        <w:t> </w:t>
      </w:r>
      <w:r>
        <w:rPr>
          <w:color w:val="231F20"/>
          <w:sz w:val="16"/>
        </w:rPr>
        <w:t>cash</w:t>
      </w:r>
      <w:r>
        <w:rPr>
          <w:color w:val="231F20"/>
          <w:spacing w:val="-15"/>
          <w:sz w:val="16"/>
        </w:rPr>
        <w:t> </w:t>
      </w:r>
      <w:r>
        <w:rPr>
          <w:color w:val="231F20"/>
          <w:sz w:val="16"/>
        </w:rPr>
        <w:t>flows</w:t>
      </w:r>
      <w:r>
        <w:rPr>
          <w:color w:val="231F20"/>
          <w:spacing w:val="-15"/>
          <w:sz w:val="16"/>
        </w:rPr>
        <w:t> </w:t>
      </w:r>
      <w:r>
        <w:rPr>
          <w:color w:val="231F20"/>
          <w:sz w:val="16"/>
        </w:rPr>
        <w:t>(OANCFY)</w:t>
      </w:r>
      <w:r>
        <w:rPr>
          <w:color w:val="231F20"/>
          <w:spacing w:val="-15"/>
          <w:sz w:val="16"/>
        </w:rPr>
        <w:t> </w:t>
      </w:r>
      <w:r>
        <w:rPr>
          <w:color w:val="231F20"/>
          <w:sz w:val="16"/>
        </w:rPr>
        <w:t>over</w:t>
      </w:r>
      <w:r>
        <w:rPr>
          <w:color w:val="231F20"/>
          <w:spacing w:val="-15"/>
          <w:sz w:val="16"/>
        </w:rPr>
        <w:t> </w:t>
      </w:r>
      <w:r>
        <w:rPr>
          <w:color w:val="231F20"/>
          <w:sz w:val="16"/>
        </w:rPr>
        <w:t>a</w:t>
      </w:r>
      <w:r>
        <w:rPr>
          <w:color w:val="231F20"/>
          <w:spacing w:val="-15"/>
          <w:sz w:val="16"/>
        </w:rPr>
        <w:t> </w:t>
      </w:r>
      <w:r>
        <w:rPr>
          <w:color w:val="231F20"/>
          <w:sz w:val="16"/>
        </w:rPr>
        <w:t>20-quarter window (with a minimum of five quarters) centered in the observation </w:t>
      </w:r>
      <w:r>
        <w:rPr>
          <w:color w:val="231F20"/>
          <w:spacing w:val="-3"/>
          <w:sz w:val="16"/>
        </w:rPr>
        <w:t>year.</w:t>
      </w:r>
    </w:p>
    <w:p>
      <w:pPr>
        <w:tabs>
          <w:tab w:pos="2206" w:val="left" w:leader="none"/>
        </w:tabs>
        <w:spacing w:before="2"/>
        <w:ind w:left="2206" w:right="177" w:hanging="1674"/>
        <w:jc w:val="left"/>
        <w:rPr>
          <w:sz w:val="16"/>
        </w:rPr>
      </w:pPr>
      <w:r>
        <w:rPr/>
        <w:pict>
          <v:line style="position:absolute;mso-position-horizontal-relative:page;mso-position-vertical-relative:paragraph;z-index:-64048" from="117.116997pt,7.579598pt" to="119.519997pt,7.579598pt" stroked="true" strokeweight=".405pt" strokecolor="#000000">
            <v:stroke dashstyle="solid"/>
            <w10:wrap type="none"/>
          </v:line>
        </w:pict>
      </w:r>
      <w:r>
        <w:rPr/>
        <w:pict>
          <v:line style="position:absolute;mso-position-horizontal-relative:page;mso-position-vertical-relative:paragraph;z-index:-64024" from="233.847pt,7.579598pt" to="236.25pt,7.579598pt" stroked="true" strokeweight=".405pt" strokecolor="#000000">
            <v:stroke dashstyle="solid"/>
            <w10:wrap type="none"/>
          </v:line>
        </w:pict>
      </w:r>
      <w:r>
        <w:rPr/>
        <w:pict>
          <v:line style="position:absolute;mso-position-horizontal-relative:page;mso-position-vertical-relative:paragraph;z-index:-64000" from="277.893005pt,7.579598pt" to="280.296005pt,7.579598pt" stroked="true" strokeweight=".405pt" strokecolor="#000000">
            <v:stroke dashstyle="solid"/>
            <w10:wrap type="none"/>
          </v:line>
        </w:pict>
      </w:r>
      <w:r>
        <w:rPr/>
        <w:pict>
          <v:shape style="position:absolute;margin-left:150.406677pt;margin-top:1.430438pt;width:6.25pt;height:14pt;mso-position-horizontal-relative:page;mso-position-vertical-relative:paragraph;z-index:-6385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pict>
          <v:shape style="position:absolute;margin-left:389.611359pt;margin-top:91.098831pt;width:6.25pt;height:14pt;mso-position-horizontal-relative:page;mso-position-vertical-relative:paragraph;z-index:-6361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7"/>
                      <w:sz w:val="16"/>
                    </w:rPr>
                    <w:t>−</w:t>
                  </w:r>
                </w:p>
              </w:txbxContent>
            </v:textbox>
            <w10:wrap type="none"/>
          </v:shape>
        </w:pict>
      </w:r>
      <w:r>
        <w:rPr>
          <w:i/>
          <w:color w:val="231F20"/>
          <w:sz w:val="16"/>
        </w:rPr>
        <w:t>CRANK</w:t>
      </w:r>
      <w:r>
        <w:rPr>
          <w:i/>
          <w:color w:val="231F20"/>
          <w:spacing w:val="-9"/>
          <w:sz w:val="16"/>
        </w:rPr>
        <w:t> </w:t>
      </w:r>
      <w:r>
        <w:rPr>
          <w:i/>
          <w:color w:val="231F20"/>
          <w:sz w:val="16"/>
        </w:rPr>
        <w:t>PZ</w:t>
        <w:tab/>
      </w:r>
      <w:r>
        <w:rPr>
          <w:color w:val="231F20"/>
          <w:sz w:val="16"/>
        </w:rPr>
        <w:t>Deciles rank of </w:t>
      </w:r>
      <w:r>
        <w:rPr>
          <w:i/>
          <w:color w:val="231F20"/>
          <w:sz w:val="16"/>
        </w:rPr>
        <w:t>C PZ</w:t>
      </w:r>
      <w:r>
        <w:rPr>
          <w:color w:val="231F20"/>
          <w:sz w:val="16"/>
        </w:rPr>
        <w:t>, where </w:t>
      </w:r>
      <w:r>
        <w:rPr>
          <w:i/>
          <w:color w:val="231F20"/>
          <w:sz w:val="16"/>
        </w:rPr>
        <w:t>C PZ </w:t>
      </w:r>
      <w:r>
        <w:rPr>
          <w:color w:val="231F20"/>
          <w:sz w:val="16"/>
        </w:rPr>
        <w:t>is a measure of unrecorded reserves on the firm’s balance sheet at the end of the observation year</w:t>
      </w:r>
      <w:r>
        <w:rPr>
          <w:color w:val="231F20"/>
          <w:spacing w:val="-4"/>
          <w:sz w:val="16"/>
        </w:rPr>
        <w:t> </w:t>
      </w:r>
      <w:r>
        <w:rPr>
          <w:color w:val="231F20"/>
          <w:sz w:val="16"/>
        </w:rPr>
        <w:t>and</w:t>
      </w:r>
      <w:r>
        <w:rPr>
          <w:color w:val="231F20"/>
          <w:spacing w:val="-4"/>
          <w:sz w:val="16"/>
        </w:rPr>
        <w:t> </w:t>
      </w:r>
      <w:r>
        <w:rPr>
          <w:color w:val="231F20"/>
          <w:sz w:val="16"/>
        </w:rPr>
        <w:t>calculated</w:t>
      </w:r>
      <w:r>
        <w:rPr>
          <w:color w:val="231F20"/>
          <w:spacing w:val="-4"/>
          <w:sz w:val="16"/>
        </w:rPr>
        <w:t> </w:t>
      </w:r>
      <w:r>
        <w:rPr>
          <w:color w:val="231F20"/>
          <w:sz w:val="16"/>
        </w:rPr>
        <w:t>as</w:t>
      </w:r>
      <w:r>
        <w:rPr>
          <w:color w:val="231F20"/>
          <w:spacing w:val="-4"/>
          <w:sz w:val="16"/>
        </w:rPr>
        <w:t> </w:t>
      </w:r>
      <w:r>
        <w:rPr>
          <w:color w:val="231F20"/>
          <w:sz w:val="16"/>
        </w:rPr>
        <w:t>the</w:t>
      </w:r>
      <w:r>
        <w:rPr>
          <w:color w:val="231F20"/>
          <w:spacing w:val="-4"/>
          <w:sz w:val="16"/>
        </w:rPr>
        <w:t> </w:t>
      </w:r>
      <w:r>
        <w:rPr>
          <w:color w:val="231F20"/>
          <w:sz w:val="16"/>
        </w:rPr>
        <w:t>sum</w:t>
      </w:r>
      <w:r>
        <w:rPr>
          <w:color w:val="231F20"/>
          <w:spacing w:val="-4"/>
          <w:sz w:val="16"/>
        </w:rPr>
        <w:t> </w:t>
      </w:r>
      <w:r>
        <w:rPr>
          <w:color w:val="231F20"/>
          <w:sz w:val="16"/>
        </w:rPr>
        <w:t>of</w:t>
      </w:r>
      <w:r>
        <w:rPr>
          <w:color w:val="231F20"/>
          <w:spacing w:val="-4"/>
          <w:sz w:val="16"/>
        </w:rPr>
        <w:t> </w:t>
      </w:r>
      <w:r>
        <w:rPr>
          <w:color w:val="231F20"/>
          <w:sz w:val="16"/>
        </w:rPr>
        <w:t>(i)</w:t>
      </w:r>
      <w:r>
        <w:rPr>
          <w:color w:val="231F20"/>
          <w:spacing w:val="-4"/>
          <w:sz w:val="16"/>
        </w:rPr>
        <w:t> </w:t>
      </w:r>
      <w:r>
        <w:rPr>
          <w:color w:val="231F20"/>
          <w:sz w:val="16"/>
        </w:rPr>
        <w:t>LIFO</w:t>
      </w:r>
      <w:r>
        <w:rPr>
          <w:color w:val="231F20"/>
          <w:spacing w:val="-4"/>
          <w:sz w:val="16"/>
        </w:rPr>
        <w:t> </w:t>
      </w:r>
      <w:r>
        <w:rPr>
          <w:color w:val="231F20"/>
          <w:sz w:val="16"/>
        </w:rPr>
        <w:t>reserve</w:t>
      </w:r>
      <w:r>
        <w:rPr>
          <w:color w:val="231F20"/>
          <w:spacing w:val="-4"/>
          <w:sz w:val="16"/>
        </w:rPr>
        <w:t> </w:t>
      </w:r>
      <w:r>
        <w:rPr>
          <w:color w:val="231F20"/>
          <w:sz w:val="16"/>
        </w:rPr>
        <w:t>as</w:t>
      </w:r>
      <w:r>
        <w:rPr>
          <w:color w:val="231F20"/>
          <w:spacing w:val="-4"/>
          <w:sz w:val="16"/>
        </w:rPr>
        <w:t> </w:t>
      </w:r>
      <w:r>
        <w:rPr>
          <w:color w:val="231F20"/>
          <w:sz w:val="16"/>
        </w:rPr>
        <w:t>reported</w:t>
      </w:r>
      <w:r>
        <w:rPr>
          <w:color w:val="231F20"/>
          <w:spacing w:val="-4"/>
          <w:sz w:val="16"/>
        </w:rPr>
        <w:t> </w:t>
      </w:r>
      <w:r>
        <w:rPr>
          <w:color w:val="231F20"/>
          <w:sz w:val="16"/>
        </w:rPr>
        <w:t>in</w:t>
      </w:r>
      <w:r>
        <w:rPr>
          <w:color w:val="231F20"/>
          <w:spacing w:val="-4"/>
          <w:sz w:val="16"/>
        </w:rPr>
        <w:t> </w:t>
      </w:r>
      <w:r>
        <w:rPr>
          <w:color w:val="231F20"/>
          <w:sz w:val="16"/>
        </w:rPr>
        <w:t>the financial</w:t>
      </w:r>
      <w:r>
        <w:rPr>
          <w:color w:val="231F20"/>
          <w:spacing w:val="-9"/>
          <w:sz w:val="16"/>
        </w:rPr>
        <w:t> </w:t>
      </w:r>
      <w:r>
        <w:rPr>
          <w:color w:val="231F20"/>
          <w:sz w:val="16"/>
        </w:rPr>
        <w:t>statement,</w:t>
      </w:r>
      <w:r>
        <w:rPr>
          <w:color w:val="231F20"/>
          <w:spacing w:val="-9"/>
          <w:sz w:val="16"/>
        </w:rPr>
        <w:t> </w:t>
      </w:r>
      <w:r>
        <w:rPr>
          <w:color w:val="231F20"/>
          <w:sz w:val="16"/>
        </w:rPr>
        <w:t>LIFR,</w:t>
      </w:r>
      <w:r>
        <w:rPr>
          <w:color w:val="231F20"/>
          <w:spacing w:val="-9"/>
          <w:sz w:val="16"/>
        </w:rPr>
        <w:t> </w:t>
      </w:r>
      <w:r>
        <w:rPr>
          <w:color w:val="231F20"/>
          <w:sz w:val="16"/>
        </w:rPr>
        <w:t>(ii)</w:t>
      </w:r>
      <w:r>
        <w:rPr>
          <w:color w:val="231F20"/>
          <w:spacing w:val="-9"/>
          <w:sz w:val="16"/>
        </w:rPr>
        <w:t> </w:t>
      </w:r>
      <w:r>
        <w:rPr>
          <w:color w:val="231F20"/>
          <w:sz w:val="16"/>
        </w:rPr>
        <w:t>R&amp;D</w:t>
      </w:r>
      <w:r>
        <w:rPr>
          <w:color w:val="231F20"/>
          <w:spacing w:val="-9"/>
          <w:sz w:val="16"/>
        </w:rPr>
        <w:t> </w:t>
      </w:r>
      <w:r>
        <w:rPr>
          <w:color w:val="231F20"/>
          <w:sz w:val="16"/>
        </w:rPr>
        <w:t>reserve</w:t>
      </w:r>
      <w:r>
        <w:rPr>
          <w:color w:val="231F20"/>
          <w:spacing w:val="-9"/>
          <w:sz w:val="16"/>
        </w:rPr>
        <w:t> </w:t>
      </w:r>
      <w:r>
        <w:rPr>
          <w:color w:val="231F20"/>
          <w:sz w:val="16"/>
        </w:rPr>
        <w:t>that</w:t>
      </w:r>
      <w:r>
        <w:rPr>
          <w:color w:val="231F20"/>
          <w:spacing w:val="-9"/>
          <w:sz w:val="16"/>
        </w:rPr>
        <w:t> </w:t>
      </w:r>
      <w:r>
        <w:rPr>
          <w:color w:val="231F20"/>
          <w:sz w:val="16"/>
        </w:rPr>
        <w:t>would</w:t>
      </w:r>
      <w:r>
        <w:rPr>
          <w:color w:val="231F20"/>
          <w:spacing w:val="-9"/>
          <w:sz w:val="16"/>
        </w:rPr>
        <w:t> </w:t>
      </w:r>
      <w:r>
        <w:rPr>
          <w:color w:val="231F20"/>
          <w:sz w:val="16"/>
        </w:rPr>
        <w:t>have</w:t>
      </w:r>
      <w:r>
        <w:rPr>
          <w:color w:val="231F20"/>
          <w:spacing w:val="-9"/>
          <w:sz w:val="16"/>
        </w:rPr>
        <w:t> </w:t>
      </w:r>
      <w:r>
        <w:rPr>
          <w:color w:val="231F20"/>
          <w:sz w:val="16"/>
        </w:rPr>
        <w:t>been</w:t>
      </w:r>
      <w:r>
        <w:rPr>
          <w:color w:val="231F20"/>
          <w:spacing w:val="-9"/>
          <w:sz w:val="16"/>
        </w:rPr>
        <w:t> </w:t>
      </w:r>
      <w:r>
        <w:rPr>
          <w:color w:val="231F20"/>
          <w:sz w:val="16"/>
        </w:rPr>
        <w:t>on the balance sheet if R&amp;D expenditures, XRD, had been capitalized and</w:t>
      </w:r>
      <w:r>
        <w:rPr>
          <w:color w:val="231F20"/>
          <w:spacing w:val="-12"/>
          <w:sz w:val="16"/>
        </w:rPr>
        <w:t> </w:t>
      </w:r>
      <w:r>
        <w:rPr>
          <w:color w:val="231F20"/>
          <w:sz w:val="16"/>
        </w:rPr>
        <w:t>amortized</w:t>
      </w:r>
      <w:r>
        <w:rPr>
          <w:color w:val="231F20"/>
          <w:spacing w:val="-12"/>
          <w:sz w:val="16"/>
        </w:rPr>
        <w:t> </w:t>
      </w:r>
      <w:r>
        <w:rPr>
          <w:color w:val="231F20"/>
          <w:sz w:val="16"/>
        </w:rPr>
        <w:t>using</w:t>
      </w:r>
      <w:r>
        <w:rPr>
          <w:color w:val="231F20"/>
          <w:spacing w:val="-12"/>
          <w:sz w:val="16"/>
        </w:rPr>
        <w:t> </w:t>
      </w:r>
      <w:r>
        <w:rPr>
          <w:color w:val="231F20"/>
          <w:sz w:val="16"/>
        </w:rPr>
        <w:t>the</w:t>
      </w:r>
      <w:r>
        <w:rPr>
          <w:color w:val="231F20"/>
          <w:spacing w:val="-12"/>
          <w:sz w:val="16"/>
        </w:rPr>
        <w:t> </w:t>
      </w:r>
      <w:r>
        <w:rPr>
          <w:color w:val="231F20"/>
          <w:sz w:val="16"/>
        </w:rPr>
        <w:t>industry</w:t>
      </w:r>
      <w:r>
        <w:rPr>
          <w:color w:val="231F20"/>
          <w:spacing w:val="-12"/>
          <w:sz w:val="16"/>
        </w:rPr>
        <w:t> </w:t>
      </w:r>
      <w:r>
        <w:rPr>
          <w:color w:val="231F20"/>
          <w:sz w:val="16"/>
        </w:rPr>
        <w:t>coefficients</w:t>
      </w:r>
      <w:r>
        <w:rPr>
          <w:color w:val="231F20"/>
          <w:spacing w:val="-12"/>
          <w:sz w:val="16"/>
        </w:rPr>
        <w:t> </w:t>
      </w:r>
      <w:r>
        <w:rPr>
          <w:color w:val="231F20"/>
          <w:sz w:val="16"/>
        </w:rPr>
        <w:t>estimated</w:t>
      </w:r>
      <w:r>
        <w:rPr>
          <w:color w:val="231F20"/>
          <w:spacing w:val="-12"/>
          <w:sz w:val="16"/>
        </w:rPr>
        <w:t> </w:t>
      </w:r>
      <w:r>
        <w:rPr>
          <w:color w:val="231F20"/>
          <w:sz w:val="16"/>
        </w:rPr>
        <w:t>by</w:t>
      </w:r>
      <w:r>
        <w:rPr>
          <w:color w:val="231F20"/>
          <w:spacing w:val="-12"/>
          <w:sz w:val="16"/>
        </w:rPr>
        <w:t> </w:t>
      </w:r>
      <w:r>
        <w:rPr>
          <w:color w:val="231F20"/>
          <w:sz w:val="16"/>
        </w:rPr>
        <w:t>Lev</w:t>
      </w:r>
      <w:r>
        <w:rPr>
          <w:color w:val="231F20"/>
          <w:spacing w:val="-12"/>
          <w:sz w:val="16"/>
        </w:rPr>
        <w:t> </w:t>
      </w:r>
      <w:r>
        <w:rPr>
          <w:color w:val="231F20"/>
          <w:sz w:val="16"/>
        </w:rPr>
        <w:t>and Sougiannis [1996], and (iii) advertising reserve that would have been on the balance sheet if advertising expenditures, XAD, had been capitalized and amortized using a sum-of-the-year’s digits method</w:t>
      </w:r>
      <w:r>
        <w:rPr>
          <w:color w:val="231F20"/>
          <w:spacing w:val="-6"/>
          <w:sz w:val="16"/>
        </w:rPr>
        <w:t> </w:t>
      </w:r>
      <w:r>
        <w:rPr>
          <w:color w:val="231F20"/>
          <w:sz w:val="16"/>
        </w:rPr>
        <w:t>over</w:t>
      </w:r>
      <w:r>
        <w:rPr>
          <w:color w:val="231F20"/>
          <w:spacing w:val="-6"/>
          <w:sz w:val="16"/>
        </w:rPr>
        <w:t> </w:t>
      </w:r>
      <w:r>
        <w:rPr>
          <w:color w:val="231F20"/>
          <w:sz w:val="16"/>
        </w:rPr>
        <w:t>two</w:t>
      </w:r>
      <w:r>
        <w:rPr>
          <w:color w:val="231F20"/>
          <w:spacing w:val="-6"/>
          <w:sz w:val="16"/>
        </w:rPr>
        <w:t> </w:t>
      </w:r>
      <w:r>
        <w:rPr>
          <w:color w:val="231F20"/>
          <w:sz w:val="16"/>
        </w:rPr>
        <w:t>years,</w:t>
      </w:r>
      <w:r>
        <w:rPr>
          <w:color w:val="231F20"/>
          <w:spacing w:val="-6"/>
          <w:sz w:val="16"/>
        </w:rPr>
        <w:t> </w:t>
      </w:r>
      <w:r>
        <w:rPr>
          <w:color w:val="231F20"/>
          <w:sz w:val="16"/>
        </w:rPr>
        <w:t>deflated</w:t>
      </w:r>
      <w:r>
        <w:rPr>
          <w:color w:val="231F20"/>
          <w:spacing w:val="-6"/>
          <w:sz w:val="16"/>
        </w:rPr>
        <w:t> </w:t>
      </w:r>
      <w:r>
        <w:rPr>
          <w:color w:val="231F20"/>
          <w:sz w:val="16"/>
        </w:rPr>
        <w:t>by</w:t>
      </w:r>
      <w:r>
        <w:rPr>
          <w:color w:val="231F20"/>
          <w:spacing w:val="-6"/>
          <w:sz w:val="16"/>
        </w:rPr>
        <w:t> </w:t>
      </w:r>
      <w:r>
        <w:rPr>
          <w:color w:val="231F20"/>
          <w:sz w:val="16"/>
        </w:rPr>
        <w:t>net</w:t>
      </w:r>
      <w:r>
        <w:rPr>
          <w:color w:val="231F20"/>
          <w:spacing w:val="-6"/>
          <w:sz w:val="16"/>
        </w:rPr>
        <w:t> </w:t>
      </w:r>
      <w:r>
        <w:rPr>
          <w:color w:val="231F20"/>
          <w:sz w:val="16"/>
        </w:rPr>
        <w:t>operating</w:t>
      </w:r>
      <w:r>
        <w:rPr>
          <w:color w:val="231F20"/>
          <w:spacing w:val="-6"/>
          <w:sz w:val="16"/>
        </w:rPr>
        <w:t> </w:t>
      </w:r>
      <w:r>
        <w:rPr>
          <w:color w:val="231F20"/>
          <w:sz w:val="16"/>
        </w:rPr>
        <w:t>assets</w:t>
      </w:r>
      <w:r>
        <w:rPr>
          <w:color w:val="231F20"/>
          <w:spacing w:val="-6"/>
          <w:sz w:val="16"/>
        </w:rPr>
        <w:t> </w:t>
      </w:r>
      <w:r>
        <w:rPr>
          <w:color w:val="231F20"/>
          <w:sz w:val="16"/>
        </w:rPr>
        <w:t>(CEQ</w:t>
      </w:r>
    </w:p>
    <w:p>
      <w:pPr>
        <w:tabs>
          <w:tab w:pos="2822" w:val="left" w:leader="none"/>
          <w:tab w:pos="3355" w:val="left" w:leader="none"/>
          <w:tab w:pos="3977" w:val="left" w:leader="none"/>
          <w:tab w:pos="4571" w:val="left" w:leader="none"/>
          <w:tab w:pos="5187" w:val="left" w:leader="none"/>
          <w:tab w:pos="5733" w:val="left" w:leader="none"/>
          <w:tab w:pos="6326" w:val="left" w:leader="none"/>
        </w:tabs>
        <w:spacing w:before="5"/>
        <w:ind w:left="2206" w:right="0" w:firstLine="0"/>
        <w:jc w:val="left"/>
        <w:rPr>
          <w:sz w:val="16"/>
        </w:rPr>
      </w:pPr>
      <w:r>
        <w:rPr/>
        <w:pict>
          <v:shape style="position:absolute;margin-left:196.837677pt;margin-top:1.581434pt;width:181.45pt;height:14pt;mso-position-horizontal-relative:page;mso-position-vertical-relative:paragraph;z-index:-63640" type="#_x0000_t202" filled="false" stroked="false">
            <v:textbox inset="0,0,0,0">
              <w:txbxContent>
                <w:p>
                  <w:pPr>
                    <w:tabs>
                      <w:tab w:pos="532" w:val="left" w:leader="none"/>
                      <w:tab w:pos="1154" w:val="left" w:leader="none"/>
                      <w:tab w:pos="1748" w:val="left" w:leader="none"/>
                      <w:tab w:pos="2364" w:val="left" w:leader="none"/>
                      <w:tab w:pos="2910" w:val="left" w:leader="none"/>
                      <w:tab w:pos="3503" w:val="left" w:leader="none"/>
                    </w:tabs>
                    <w:spacing w:line="197" w:lineRule="exact" w:before="0"/>
                    <w:ind w:left="0" w:right="0" w:firstLine="0"/>
                    <w:jc w:val="left"/>
                    <w:rPr>
                      <w:rFonts w:ascii="Lucida Sans Unicode" w:hAnsi="Lucida Sans Unicode"/>
                      <w:sz w:val="16"/>
                    </w:rPr>
                  </w:pPr>
                  <w:r>
                    <w:rPr>
                      <w:rFonts w:ascii="Lucida Sans Unicode" w:hAnsi="Lucida Sans Unicode"/>
                      <w:color w:val="231F20"/>
                      <w:sz w:val="16"/>
                    </w:rPr>
                    <w:t>+</w:t>
                    <w:tab/>
                    <w:t>+</w:t>
                    <w:tab/>
                    <w:t>+</w:t>
                    <w:tab/>
                    <w:t>+</w:t>
                    <w:tab/>
                    <w:t>−</w:t>
                    <w:tab/>
                    <w:t>−</w:t>
                    <w:tab/>
                  </w:r>
                  <w:r>
                    <w:rPr>
                      <w:rFonts w:ascii="Lucida Sans Unicode" w:hAnsi="Lucida Sans Unicode"/>
                      <w:color w:val="231F20"/>
                      <w:w w:val="95"/>
                      <w:sz w:val="16"/>
                    </w:rPr>
                    <w:t>+</w:t>
                  </w:r>
                </w:p>
              </w:txbxContent>
            </v:textbox>
            <w10:wrap type="none"/>
          </v:shape>
        </w:pict>
      </w:r>
      <w:r>
        <w:rPr>
          <w:color w:val="231F20"/>
          <w:spacing w:val="-3"/>
          <w:sz w:val="16"/>
        </w:rPr>
        <w:t>DVPA</w:t>
        <w:tab/>
      </w:r>
      <w:r>
        <w:rPr>
          <w:color w:val="231F20"/>
          <w:sz w:val="16"/>
        </w:rPr>
        <w:t>DLC</w:t>
        <w:tab/>
      </w:r>
      <w:r>
        <w:rPr>
          <w:color w:val="231F20"/>
          <w:spacing w:val="-4"/>
          <w:sz w:val="16"/>
        </w:rPr>
        <w:t>DLTT</w:t>
        <w:tab/>
      </w:r>
      <w:r>
        <w:rPr>
          <w:color w:val="231F20"/>
          <w:sz w:val="16"/>
        </w:rPr>
        <w:t>PSTK</w:t>
        <w:tab/>
      </w:r>
      <w:r>
        <w:rPr>
          <w:color w:val="231F20"/>
          <w:spacing w:val="-3"/>
          <w:sz w:val="16"/>
        </w:rPr>
        <w:t>DVPA</w:t>
        <w:tab/>
      </w:r>
      <w:r>
        <w:rPr>
          <w:color w:val="231F20"/>
          <w:sz w:val="16"/>
        </w:rPr>
        <w:t>CHE</w:t>
        <w:tab/>
      </w:r>
      <w:r>
        <w:rPr>
          <w:color w:val="231F20"/>
          <w:spacing w:val="-4"/>
          <w:sz w:val="16"/>
        </w:rPr>
        <w:t>IVAO</w:t>
        <w:tab/>
      </w:r>
      <w:r>
        <w:rPr>
          <w:color w:val="231F20"/>
          <w:sz w:val="16"/>
        </w:rPr>
        <w:t>MIB)</w:t>
      </w:r>
    </w:p>
    <w:p>
      <w:pPr>
        <w:spacing w:before="0"/>
        <w:ind w:left="2206" w:right="0" w:firstLine="0"/>
        <w:jc w:val="left"/>
        <w:rPr>
          <w:sz w:val="16"/>
        </w:rPr>
      </w:pPr>
      <w:r>
        <w:rPr>
          <w:color w:val="231F20"/>
          <w:w w:val="105"/>
          <w:sz w:val="16"/>
        </w:rPr>
        <w:t>(Penman and Zhang [2002]).</w:t>
      </w:r>
    </w:p>
    <w:p>
      <w:pPr>
        <w:tabs>
          <w:tab w:pos="2206" w:val="left" w:leader="none"/>
        </w:tabs>
        <w:spacing w:line="228" w:lineRule="auto" w:before="8"/>
        <w:ind w:left="2206" w:right="150" w:hanging="1674"/>
        <w:jc w:val="left"/>
        <w:rPr>
          <w:sz w:val="16"/>
        </w:rPr>
      </w:pPr>
      <w:r>
        <w:rPr/>
        <w:pict>
          <v:line style="position:absolute;mso-position-horizontal-relative:page;mso-position-vertical-relative:paragraph;z-index:-63976" from="117.116997pt,7.494549pt" to="119.519997pt,7.494549pt" stroked="true" strokeweight=".405pt" strokecolor="#000000">
            <v:stroke dashstyle="solid"/>
            <w10:wrap type="none"/>
          </v:line>
        </w:pict>
      </w:r>
      <w:r>
        <w:rPr/>
        <w:pict>
          <v:line style="position:absolute;mso-position-horizontal-relative:page;mso-position-vertical-relative:paragraph;z-index:-63952" from="229.373993pt,27.420549pt" to="231.776993pt,27.420549pt" stroked="true" strokeweight=".405pt" strokecolor="#000000">
            <v:stroke dashstyle="solid"/>
            <w10:wrap type="none"/>
          </v:line>
        </w:pict>
      </w:r>
      <w:r>
        <w:rPr/>
        <w:pict>
          <v:line style="position:absolute;mso-position-horizontal-relative:page;mso-position-vertical-relative:paragraph;z-index:-63928" from="288.747009pt,27.420549pt" to="291.150009pt,27.420549pt" stroked="true" strokeweight=".405pt" strokecolor="#000000">
            <v:stroke dashstyle="solid"/>
            <w10:wrap type="none"/>
          </v:line>
        </w:pict>
      </w:r>
      <w:r>
        <w:rPr/>
        <w:pict>
          <v:line style="position:absolute;mso-position-horizontal-relative:page;mso-position-vertical-relative:paragraph;z-index:-63904" from="348.27301pt,27.420549pt" to="350.67601pt,27.420549pt" stroked="true" strokeweight=".405pt" strokecolor="#000000">
            <v:stroke dashstyle="solid"/>
            <w10:wrap type="none"/>
          </v:line>
        </w:pict>
      </w:r>
      <w:r>
        <w:rPr/>
        <w:pict>
          <v:shape style="position:absolute;margin-left:150.406677pt;margin-top:1.345389pt;width:6.25pt;height:14pt;mso-position-horizontal-relative:page;mso-position-vertical-relative:paragraph;z-index:-6383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CRANK ALL</w:t>
        <w:tab/>
      </w:r>
      <w:r>
        <w:rPr>
          <w:color w:val="231F20"/>
          <w:sz w:val="16"/>
        </w:rPr>
        <w:t>A</w:t>
      </w:r>
      <w:r>
        <w:rPr>
          <w:color w:val="231F20"/>
          <w:spacing w:val="-14"/>
          <w:sz w:val="16"/>
        </w:rPr>
        <w:t> </w:t>
      </w:r>
      <w:r>
        <w:rPr>
          <w:color w:val="231F20"/>
          <w:sz w:val="16"/>
        </w:rPr>
        <w:t>composite</w:t>
      </w:r>
      <w:r>
        <w:rPr>
          <w:color w:val="231F20"/>
          <w:spacing w:val="-14"/>
          <w:sz w:val="16"/>
        </w:rPr>
        <w:t> </w:t>
      </w:r>
      <w:r>
        <w:rPr>
          <w:color w:val="231F20"/>
          <w:sz w:val="16"/>
        </w:rPr>
        <w:t>conservatism</w:t>
      </w:r>
      <w:r>
        <w:rPr>
          <w:color w:val="231F20"/>
          <w:spacing w:val="-14"/>
          <w:sz w:val="16"/>
        </w:rPr>
        <w:t> </w:t>
      </w:r>
      <w:r>
        <w:rPr>
          <w:color w:val="231F20"/>
          <w:sz w:val="16"/>
        </w:rPr>
        <w:t>measure</w:t>
      </w:r>
      <w:r>
        <w:rPr>
          <w:color w:val="231F20"/>
          <w:spacing w:val="-14"/>
          <w:sz w:val="16"/>
        </w:rPr>
        <w:t> </w:t>
      </w:r>
      <w:r>
        <w:rPr>
          <w:color w:val="231F20"/>
          <w:sz w:val="16"/>
        </w:rPr>
        <w:t>calculated</w:t>
      </w:r>
      <w:r>
        <w:rPr>
          <w:color w:val="231F20"/>
          <w:spacing w:val="-14"/>
          <w:sz w:val="16"/>
        </w:rPr>
        <w:t> </w:t>
      </w:r>
      <w:r>
        <w:rPr>
          <w:color w:val="231F20"/>
          <w:sz w:val="16"/>
        </w:rPr>
        <w:t>as</w:t>
      </w:r>
      <w:r>
        <w:rPr>
          <w:color w:val="231F20"/>
          <w:spacing w:val="-14"/>
          <w:sz w:val="16"/>
        </w:rPr>
        <w:t> </w:t>
      </w:r>
      <w:r>
        <w:rPr>
          <w:color w:val="231F20"/>
          <w:sz w:val="16"/>
        </w:rPr>
        <w:t>the</w:t>
      </w:r>
      <w:r>
        <w:rPr>
          <w:color w:val="231F20"/>
          <w:spacing w:val="-14"/>
          <w:sz w:val="16"/>
        </w:rPr>
        <w:t> </w:t>
      </w:r>
      <w:r>
        <w:rPr>
          <w:color w:val="231F20"/>
          <w:sz w:val="16"/>
        </w:rPr>
        <w:t>simple</w:t>
      </w:r>
      <w:r>
        <w:rPr>
          <w:color w:val="231F20"/>
          <w:spacing w:val="-14"/>
          <w:sz w:val="16"/>
        </w:rPr>
        <w:t> </w:t>
      </w:r>
      <w:r>
        <w:rPr>
          <w:color w:val="231F20"/>
          <w:sz w:val="16"/>
        </w:rPr>
        <w:t>average of</w:t>
      </w:r>
      <w:r>
        <w:rPr>
          <w:color w:val="231F20"/>
          <w:spacing w:val="-15"/>
          <w:sz w:val="16"/>
        </w:rPr>
        <w:t> </w:t>
      </w:r>
      <w:r>
        <w:rPr>
          <w:color w:val="231F20"/>
          <w:sz w:val="16"/>
        </w:rPr>
        <w:t>the</w:t>
      </w:r>
      <w:r>
        <w:rPr>
          <w:color w:val="231F20"/>
          <w:spacing w:val="-15"/>
          <w:sz w:val="16"/>
        </w:rPr>
        <w:t> </w:t>
      </w:r>
      <w:r>
        <w:rPr>
          <w:color w:val="231F20"/>
          <w:sz w:val="16"/>
        </w:rPr>
        <w:t>three-dimensional</w:t>
      </w:r>
      <w:r>
        <w:rPr>
          <w:color w:val="231F20"/>
          <w:spacing w:val="-15"/>
          <w:sz w:val="16"/>
        </w:rPr>
        <w:t> </w:t>
      </w:r>
      <w:r>
        <w:rPr>
          <w:color w:val="231F20"/>
          <w:sz w:val="16"/>
        </w:rPr>
        <w:t>conservatism</w:t>
      </w:r>
      <w:r>
        <w:rPr>
          <w:color w:val="231F20"/>
          <w:spacing w:val="-15"/>
          <w:sz w:val="16"/>
        </w:rPr>
        <w:t> </w:t>
      </w:r>
      <w:r>
        <w:rPr>
          <w:color w:val="231F20"/>
          <w:sz w:val="16"/>
        </w:rPr>
        <w:t>ranks</w:t>
      </w:r>
      <w:r>
        <w:rPr>
          <w:color w:val="231F20"/>
          <w:spacing w:val="-15"/>
          <w:sz w:val="16"/>
        </w:rPr>
        <w:t> </w:t>
      </w:r>
      <w:r>
        <w:rPr>
          <w:color w:val="231F20"/>
          <w:sz w:val="16"/>
        </w:rPr>
        <w:t>for</w:t>
      </w:r>
      <w:r>
        <w:rPr>
          <w:color w:val="231F20"/>
          <w:spacing w:val="-15"/>
          <w:sz w:val="16"/>
        </w:rPr>
        <w:t> </w:t>
      </w:r>
      <w:r>
        <w:rPr>
          <w:color w:val="231F20"/>
          <w:sz w:val="16"/>
        </w:rPr>
        <w:t>the</w:t>
      </w:r>
      <w:r>
        <w:rPr>
          <w:color w:val="231F20"/>
          <w:spacing w:val="-15"/>
          <w:sz w:val="16"/>
        </w:rPr>
        <w:t> </w:t>
      </w:r>
      <w:r>
        <w:rPr>
          <w:color w:val="231F20"/>
          <w:sz w:val="16"/>
        </w:rPr>
        <w:t>observation</w:t>
      </w:r>
      <w:r>
        <w:rPr>
          <w:color w:val="231F20"/>
          <w:spacing w:val="-15"/>
          <w:sz w:val="16"/>
        </w:rPr>
        <w:t> </w:t>
      </w:r>
      <w:r>
        <w:rPr>
          <w:color w:val="231F20"/>
          <w:spacing w:val="-3"/>
          <w:sz w:val="16"/>
        </w:rPr>
        <w:t>year, </w:t>
      </w:r>
      <w:r>
        <w:rPr>
          <w:color w:val="231F20"/>
          <w:sz w:val="16"/>
        </w:rPr>
        <w:t>that is, (</w:t>
      </w:r>
      <w:r>
        <w:rPr>
          <w:i/>
          <w:color w:val="231F20"/>
          <w:sz w:val="16"/>
        </w:rPr>
        <w:t>CRANK ACCR </w:t>
      </w:r>
      <w:r>
        <w:rPr>
          <w:rFonts w:ascii="Lucida Sans Unicode"/>
          <w:color w:val="231F20"/>
          <w:sz w:val="16"/>
        </w:rPr>
        <w:t>+ </w:t>
      </w:r>
      <w:r>
        <w:rPr>
          <w:i/>
          <w:color w:val="231F20"/>
          <w:sz w:val="16"/>
        </w:rPr>
        <w:t>CRANK SKEW </w:t>
      </w:r>
      <w:r>
        <w:rPr>
          <w:rFonts w:ascii="Lucida Sans Unicode"/>
          <w:color w:val="231F20"/>
          <w:sz w:val="16"/>
        </w:rPr>
        <w:t>+</w:t>
      </w:r>
      <w:r>
        <w:rPr>
          <w:rFonts w:ascii="Lucida Sans Unicode"/>
          <w:color w:val="231F20"/>
          <w:spacing w:val="-39"/>
          <w:sz w:val="16"/>
        </w:rPr>
        <w:t> </w:t>
      </w:r>
      <w:r>
        <w:rPr>
          <w:i/>
          <w:color w:val="231F20"/>
          <w:sz w:val="16"/>
        </w:rPr>
        <w:t>CRANK PZ</w:t>
      </w:r>
      <w:r>
        <w:rPr>
          <w:color w:val="231F20"/>
          <w:sz w:val="16"/>
        </w:rPr>
        <w:t>)/3.</w:t>
      </w:r>
    </w:p>
    <w:p>
      <w:pPr>
        <w:spacing w:before="39"/>
        <w:ind w:left="532" w:right="0" w:firstLine="0"/>
        <w:jc w:val="left"/>
        <w:rPr>
          <w:sz w:val="16"/>
        </w:rPr>
      </w:pPr>
      <w:r>
        <w:rPr>
          <w:color w:val="231F20"/>
          <w:sz w:val="16"/>
        </w:rPr>
        <w:t>Case ruling-related measures</w:t>
      </w:r>
    </w:p>
    <w:p>
      <w:pPr>
        <w:tabs>
          <w:tab w:pos="2206" w:val="left" w:leader="none"/>
        </w:tabs>
        <w:spacing w:before="60"/>
        <w:ind w:left="2206" w:right="584" w:hanging="1674"/>
        <w:jc w:val="left"/>
        <w:rPr>
          <w:sz w:val="16"/>
        </w:rPr>
      </w:pPr>
      <w:r>
        <w:rPr/>
        <w:pict>
          <v:shape style="position:absolute;margin-left:150.406601pt;margin-top:4.331436pt;width:6.25pt;height:14pt;mso-position-horizontal-relative:page;mso-position-vertical-relative:paragraph;z-index:-6380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POST</w:t>
        <w:tab/>
      </w:r>
      <w:r>
        <w:rPr>
          <w:color w:val="231F20"/>
          <w:sz w:val="16"/>
        </w:rPr>
        <w:t>A</w:t>
      </w:r>
      <w:r>
        <w:rPr>
          <w:color w:val="231F20"/>
          <w:spacing w:val="-8"/>
          <w:sz w:val="16"/>
        </w:rPr>
        <w:t> </w:t>
      </w:r>
      <w:r>
        <w:rPr>
          <w:color w:val="231F20"/>
          <w:sz w:val="16"/>
        </w:rPr>
        <w:t>dichotomous</w:t>
      </w:r>
      <w:r>
        <w:rPr>
          <w:color w:val="231F20"/>
          <w:spacing w:val="-8"/>
          <w:sz w:val="16"/>
        </w:rPr>
        <w:t> </w:t>
      </w:r>
      <w:r>
        <w:rPr>
          <w:color w:val="231F20"/>
          <w:sz w:val="16"/>
        </w:rPr>
        <w:t>variable</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1</w:t>
      </w:r>
      <w:r>
        <w:rPr>
          <w:color w:val="231F20"/>
          <w:spacing w:val="-8"/>
          <w:sz w:val="16"/>
        </w:rPr>
        <w:t> </w:t>
      </w:r>
      <w:r>
        <w:rPr>
          <w:color w:val="231F20"/>
          <w:sz w:val="16"/>
        </w:rPr>
        <w:t>if</w:t>
      </w:r>
      <w:r>
        <w:rPr>
          <w:color w:val="231F20"/>
          <w:spacing w:val="-8"/>
          <w:sz w:val="16"/>
        </w:rPr>
        <w:t> </w:t>
      </w:r>
      <w:r>
        <w:rPr>
          <w:color w:val="231F20"/>
          <w:sz w:val="16"/>
        </w:rPr>
        <w:t>the</w:t>
      </w:r>
      <w:r>
        <w:rPr>
          <w:color w:val="231F20"/>
          <w:spacing w:val="-8"/>
          <w:sz w:val="16"/>
        </w:rPr>
        <w:t> </w:t>
      </w:r>
      <w:r>
        <w:rPr>
          <w:color w:val="231F20"/>
          <w:sz w:val="16"/>
        </w:rPr>
        <w:t>calendar</w:t>
      </w:r>
      <w:r>
        <w:rPr>
          <w:color w:val="231F20"/>
          <w:spacing w:val="-8"/>
          <w:sz w:val="16"/>
        </w:rPr>
        <w:t> </w:t>
      </w:r>
      <w:r>
        <w:rPr>
          <w:color w:val="231F20"/>
          <w:sz w:val="16"/>
        </w:rPr>
        <w:t>year</w:t>
      </w:r>
      <w:r>
        <w:rPr>
          <w:color w:val="231F20"/>
          <w:spacing w:val="-8"/>
          <w:sz w:val="16"/>
        </w:rPr>
        <w:t> </w:t>
      </w:r>
      <w:r>
        <w:rPr>
          <w:color w:val="231F20"/>
          <w:sz w:val="16"/>
        </w:rPr>
        <w:t>is</w:t>
      </w:r>
      <w:r>
        <w:rPr>
          <w:color w:val="231F20"/>
          <w:spacing w:val="-8"/>
          <w:sz w:val="16"/>
        </w:rPr>
        <w:t> </w:t>
      </w:r>
      <w:r>
        <w:rPr>
          <w:color w:val="231F20"/>
          <w:sz w:val="16"/>
        </w:rPr>
        <w:t>in</w:t>
      </w:r>
      <w:r>
        <w:rPr>
          <w:color w:val="231F20"/>
          <w:spacing w:val="-8"/>
          <w:sz w:val="16"/>
        </w:rPr>
        <w:t> </w:t>
      </w:r>
      <w:r>
        <w:rPr>
          <w:color w:val="231F20"/>
          <w:sz w:val="16"/>
        </w:rPr>
        <w:t>the post-ruling period of 1993–1996, and 0 if in</w:t>
      </w:r>
      <w:r>
        <w:rPr>
          <w:color w:val="231F20"/>
          <w:spacing w:val="-6"/>
          <w:sz w:val="16"/>
        </w:rPr>
        <w:t> </w:t>
      </w:r>
      <w:r>
        <w:rPr>
          <w:color w:val="231F20"/>
          <w:sz w:val="16"/>
        </w:rPr>
        <w:t>1988–1991.</w:t>
      </w:r>
    </w:p>
    <w:p>
      <w:pPr>
        <w:tabs>
          <w:tab w:pos="2206" w:val="left" w:leader="none"/>
        </w:tabs>
        <w:spacing w:before="61"/>
        <w:ind w:left="2206" w:right="265" w:hanging="1674"/>
        <w:jc w:val="left"/>
        <w:rPr>
          <w:sz w:val="16"/>
        </w:rPr>
      </w:pPr>
      <w:r>
        <w:rPr/>
        <w:pict>
          <v:line style="position:absolute;mso-position-horizontal-relative:page;mso-position-vertical-relative:paragraph;z-index:7504;mso-wrap-distance-left:0;mso-wrap-distance-right:0" from="90.629997pt,25.142723pt" to="413.423997pt,25.142723pt" stroked="true" strokeweight=".504pt" strokecolor="#000000">
            <v:stroke dashstyle="solid"/>
            <w10:wrap type="topAndBottom"/>
          </v:line>
        </w:pict>
      </w:r>
      <w:r>
        <w:rPr/>
        <w:pict>
          <v:shape style="position:absolute;margin-left:150.405807pt;margin-top:4.381433pt;width:6.25pt;height:14pt;mso-position-horizontal-relative:page;mso-position-vertical-relative:paragraph;z-index:-6378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DEL</w:t>
        <w:tab/>
      </w:r>
      <w:r>
        <w:rPr>
          <w:color w:val="231F20"/>
          <w:sz w:val="16"/>
        </w:rPr>
        <w:t>A</w:t>
      </w:r>
      <w:r>
        <w:rPr>
          <w:color w:val="231F20"/>
          <w:spacing w:val="-6"/>
          <w:sz w:val="16"/>
        </w:rPr>
        <w:t> </w:t>
      </w:r>
      <w:r>
        <w:rPr>
          <w:color w:val="231F20"/>
          <w:sz w:val="16"/>
        </w:rPr>
        <w:t>dichotomous</w:t>
      </w:r>
      <w:r>
        <w:rPr>
          <w:color w:val="231F20"/>
          <w:spacing w:val="-6"/>
          <w:sz w:val="16"/>
        </w:rPr>
        <w:t> </w:t>
      </w:r>
      <w:r>
        <w:rPr>
          <w:color w:val="231F20"/>
          <w:sz w:val="16"/>
        </w:rPr>
        <w:t>variable</w:t>
      </w:r>
      <w:r>
        <w:rPr>
          <w:color w:val="231F20"/>
          <w:spacing w:val="-6"/>
          <w:sz w:val="16"/>
        </w:rPr>
        <w:t> </w:t>
      </w:r>
      <w:r>
        <w:rPr>
          <w:color w:val="231F20"/>
          <w:sz w:val="16"/>
        </w:rPr>
        <w:t>equal</w:t>
      </w:r>
      <w:r>
        <w:rPr>
          <w:color w:val="231F20"/>
          <w:spacing w:val="-6"/>
          <w:sz w:val="16"/>
        </w:rPr>
        <w:t> </w:t>
      </w:r>
      <w:r>
        <w:rPr>
          <w:color w:val="231F20"/>
          <w:sz w:val="16"/>
        </w:rPr>
        <w:t>to</w:t>
      </w:r>
      <w:r>
        <w:rPr>
          <w:color w:val="231F20"/>
          <w:spacing w:val="-6"/>
          <w:sz w:val="16"/>
        </w:rPr>
        <w:t> </w:t>
      </w:r>
      <w:r>
        <w:rPr>
          <w:color w:val="231F20"/>
          <w:sz w:val="16"/>
        </w:rPr>
        <w:t>1</w:t>
      </w:r>
      <w:r>
        <w:rPr>
          <w:color w:val="231F20"/>
          <w:spacing w:val="-6"/>
          <w:sz w:val="16"/>
        </w:rPr>
        <w:t> </w:t>
      </w:r>
      <w:r>
        <w:rPr>
          <w:color w:val="231F20"/>
          <w:sz w:val="16"/>
        </w:rPr>
        <w:t>if</w:t>
      </w:r>
      <w:r>
        <w:rPr>
          <w:color w:val="231F20"/>
          <w:spacing w:val="-6"/>
          <w:sz w:val="16"/>
        </w:rPr>
        <w:t> </w:t>
      </w:r>
      <w:r>
        <w:rPr>
          <w:color w:val="231F20"/>
          <w:sz w:val="16"/>
        </w:rPr>
        <w:t>the</w:t>
      </w:r>
      <w:r>
        <w:rPr>
          <w:color w:val="231F20"/>
          <w:spacing w:val="-6"/>
          <w:sz w:val="16"/>
        </w:rPr>
        <w:t> </w:t>
      </w:r>
      <w:r>
        <w:rPr>
          <w:color w:val="231F20"/>
          <w:sz w:val="16"/>
        </w:rPr>
        <w:t>firm</w:t>
      </w:r>
      <w:r>
        <w:rPr>
          <w:color w:val="231F20"/>
          <w:spacing w:val="-6"/>
          <w:sz w:val="16"/>
        </w:rPr>
        <w:t> </w:t>
      </w:r>
      <w:r>
        <w:rPr>
          <w:color w:val="231F20"/>
          <w:sz w:val="16"/>
        </w:rPr>
        <w:t>is</w:t>
      </w:r>
      <w:r>
        <w:rPr>
          <w:color w:val="231F20"/>
          <w:spacing w:val="-6"/>
          <w:sz w:val="16"/>
        </w:rPr>
        <w:t> </w:t>
      </w:r>
      <w:r>
        <w:rPr>
          <w:color w:val="231F20"/>
          <w:sz w:val="16"/>
        </w:rPr>
        <w:t>incorporated</w:t>
      </w:r>
      <w:r>
        <w:rPr>
          <w:color w:val="231F20"/>
          <w:spacing w:val="-6"/>
          <w:sz w:val="16"/>
        </w:rPr>
        <w:t> </w:t>
      </w:r>
      <w:r>
        <w:rPr>
          <w:color w:val="231F20"/>
          <w:sz w:val="16"/>
        </w:rPr>
        <w:t>in</w:t>
      </w:r>
      <w:r>
        <w:rPr>
          <w:color w:val="231F20"/>
          <w:spacing w:val="-6"/>
          <w:sz w:val="16"/>
        </w:rPr>
        <w:t> </w:t>
      </w:r>
      <w:r>
        <w:rPr>
          <w:color w:val="231F20"/>
          <w:sz w:val="16"/>
        </w:rPr>
        <w:t>the State of Delaware and 0</w:t>
      </w:r>
      <w:r>
        <w:rPr>
          <w:color w:val="231F20"/>
          <w:spacing w:val="-2"/>
          <w:sz w:val="16"/>
        </w:rPr>
        <w:t> </w:t>
      </w:r>
      <w:r>
        <w:rPr>
          <w:color w:val="231F20"/>
          <w:sz w:val="16"/>
        </w:rPr>
        <w:t>otherwise.</w:t>
      </w:r>
    </w:p>
    <w:p>
      <w:pPr>
        <w:spacing w:before="0"/>
        <w:ind w:left="153" w:right="149" w:firstLine="0"/>
        <w:jc w:val="right"/>
        <w:rPr>
          <w:sz w:val="16"/>
        </w:rPr>
      </w:pPr>
      <w:r>
        <w:rPr>
          <w:color w:val="231F20"/>
          <w:sz w:val="16"/>
        </w:rPr>
        <w:t>(</w:t>
      </w:r>
      <w:r>
        <w:rPr>
          <w:i/>
          <w:color w:val="231F20"/>
          <w:sz w:val="16"/>
        </w:rPr>
        <w:t>Continued</w:t>
      </w:r>
      <w:r>
        <w:rPr>
          <w:color w:val="231F20"/>
          <w:sz w:val="16"/>
        </w:rPr>
        <w:t>)</w:t>
      </w:r>
    </w:p>
    <w:p>
      <w:pPr>
        <w:spacing w:after="0"/>
        <w:jc w:val="right"/>
        <w:rPr>
          <w:sz w:val="16"/>
        </w:rPr>
        <w:sectPr>
          <w:headerReference w:type="default" r:id="rId28"/>
          <w:headerReference w:type="even" r:id="rId29"/>
          <w:pgSz w:w="9720" w:h="14400"/>
          <w:pgMar w:header="1055" w:footer="0" w:top="1300" w:bottom="280" w:left="1280" w:right="1300"/>
          <w:pgNumType w:start="1023"/>
        </w:sectPr>
      </w:pPr>
    </w:p>
    <w:p>
      <w:pPr>
        <w:pStyle w:val="BodyText"/>
        <w:spacing w:before="11"/>
        <w:rPr>
          <w:sz w:val="21"/>
        </w:rPr>
      </w:pPr>
    </w:p>
    <w:p>
      <w:pPr>
        <w:pStyle w:val="BodyText"/>
        <w:spacing w:line="53" w:lineRule="exact"/>
        <w:ind w:left="156"/>
        <w:rPr>
          <w:sz w:val="5"/>
        </w:rPr>
      </w:pPr>
      <w:r>
        <w:rPr>
          <w:position w:val="0"/>
          <w:sz w:val="5"/>
        </w:rPr>
        <w:pict>
          <v:group style="width:322.8pt;height:2.6pt;mso-position-horizontal-relative:char;mso-position-vertical-relative:line" coordorigin="0,0" coordsize="6456,52">
            <v:line style="position:absolute" from="0,5" to="6456,5" stroked="true" strokeweight=".504pt" strokecolor="#000000">
              <v:stroke dashstyle="solid"/>
            </v:line>
            <v:line style="position:absolute" from="0,46" to="6456,46" stroked="true" strokeweight=".504pt" strokecolor="#000000">
              <v:stroke dashstyle="solid"/>
            </v:line>
          </v:group>
        </w:pict>
      </w:r>
      <w:r>
        <w:rPr>
          <w:position w:val="0"/>
          <w:sz w:val="5"/>
        </w:rPr>
      </w:r>
    </w:p>
    <w:p>
      <w:pPr>
        <w:tabs>
          <w:tab w:pos="1836" w:val="left" w:leader="none"/>
        </w:tabs>
        <w:spacing w:before="27"/>
        <w:ind w:left="1836" w:right="530" w:hanging="1674"/>
        <w:jc w:val="left"/>
        <w:rPr>
          <w:sz w:val="16"/>
        </w:rPr>
      </w:pPr>
      <w:r>
        <w:rPr/>
        <w:pict>
          <v:shape style="position:absolute;margin-left:131.893753pt;margin-top:2.681411pt;width:6.25pt;height:14pt;mso-position-horizontal-relative:page;mso-position-vertical-relative:paragraph;z-index:-6330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HEDF93</w:t>
        <w:tab/>
      </w:r>
      <w:r>
        <w:rPr>
          <w:color w:val="231F20"/>
          <w:sz w:val="16"/>
        </w:rPr>
        <w:t>A</w:t>
      </w:r>
      <w:r>
        <w:rPr>
          <w:color w:val="231F20"/>
          <w:spacing w:val="-8"/>
          <w:sz w:val="16"/>
        </w:rPr>
        <w:t> </w:t>
      </w:r>
      <w:r>
        <w:rPr>
          <w:color w:val="231F20"/>
          <w:sz w:val="16"/>
        </w:rPr>
        <w:t>dichotomous</w:t>
      </w:r>
      <w:r>
        <w:rPr>
          <w:color w:val="231F20"/>
          <w:spacing w:val="-8"/>
          <w:sz w:val="16"/>
        </w:rPr>
        <w:t> </w:t>
      </w:r>
      <w:r>
        <w:rPr>
          <w:color w:val="231F20"/>
          <w:sz w:val="16"/>
        </w:rPr>
        <w:t>variable</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1</w:t>
      </w:r>
      <w:r>
        <w:rPr>
          <w:color w:val="231F20"/>
          <w:spacing w:val="-8"/>
          <w:sz w:val="16"/>
        </w:rPr>
        <w:t> </w:t>
      </w:r>
      <w:r>
        <w:rPr>
          <w:color w:val="231F20"/>
          <w:sz w:val="16"/>
        </w:rPr>
        <w:t>if</w:t>
      </w:r>
      <w:r>
        <w:rPr>
          <w:color w:val="231F20"/>
          <w:spacing w:val="-8"/>
          <w:sz w:val="16"/>
        </w:rPr>
        <w:t> </w:t>
      </w:r>
      <w:r>
        <w:rPr>
          <w:i/>
          <w:color w:val="231F20"/>
          <w:sz w:val="16"/>
        </w:rPr>
        <w:t>EDF93</w:t>
      </w:r>
      <w:r>
        <w:rPr>
          <w:color w:val="231F20"/>
          <w:sz w:val="16"/>
        </w:rPr>
        <w:t>,</w:t>
      </w:r>
      <w:r>
        <w:rPr>
          <w:color w:val="231F20"/>
          <w:spacing w:val="-8"/>
          <w:sz w:val="16"/>
        </w:rPr>
        <w:t> </w:t>
      </w:r>
      <w:r>
        <w:rPr>
          <w:color w:val="231F20"/>
          <w:sz w:val="16"/>
        </w:rPr>
        <w:t>that</w:t>
      </w:r>
      <w:r>
        <w:rPr>
          <w:color w:val="231F20"/>
          <w:spacing w:val="-8"/>
          <w:sz w:val="16"/>
        </w:rPr>
        <w:t> </w:t>
      </w:r>
      <w:r>
        <w:rPr>
          <w:color w:val="231F20"/>
          <w:sz w:val="16"/>
        </w:rPr>
        <w:t>is,</w:t>
      </w:r>
      <w:r>
        <w:rPr>
          <w:color w:val="231F20"/>
          <w:spacing w:val="-8"/>
          <w:sz w:val="16"/>
        </w:rPr>
        <w:t> </w:t>
      </w:r>
      <w:r>
        <w:rPr>
          <w:color w:val="231F20"/>
          <w:sz w:val="16"/>
        </w:rPr>
        <w:t>the</w:t>
      </w:r>
      <w:r>
        <w:rPr>
          <w:color w:val="231F20"/>
          <w:spacing w:val="-8"/>
          <w:sz w:val="16"/>
        </w:rPr>
        <w:t> </w:t>
      </w:r>
      <w:r>
        <w:rPr>
          <w:color w:val="231F20"/>
          <w:sz w:val="16"/>
        </w:rPr>
        <w:t>EDF</w:t>
      </w:r>
      <w:r>
        <w:rPr>
          <w:color w:val="231F20"/>
          <w:spacing w:val="-8"/>
          <w:sz w:val="16"/>
        </w:rPr>
        <w:t> </w:t>
      </w:r>
      <w:r>
        <w:rPr>
          <w:color w:val="231F20"/>
          <w:sz w:val="16"/>
        </w:rPr>
        <w:t>score</w:t>
      </w:r>
      <w:r>
        <w:rPr>
          <w:color w:val="231F20"/>
          <w:spacing w:val="-8"/>
          <w:sz w:val="16"/>
        </w:rPr>
        <w:t> </w:t>
      </w:r>
      <w:r>
        <w:rPr>
          <w:color w:val="231F20"/>
          <w:sz w:val="16"/>
        </w:rPr>
        <w:t>in the</w:t>
      </w:r>
      <w:r>
        <w:rPr>
          <w:color w:val="231F20"/>
          <w:spacing w:val="-8"/>
          <w:sz w:val="16"/>
        </w:rPr>
        <w:t> </w:t>
      </w:r>
      <w:r>
        <w:rPr>
          <w:color w:val="231F20"/>
          <w:sz w:val="16"/>
        </w:rPr>
        <w:t>year</w:t>
      </w:r>
      <w:r>
        <w:rPr>
          <w:color w:val="231F20"/>
          <w:spacing w:val="-8"/>
          <w:sz w:val="16"/>
        </w:rPr>
        <w:t> </w:t>
      </w:r>
      <w:r>
        <w:rPr>
          <w:color w:val="231F20"/>
          <w:sz w:val="16"/>
        </w:rPr>
        <w:t>1993</w:t>
      </w:r>
      <w:r>
        <w:rPr>
          <w:color w:val="231F20"/>
          <w:spacing w:val="-8"/>
          <w:sz w:val="16"/>
        </w:rPr>
        <w:t> </w:t>
      </w:r>
      <w:r>
        <w:rPr>
          <w:color w:val="231F20"/>
          <w:sz w:val="16"/>
        </w:rPr>
        <w:t>when</w:t>
      </w:r>
      <w:r>
        <w:rPr>
          <w:color w:val="231F20"/>
          <w:spacing w:val="-8"/>
          <w:sz w:val="16"/>
        </w:rPr>
        <w:t> </w:t>
      </w:r>
      <w:r>
        <w:rPr>
          <w:color w:val="231F20"/>
          <w:sz w:val="16"/>
        </w:rPr>
        <w:t>the</w:t>
      </w:r>
      <w:r>
        <w:rPr>
          <w:color w:val="231F20"/>
          <w:spacing w:val="-8"/>
          <w:sz w:val="16"/>
        </w:rPr>
        <w:t> </w:t>
      </w:r>
      <w:r>
        <w:rPr>
          <w:color w:val="231F20"/>
          <w:sz w:val="16"/>
        </w:rPr>
        <w:t>case</w:t>
      </w:r>
      <w:r>
        <w:rPr>
          <w:color w:val="231F20"/>
          <w:spacing w:val="-8"/>
          <w:sz w:val="16"/>
        </w:rPr>
        <w:t> </w:t>
      </w:r>
      <w:r>
        <w:rPr>
          <w:color w:val="231F20"/>
          <w:sz w:val="16"/>
        </w:rPr>
        <w:t>ruling</w:t>
      </w:r>
      <w:r>
        <w:rPr>
          <w:color w:val="231F20"/>
          <w:spacing w:val="-8"/>
          <w:sz w:val="16"/>
        </w:rPr>
        <w:t> </w:t>
      </w:r>
      <w:r>
        <w:rPr>
          <w:color w:val="231F20"/>
          <w:sz w:val="16"/>
        </w:rPr>
        <w:t>became</w:t>
      </w:r>
      <w:r>
        <w:rPr>
          <w:color w:val="231F20"/>
          <w:spacing w:val="-8"/>
          <w:sz w:val="16"/>
        </w:rPr>
        <w:t> </w:t>
      </w:r>
      <w:r>
        <w:rPr>
          <w:color w:val="231F20"/>
          <w:sz w:val="16"/>
        </w:rPr>
        <w:t>effective,</w:t>
      </w:r>
      <w:r>
        <w:rPr>
          <w:color w:val="231F20"/>
          <w:spacing w:val="-8"/>
          <w:sz w:val="16"/>
        </w:rPr>
        <w:t> </w:t>
      </w:r>
      <w:r>
        <w:rPr>
          <w:color w:val="231F20"/>
          <w:sz w:val="16"/>
        </w:rPr>
        <w:t>is</w:t>
      </w:r>
      <w:r>
        <w:rPr>
          <w:color w:val="231F20"/>
          <w:spacing w:val="-8"/>
          <w:sz w:val="16"/>
        </w:rPr>
        <w:t> </w:t>
      </w:r>
      <w:r>
        <w:rPr>
          <w:color w:val="231F20"/>
          <w:sz w:val="16"/>
        </w:rPr>
        <w:t>ranked</w:t>
      </w:r>
      <w:r>
        <w:rPr>
          <w:color w:val="231F20"/>
          <w:spacing w:val="-8"/>
          <w:sz w:val="16"/>
        </w:rPr>
        <w:t> </w:t>
      </w:r>
      <w:r>
        <w:rPr>
          <w:color w:val="231F20"/>
          <w:sz w:val="16"/>
        </w:rPr>
        <w:t>in</w:t>
      </w:r>
      <w:r>
        <w:rPr>
          <w:color w:val="231F20"/>
          <w:spacing w:val="-8"/>
          <w:sz w:val="16"/>
        </w:rPr>
        <w:t> </w:t>
      </w:r>
      <w:r>
        <w:rPr>
          <w:color w:val="231F20"/>
          <w:sz w:val="16"/>
        </w:rPr>
        <w:t>the top quartile of its distribution and 0 otherwise, where EDF score is Estimated Default Frequency for a firm to measure the bankruptcy probability in a year implied in the stock price and based on the Merton model.</w:t>
      </w:r>
    </w:p>
    <w:p>
      <w:pPr>
        <w:spacing w:before="62"/>
        <w:ind w:left="162" w:right="0" w:firstLine="0"/>
        <w:jc w:val="left"/>
        <w:rPr>
          <w:sz w:val="16"/>
        </w:rPr>
      </w:pPr>
      <w:r>
        <w:rPr>
          <w:color w:val="231F20"/>
          <w:sz w:val="16"/>
        </w:rPr>
        <w:t>Control variables for firm characteristics</w:t>
      </w:r>
    </w:p>
    <w:p>
      <w:pPr>
        <w:tabs>
          <w:tab w:pos="1836" w:val="left" w:leader="none"/>
          <w:tab w:pos="5492" w:val="left" w:leader="none"/>
        </w:tabs>
        <w:spacing w:before="60"/>
        <w:ind w:left="1836" w:right="520" w:hanging="1674"/>
        <w:jc w:val="left"/>
        <w:rPr>
          <w:sz w:val="16"/>
        </w:rPr>
      </w:pPr>
      <w:r>
        <w:rPr/>
        <w:pict>
          <v:line style="position:absolute;mso-position-horizontal-relative:page;mso-position-vertical-relative:paragraph;z-index:-63544" from="321.506989pt,20.443142pt" to="323.909989pt,20.443142pt" stroked="true" strokeweight=".405pt" strokecolor="#000000">
            <v:stroke dashstyle="solid"/>
            <w10:wrap type="none"/>
          </v:line>
        </w:pict>
      </w:r>
      <w:r>
        <w:rPr/>
        <w:pict>
          <v:shape style="position:absolute;margin-left:330.284698pt;margin-top:14.293982pt;width:6.3pt;height:14pt;mso-position-horizontal-relative:page;mso-position-vertical-relative:paragraph;z-index:-63256"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31.895355pt;margin-top:4.331462pt;width:6.25pt;height:14pt;mso-position-horizontal-relative:page;mso-position-vertical-relative:paragraph;z-index:-6323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LNMVE</w:t>
        <w:tab/>
      </w:r>
      <w:r>
        <w:rPr>
          <w:color w:val="231F20"/>
          <w:sz w:val="16"/>
        </w:rPr>
        <w:t>Nature</w:t>
      </w:r>
      <w:r>
        <w:rPr>
          <w:color w:val="231F20"/>
          <w:spacing w:val="-19"/>
          <w:sz w:val="16"/>
        </w:rPr>
        <w:t> </w:t>
      </w:r>
      <w:r>
        <w:rPr>
          <w:color w:val="231F20"/>
          <w:sz w:val="16"/>
        </w:rPr>
        <w:t>log</w:t>
      </w:r>
      <w:r>
        <w:rPr>
          <w:color w:val="231F20"/>
          <w:spacing w:val="-19"/>
          <w:sz w:val="16"/>
        </w:rPr>
        <w:t> </w:t>
      </w:r>
      <w:r>
        <w:rPr>
          <w:color w:val="231F20"/>
          <w:sz w:val="16"/>
        </w:rPr>
        <w:t>of</w:t>
      </w:r>
      <w:r>
        <w:rPr>
          <w:color w:val="231F20"/>
          <w:spacing w:val="-19"/>
          <w:sz w:val="16"/>
        </w:rPr>
        <w:t> </w:t>
      </w:r>
      <w:r>
        <w:rPr>
          <w:i/>
          <w:color w:val="231F20"/>
          <w:sz w:val="16"/>
        </w:rPr>
        <w:t>MVE</w:t>
      </w:r>
      <w:r>
        <w:rPr>
          <w:color w:val="231F20"/>
          <w:sz w:val="16"/>
        </w:rPr>
        <w:t>,</w:t>
      </w:r>
      <w:r>
        <w:rPr>
          <w:color w:val="231F20"/>
          <w:spacing w:val="-19"/>
          <w:sz w:val="16"/>
        </w:rPr>
        <w:t> </w:t>
      </w:r>
      <w:r>
        <w:rPr>
          <w:color w:val="231F20"/>
          <w:sz w:val="16"/>
        </w:rPr>
        <w:t>where</w:t>
      </w:r>
      <w:r>
        <w:rPr>
          <w:color w:val="231F20"/>
          <w:spacing w:val="-19"/>
          <w:sz w:val="16"/>
        </w:rPr>
        <w:t> </w:t>
      </w:r>
      <w:r>
        <w:rPr>
          <w:i/>
          <w:color w:val="231F20"/>
          <w:sz w:val="16"/>
        </w:rPr>
        <w:t>MVE</w:t>
      </w:r>
      <w:r>
        <w:rPr>
          <w:i/>
          <w:color w:val="231F20"/>
          <w:spacing w:val="-19"/>
          <w:sz w:val="16"/>
        </w:rPr>
        <w:t> </w:t>
      </w:r>
      <w:r>
        <w:rPr>
          <w:color w:val="231F20"/>
          <w:sz w:val="16"/>
        </w:rPr>
        <w:t>is</w:t>
      </w:r>
      <w:r>
        <w:rPr>
          <w:color w:val="231F20"/>
          <w:spacing w:val="-19"/>
          <w:sz w:val="16"/>
        </w:rPr>
        <w:t> </w:t>
      </w:r>
      <w:r>
        <w:rPr>
          <w:color w:val="231F20"/>
          <w:sz w:val="16"/>
        </w:rPr>
        <w:t>measured</w:t>
      </w:r>
      <w:r>
        <w:rPr>
          <w:color w:val="231F20"/>
          <w:spacing w:val="-19"/>
          <w:sz w:val="16"/>
        </w:rPr>
        <w:t> </w:t>
      </w:r>
      <w:r>
        <w:rPr>
          <w:color w:val="231F20"/>
          <w:sz w:val="16"/>
        </w:rPr>
        <w:t>as</w:t>
      </w:r>
      <w:r>
        <w:rPr>
          <w:color w:val="231F20"/>
          <w:spacing w:val="-19"/>
          <w:sz w:val="16"/>
        </w:rPr>
        <w:t> </w:t>
      </w:r>
      <w:r>
        <w:rPr>
          <w:color w:val="231F20"/>
          <w:sz w:val="16"/>
        </w:rPr>
        <w:t>market</w:t>
      </w:r>
      <w:r>
        <w:rPr>
          <w:color w:val="231F20"/>
          <w:spacing w:val="-19"/>
          <w:sz w:val="16"/>
        </w:rPr>
        <w:t> </w:t>
      </w:r>
      <w:r>
        <w:rPr>
          <w:color w:val="231F20"/>
          <w:sz w:val="16"/>
        </w:rPr>
        <w:t>value</w:t>
      </w:r>
      <w:r>
        <w:rPr>
          <w:color w:val="231F20"/>
          <w:spacing w:val="-19"/>
          <w:sz w:val="16"/>
        </w:rPr>
        <w:t> </w:t>
      </w:r>
      <w:r>
        <w:rPr>
          <w:color w:val="231F20"/>
          <w:sz w:val="16"/>
        </w:rPr>
        <w:t>of</w:t>
      </w:r>
      <w:r>
        <w:rPr>
          <w:color w:val="231F20"/>
          <w:spacing w:val="-19"/>
          <w:sz w:val="16"/>
        </w:rPr>
        <w:t> </w:t>
      </w:r>
      <w:r>
        <w:rPr>
          <w:color w:val="231F20"/>
          <w:sz w:val="16"/>
        </w:rPr>
        <w:t>equity at the beginning of the observation year</w:t>
      </w:r>
      <w:r>
        <w:rPr>
          <w:color w:val="231F20"/>
          <w:spacing w:val="-24"/>
          <w:sz w:val="16"/>
        </w:rPr>
        <w:t> </w:t>
      </w:r>
      <w:r>
        <w:rPr>
          <w:color w:val="231F20"/>
          <w:sz w:val="16"/>
        </w:rPr>
        <w:t>(PRCC</w:t>
      </w:r>
      <w:r>
        <w:rPr>
          <w:color w:val="231F20"/>
          <w:spacing w:val="10"/>
          <w:sz w:val="16"/>
        </w:rPr>
        <w:t> </w:t>
      </w:r>
      <w:r>
        <w:rPr>
          <w:color w:val="231F20"/>
          <w:sz w:val="16"/>
        </w:rPr>
        <w:t>F</w:t>
        <w:tab/>
        <w:t>CSHO).</w:t>
      </w:r>
    </w:p>
    <w:p>
      <w:pPr>
        <w:tabs>
          <w:tab w:pos="1836" w:val="left" w:leader="none"/>
        </w:tabs>
        <w:spacing w:before="1"/>
        <w:ind w:left="1836" w:right="699" w:hanging="1674"/>
        <w:jc w:val="left"/>
        <w:rPr>
          <w:sz w:val="16"/>
        </w:rPr>
      </w:pPr>
      <w:r>
        <w:rPr/>
        <w:pict>
          <v:shape style="position:absolute;margin-left:131.893021pt;margin-top:1.381412pt;width:6.25pt;height:14pt;mso-position-horizontal-relative:page;mso-position-vertical-relative:paragraph;z-index:-6328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LEV</w:t>
        <w:tab/>
      </w:r>
      <w:r>
        <w:rPr>
          <w:color w:val="231F20"/>
          <w:spacing w:val="-3"/>
          <w:sz w:val="16"/>
        </w:rPr>
        <w:t>Total</w:t>
      </w:r>
      <w:r>
        <w:rPr>
          <w:color w:val="231F20"/>
          <w:spacing w:val="-7"/>
          <w:sz w:val="16"/>
        </w:rPr>
        <w:t> </w:t>
      </w:r>
      <w:r>
        <w:rPr>
          <w:color w:val="231F20"/>
          <w:sz w:val="16"/>
        </w:rPr>
        <w:t>liabilities</w:t>
      </w:r>
      <w:r>
        <w:rPr>
          <w:color w:val="231F20"/>
          <w:spacing w:val="-7"/>
          <w:sz w:val="16"/>
        </w:rPr>
        <w:t> </w:t>
      </w:r>
      <w:r>
        <w:rPr>
          <w:color w:val="231F20"/>
          <w:spacing w:val="-4"/>
          <w:sz w:val="16"/>
        </w:rPr>
        <w:t>(LT)</w:t>
      </w:r>
      <w:r>
        <w:rPr>
          <w:color w:val="231F20"/>
          <w:spacing w:val="-7"/>
          <w:sz w:val="16"/>
        </w:rPr>
        <w:t> </w:t>
      </w:r>
      <w:r>
        <w:rPr>
          <w:color w:val="231F20"/>
          <w:sz w:val="16"/>
        </w:rPr>
        <w:t>divided</w:t>
      </w:r>
      <w:r>
        <w:rPr>
          <w:color w:val="231F20"/>
          <w:spacing w:val="-7"/>
          <w:sz w:val="16"/>
        </w:rPr>
        <w:t> </w:t>
      </w:r>
      <w:r>
        <w:rPr>
          <w:color w:val="231F20"/>
          <w:sz w:val="16"/>
        </w:rPr>
        <w:t>by</w:t>
      </w:r>
      <w:r>
        <w:rPr>
          <w:color w:val="231F20"/>
          <w:spacing w:val="-7"/>
          <w:sz w:val="16"/>
        </w:rPr>
        <w:t> </w:t>
      </w:r>
      <w:r>
        <w:rPr>
          <w:color w:val="231F20"/>
          <w:sz w:val="16"/>
        </w:rPr>
        <w:t>total</w:t>
      </w:r>
      <w:r>
        <w:rPr>
          <w:color w:val="231F20"/>
          <w:spacing w:val="-7"/>
          <w:sz w:val="16"/>
        </w:rPr>
        <w:t> </w:t>
      </w:r>
      <w:r>
        <w:rPr>
          <w:color w:val="231F20"/>
          <w:sz w:val="16"/>
        </w:rPr>
        <w:t>assets</w:t>
      </w:r>
      <w:r>
        <w:rPr>
          <w:color w:val="231F20"/>
          <w:spacing w:val="-7"/>
          <w:sz w:val="16"/>
        </w:rPr>
        <w:t> </w:t>
      </w:r>
      <w:r>
        <w:rPr>
          <w:color w:val="231F20"/>
          <w:sz w:val="16"/>
        </w:rPr>
        <w:t>(AT),</w:t>
      </w:r>
      <w:r>
        <w:rPr>
          <w:color w:val="231F20"/>
          <w:spacing w:val="-7"/>
          <w:sz w:val="16"/>
        </w:rPr>
        <w:t> </w:t>
      </w:r>
      <w:r>
        <w:rPr>
          <w:color w:val="231F20"/>
          <w:sz w:val="16"/>
        </w:rPr>
        <w:t>both</w:t>
      </w:r>
      <w:r>
        <w:rPr>
          <w:color w:val="231F20"/>
          <w:spacing w:val="-7"/>
          <w:sz w:val="16"/>
        </w:rPr>
        <w:t> </w:t>
      </w:r>
      <w:r>
        <w:rPr>
          <w:color w:val="231F20"/>
          <w:sz w:val="16"/>
        </w:rPr>
        <w:t>measured</w:t>
      </w:r>
      <w:r>
        <w:rPr>
          <w:color w:val="231F20"/>
          <w:spacing w:val="-7"/>
          <w:sz w:val="16"/>
        </w:rPr>
        <w:t> </w:t>
      </w:r>
      <w:r>
        <w:rPr>
          <w:color w:val="231F20"/>
          <w:sz w:val="16"/>
        </w:rPr>
        <w:t>at the beginning of the observation</w:t>
      </w:r>
      <w:r>
        <w:rPr>
          <w:color w:val="231F20"/>
          <w:spacing w:val="0"/>
          <w:sz w:val="16"/>
        </w:rPr>
        <w:t> </w:t>
      </w:r>
      <w:r>
        <w:rPr>
          <w:color w:val="231F20"/>
          <w:spacing w:val="-3"/>
          <w:sz w:val="16"/>
        </w:rPr>
        <w:t>year.</w:t>
      </w:r>
    </w:p>
    <w:p>
      <w:pPr>
        <w:tabs>
          <w:tab w:pos="1836" w:val="left" w:leader="none"/>
          <w:tab w:pos="2673" w:val="left" w:leader="none"/>
        </w:tabs>
        <w:spacing w:before="1"/>
        <w:ind w:left="1836" w:right="1111" w:hanging="1674"/>
        <w:jc w:val="left"/>
        <w:rPr>
          <w:sz w:val="16"/>
        </w:rPr>
      </w:pPr>
      <w:r>
        <w:rPr/>
        <w:pict>
          <v:line style="position:absolute;mso-position-horizontal-relative:page;mso-position-vertical-relative:paragraph;z-index:-63520" from="180.539993pt,17.493153pt" to="182.942993pt,17.493153pt" stroked="true" strokeweight=".405pt" strokecolor="#000000">
            <v:stroke dashstyle="solid"/>
            <w10:wrap type="none"/>
          </v:line>
        </w:pict>
      </w:r>
      <w:r>
        <w:rPr/>
        <w:pict>
          <v:shape style="position:absolute;margin-left:189.322891pt;margin-top:11.343992pt;width:6.3pt;height:14pt;mso-position-horizontal-relative:page;mso-position-vertical-relative:paragraph;z-index:-63208" type="#_x0000_t202" filled="false" stroked="false">
            <v:textbox inset="0,0,0,0">
              <w:txbxContent>
                <w:p>
                  <w:pPr>
                    <w:spacing w:line="197" w:lineRule="exact" w:before="0"/>
                    <w:ind w:left="0" w:right="0" w:firstLine="0"/>
                    <w:jc w:val="left"/>
                    <w:rPr>
                      <w:rFonts w:ascii="Lucida Sans Unicode" w:hAnsi="Lucida Sans Unicode"/>
                      <w:sz w:val="16"/>
                    </w:rPr>
                  </w:pPr>
                  <w:r>
                    <w:rPr>
                      <w:rFonts w:ascii="Lucida Sans Unicode" w:hAnsi="Lucida Sans Unicode"/>
                      <w:color w:val="231F20"/>
                      <w:w w:val="98"/>
                      <w:sz w:val="16"/>
                    </w:rPr>
                    <w:t>×</w:t>
                  </w:r>
                </w:p>
              </w:txbxContent>
            </v:textbox>
            <w10:wrap type="none"/>
          </v:shape>
        </w:pict>
      </w:r>
      <w:r>
        <w:rPr/>
        <w:pict>
          <v:shape style="position:absolute;margin-left:131.893021pt;margin-top:1.381452pt;width:6.25pt;height:14pt;mso-position-horizontal-relative:page;mso-position-vertical-relative:paragraph;z-index:-6318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BTM</w:t>
        <w:tab/>
      </w:r>
      <w:r>
        <w:rPr>
          <w:color w:val="231F20"/>
          <w:sz w:val="16"/>
        </w:rPr>
        <w:t>The</w:t>
      </w:r>
      <w:r>
        <w:rPr>
          <w:color w:val="231F20"/>
          <w:spacing w:val="-7"/>
          <w:sz w:val="16"/>
        </w:rPr>
        <w:t> </w:t>
      </w:r>
      <w:r>
        <w:rPr>
          <w:color w:val="231F20"/>
          <w:sz w:val="16"/>
        </w:rPr>
        <w:t>ratio</w:t>
      </w:r>
      <w:r>
        <w:rPr>
          <w:color w:val="231F20"/>
          <w:spacing w:val="-7"/>
          <w:sz w:val="16"/>
        </w:rPr>
        <w:t> </w:t>
      </w:r>
      <w:r>
        <w:rPr>
          <w:color w:val="231F20"/>
          <w:sz w:val="16"/>
        </w:rPr>
        <w:t>of</w:t>
      </w:r>
      <w:r>
        <w:rPr>
          <w:color w:val="231F20"/>
          <w:spacing w:val="-7"/>
          <w:sz w:val="16"/>
        </w:rPr>
        <w:t> </w:t>
      </w:r>
      <w:r>
        <w:rPr>
          <w:color w:val="231F20"/>
          <w:sz w:val="16"/>
        </w:rPr>
        <w:t>book</w:t>
      </w:r>
      <w:r>
        <w:rPr>
          <w:color w:val="231F20"/>
          <w:spacing w:val="-7"/>
          <w:sz w:val="16"/>
        </w:rPr>
        <w:t> </w:t>
      </w:r>
      <w:r>
        <w:rPr>
          <w:color w:val="231F20"/>
          <w:sz w:val="16"/>
        </w:rPr>
        <w:t>value</w:t>
      </w:r>
      <w:r>
        <w:rPr>
          <w:color w:val="231F20"/>
          <w:spacing w:val="-7"/>
          <w:sz w:val="16"/>
        </w:rPr>
        <w:t> </w:t>
      </w:r>
      <w:r>
        <w:rPr>
          <w:color w:val="231F20"/>
          <w:sz w:val="16"/>
        </w:rPr>
        <w:t>equity</w:t>
      </w:r>
      <w:r>
        <w:rPr>
          <w:color w:val="231F20"/>
          <w:spacing w:val="-7"/>
          <w:sz w:val="16"/>
        </w:rPr>
        <w:t> </w:t>
      </w:r>
      <w:r>
        <w:rPr>
          <w:color w:val="231F20"/>
          <w:sz w:val="16"/>
        </w:rPr>
        <w:t>(CEQ)</w:t>
      </w:r>
      <w:r>
        <w:rPr>
          <w:color w:val="231F20"/>
          <w:spacing w:val="-7"/>
          <w:sz w:val="16"/>
        </w:rPr>
        <w:t> </w:t>
      </w:r>
      <w:r>
        <w:rPr>
          <w:color w:val="231F20"/>
          <w:sz w:val="16"/>
        </w:rPr>
        <w:t>to</w:t>
      </w:r>
      <w:r>
        <w:rPr>
          <w:color w:val="231F20"/>
          <w:spacing w:val="-7"/>
          <w:sz w:val="16"/>
        </w:rPr>
        <w:t> </w:t>
      </w:r>
      <w:r>
        <w:rPr>
          <w:color w:val="231F20"/>
          <w:sz w:val="16"/>
        </w:rPr>
        <w:t>market</w:t>
      </w:r>
      <w:r>
        <w:rPr>
          <w:color w:val="231F20"/>
          <w:spacing w:val="-7"/>
          <w:sz w:val="16"/>
        </w:rPr>
        <w:t> </w:t>
      </w:r>
      <w:r>
        <w:rPr>
          <w:color w:val="231F20"/>
          <w:sz w:val="16"/>
        </w:rPr>
        <w:t>value</w:t>
      </w:r>
      <w:r>
        <w:rPr>
          <w:color w:val="231F20"/>
          <w:spacing w:val="-7"/>
          <w:sz w:val="16"/>
        </w:rPr>
        <w:t> </w:t>
      </w:r>
      <w:r>
        <w:rPr>
          <w:color w:val="231F20"/>
          <w:sz w:val="16"/>
        </w:rPr>
        <w:t>equity (PRCC</w:t>
      </w:r>
      <w:r>
        <w:rPr>
          <w:color w:val="231F20"/>
          <w:spacing w:val="15"/>
          <w:sz w:val="16"/>
        </w:rPr>
        <w:t> </w:t>
      </w:r>
      <w:r>
        <w:rPr>
          <w:color w:val="231F20"/>
          <w:sz w:val="16"/>
        </w:rPr>
        <w:t>F</w:t>
        <w:tab/>
        <w:t>CSHO), both measured at the beginning of the observation </w:t>
      </w:r>
      <w:r>
        <w:rPr>
          <w:color w:val="231F20"/>
          <w:spacing w:val="-3"/>
          <w:sz w:val="16"/>
        </w:rPr>
        <w:t>year.</w:t>
      </w:r>
    </w:p>
    <w:p>
      <w:pPr>
        <w:tabs>
          <w:tab w:pos="1836" w:val="left" w:leader="none"/>
        </w:tabs>
        <w:spacing w:before="1"/>
        <w:ind w:left="1836" w:right="1291" w:hanging="1674"/>
        <w:jc w:val="left"/>
        <w:rPr>
          <w:sz w:val="16"/>
        </w:rPr>
      </w:pPr>
      <w:r>
        <w:rPr/>
        <w:pict>
          <v:shape style="position:absolute;margin-left:131.893295pt;margin-top:1.381447pt;width:6.25pt;height:14pt;mso-position-horizontal-relative:page;mso-position-vertical-relative:paragraph;z-index:-6316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GROWTH</w:t>
        <w:tab/>
      </w:r>
      <w:r>
        <w:rPr>
          <w:color w:val="231F20"/>
          <w:sz w:val="16"/>
        </w:rPr>
        <w:t>Change</w:t>
      </w:r>
      <w:r>
        <w:rPr>
          <w:color w:val="231F20"/>
          <w:spacing w:val="-10"/>
          <w:sz w:val="16"/>
        </w:rPr>
        <w:t> </w:t>
      </w:r>
      <w:r>
        <w:rPr>
          <w:color w:val="231F20"/>
          <w:sz w:val="16"/>
        </w:rPr>
        <w:t>in</w:t>
      </w:r>
      <w:r>
        <w:rPr>
          <w:color w:val="231F20"/>
          <w:spacing w:val="-10"/>
          <w:sz w:val="16"/>
        </w:rPr>
        <w:t> </w:t>
      </w:r>
      <w:r>
        <w:rPr>
          <w:color w:val="231F20"/>
          <w:sz w:val="16"/>
        </w:rPr>
        <w:t>total</w:t>
      </w:r>
      <w:r>
        <w:rPr>
          <w:color w:val="231F20"/>
          <w:spacing w:val="-10"/>
          <w:sz w:val="16"/>
        </w:rPr>
        <w:t> </w:t>
      </w:r>
      <w:r>
        <w:rPr>
          <w:color w:val="231F20"/>
          <w:sz w:val="16"/>
        </w:rPr>
        <w:t>assets</w:t>
      </w:r>
      <w:r>
        <w:rPr>
          <w:color w:val="231F20"/>
          <w:spacing w:val="-10"/>
          <w:sz w:val="16"/>
        </w:rPr>
        <w:t> </w:t>
      </w:r>
      <w:r>
        <w:rPr>
          <w:color w:val="231F20"/>
          <w:spacing w:val="-3"/>
          <w:sz w:val="16"/>
        </w:rPr>
        <w:t>(AT)</w:t>
      </w:r>
      <w:r>
        <w:rPr>
          <w:color w:val="231F20"/>
          <w:spacing w:val="-10"/>
          <w:sz w:val="16"/>
        </w:rPr>
        <w:t> </w:t>
      </w:r>
      <w:r>
        <w:rPr>
          <w:color w:val="231F20"/>
          <w:sz w:val="16"/>
        </w:rPr>
        <w:t>from</w:t>
      </w:r>
      <w:r>
        <w:rPr>
          <w:color w:val="231F20"/>
          <w:spacing w:val="-10"/>
          <w:sz w:val="16"/>
        </w:rPr>
        <w:t> </w:t>
      </w:r>
      <w:r>
        <w:rPr>
          <w:color w:val="231F20"/>
          <w:sz w:val="16"/>
        </w:rPr>
        <w:t>the</w:t>
      </w:r>
      <w:r>
        <w:rPr>
          <w:color w:val="231F20"/>
          <w:spacing w:val="-10"/>
          <w:sz w:val="16"/>
        </w:rPr>
        <w:t> </w:t>
      </w:r>
      <w:r>
        <w:rPr>
          <w:color w:val="231F20"/>
          <w:sz w:val="16"/>
        </w:rPr>
        <w:t>prior</w:t>
      </w:r>
      <w:r>
        <w:rPr>
          <w:color w:val="231F20"/>
          <w:spacing w:val="-10"/>
          <w:sz w:val="16"/>
        </w:rPr>
        <w:t> </w:t>
      </w:r>
      <w:r>
        <w:rPr>
          <w:color w:val="231F20"/>
          <w:sz w:val="16"/>
        </w:rPr>
        <w:t>year</w:t>
      </w:r>
      <w:r>
        <w:rPr>
          <w:color w:val="231F20"/>
          <w:spacing w:val="-10"/>
          <w:sz w:val="16"/>
        </w:rPr>
        <w:t> </w:t>
      </w:r>
      <w:r>
        <w:rPr>
          <w:color w:val="231F20"/>
          <w:sz w:val="16"/>
        </w:rPr>
        <w:t>divided</w:t>
      </w:r>
      <w:r>
        <w:rPr>
          <w:color w:val="231F20"/>
          <w:spacing w:val="-10"/>
          <w:sz w:val="16"/>
        </w:rPr>
        <w:t> </w:t>
      </w:r>
      <w:r>
        <w:rPr>
          <w:color w:val="231F20"/>
          <w:sz w:val="16"/>
        </w:rPr>
        <w:t>by year-beginning total</w:t>
      </w:r>
      <w:r>
        <w:rPr>
          <w:color w:val="231F20"/>
          <w:spacing w:val="-1"/>
          <w:sz w:val="16"/>
        </w:rPr>
        <w:t> </w:t>
      </w:r>
      <w:r>
        <w:rPr>
          <w:color w:val="231F20"/>
          <w:sz w:val="16"/>
        </w:rPr>
        <w:t>assets.</w:t>
      </w:r>
    </w:p>
    <w:p>
      <w:pPr>
        <w:tabs>
          <w:tab w:pos="1836" w:val="left" w:leader="none"/>
        </w:tabs>
        <w:spacing w:before="1"/>
        <w:ind w:left="1836" w:right="712" w:hanging="1674"/>
        <w:jc w:val="left"/>
        <w:rPr>
          <w:sz w:val="16"/>
        </w:rPr>
      </w:pPr>
      <w:r>
        <w:rPr/>
        <w:pict>
          <v:shape style="position:absolute;margin-left:131.894104pt;margin-top:1.381427pt;width:6.25pt;height:14pt;mso-position-horizontal-relative:page;mso-position-vertical-relative:paragraph;z-index:-6313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LITIG</w:t>
        <w:tab/>
      </w:r>
      <w:r>
        <w:rPr>
          <w:color w:val="231F20"/>
          <w:sz w:val="16"/>
        </w:rPr>
        <w:t>A</w:t>
      </w:r>
      <w:r>
        <w:rPr>
          <w:color w:val="231F20"/>
          <w:spacing w:val="-7"/>
          <w:sz w:val="16"/>
        </w:rPr>
        <w:t> </w:t>
      </w:r>
      <w:r>
        <w:rPr>
          <w:color w:val="231F20"/>
          <w:sz w:val="16"/>
        </w:rPr>
        <w:t>dichotomous</w:t>
      </w:r>
      <w:r>
        <w:rPr>
          <w:color w:val="231F20"/>
          <w:spacing w:val="-7"/>
          <w:sz w:val="16"/>
        </w:rPr>
        <w:t> </w:t>
      </w:r>
      <w:r>
        <w:rPr>
          <w:color w:val="231F20"/>
          <w:sz w:val="16"/>
        </w:rPr>
        <w:t>variable</w:t>
      </w:r>
      <w:r>
        <w:rPr>
          <w:color w:val="231F20"/>
          <w:spacing w:val="-7"/>
          <w:sz w:val="16"/>
        </w:rPr>
        <w:t> </w:t>
      </w:r>
      <w:r>
        <w:rPr>
          <w:color w:val="231F20"/>
          <w:sz w:val="16"/>
        </w:rPr>
        <w:t>equal</w:t>
      </w:r>
      <w:r>
        <w:rPr>
          <w:color w:val="231F20"/>
          <w:spacing w:val="-7"/>
          <w:sz w:val="16"/>
        </w:rPr>
        <w:t> </w:t>
      </w:r>
      <w:r>
        <w:rPr>
          <w:color w:val="231F20"/>
          <w:sz w:val="16"/>
        </w:rPr>
        <w:t>to</w:t>
      </w:r>
      <w:r>
        <w:rPr>
          <w:color w:val="231F20"/>
          <w:spacing w:val="-7"/>
          <w:sz w:val="16"/>
        </w:rPr>
        <w:t> </w:t>
      </w:r>
      <w:r>
        <w:rPr>
          <w:color w:val="231F20"/>
          <w:sz w:val="16"/>
        </w:rPr>
        <w:t>1</w:t>
      </w:r>
      <w:r>
        <w:rPr>
          <w:color w:val="231F20"/>
          <w:spacing w:val="-7"/>
          <w:sz w:val="16"/>
        </w:rPr>
        <w:t> </w:t>
      </w:r>
      <w:r>
        <w:rPr>
          <w:color w:val="231F20"/>
          <w:sz w:val="16"/>
        </w:rPr>
        <w:t>if</w:t>
      </w:r>
      <w:r>
        <w:rPr>
          <w:color w:val="231F20"/>
          <w:spacing w:val="-7"/>
          <w:sz w:val="16"/>
        </w:rPr>
        <w:t> </w:t>
      </w:r>
      <w:r>
        <w:rPr>
          <w:color w:val="231F20"/>
          <w:sz w:val="16"/>
        </w:rPr>
        <w:t>the</w:t>
      </w:r>
      <w:r>
        <w:rPr>
          <w:color w:val="231F20"/>
          <w:spacing w:val="-7"/>
          <w:sz w:val="16"/>
        </w:rPr>
        <w:t> </w:t>
      </w:r>
      <w:r>
        <w:rPr>
          <w:color w:val="231F20"/>
          <w:sz w:val="16"/>
        </w:rPr>
        <w:t>firm</w:t>
      </w:r>
      <w:r>
        <w:rPr>
          <w:color w:val="231F20"/>
          <w:spacing w:val="-7"/>
          <w:sz w:val="16"/>
        </w:rPr>
        <w:t> </w:t>
      </w:r>
      <w:r>
        <w:rPr>
          <w:color w:val="231F20"/>
          <w:sz w:val="16"/>
        </w:rPr>
        <w:t>is</w:t>
      </w:r>
      <w:r>
        <w:rPr>
          <w:color w:val="231F20"/>
          <w:spacing w:val="-7"/>
          <w:sz w:val="16"/>
        </w:rPr>
        <w:t> </w:t>
      </w:r>
      <w:r>
        <w:rPr>
          <w:color w:val="231F20"/>
          <w:sz w:val="16"/>
        </w:rPr>
        <w:t>in</w:t>
      </w:r>
      <w:r>
        <w:rPr>
          <w:color w:val="231F20"/>
          <w:spacing w:val="-7"/>
          <w:sz w:val="16"/>
        </w:rPr>
        <w:t> </w:t>
      </w:r>
      <w:r>
        <w:rPr>
          <w:color w:val="231F20"/>
          <w:sz w:val="16"/>
        </w:rPr>
        <w:t>a</w:t>
      </w:r>
      <w:r>
        <w:rPr>
          <w:color w:val="231F20"/>
          <w:spacing w:val="-7"/>
          <w:sz w:val="16"/>
        </w:rPr>
        <w:t> </w:t>
      </w:r>
      <w:r>
        <w:rPr>
          <w:color w:val="231F20"/>
          <w:sz w:val="16"/>
        </w:rPr>
        <w:t>high</w:t>
      </w:r>
      <w:r>
        <w:rPr>
          <w:color w:val="231F20"/>
          <w:spacing w:val="-7"/>
          <w:sz w:val="16"/>
        </w:rPr>
        <w:t> </w:t>
      </w:r>
      <w:r>
        <w:rPr>
          <w:color w:val="231F20"/>
          <w:sz w:val="16"/>
        </w:rPr>
        <w:t>litigation risk industry (SIC codes 2833–2836, 3570–3577, 3600–3674,</w:t>
      </w:r>
    </w:p>
    <w:p>
      <w:pPr>
        <w:spacing w:before="1"/>
        <w:ind w:left="1836" w:right="0" w:firstLine="0"/>
        <w:jc w:val="left"/>
        <w:rPr>
          <w:sz w:val="16"/>
        </w:rPr>
      </w:pPr>
      <w:r>
        <w:rPr>
          <w:color w:val="231F20"/>
          <w:w w:val="105"/>
          <w:sz w:val="16"/>
        </w:rPr>
        <w:t>5200–5961, 7370–7374), and 0 otherwise.</w:t>
      </w:r>
    </w:p>
    <w:p>
      <w:pPr>
        <w:tabs>
          <w:tab w:pos="1836" w:val="left" w:leader="none"/>
        </w:tabs>
        <w:spacing w:before="0"/>
        <w:ind w:left="1836" w:right="575" w:hanging="1674"/>
        <w:jc w:val="left"/>
        <w:rPr>
          <w:sz w:val="16"/>
        </w:rPr>
      </w:pPr>
      <w:r>
        <w:rPr/>
        <w:pict>
          <v:shape style="position:absolute;margin-left:131.893295pt;margin-top:1.331421pt;width:6.25pt;height:14pt;mso-position-horizontal-relative:page;mso-position-vertical-relative:paragraph;z-index:-6311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INSTOWN</w:t>
        <w:tab/>
      </w:r>
      <w:r>
        <w:rPr>
          <w:color w:val="231F20"/>
          <w:sz w:val="16"/>
        </w:rPr>
        <w:t>The average percentage of institutional ownership over the four quarters</w:t>
      </w:r>
      <w:r>
        <w:rPr>
          <w:color w:val="231F20"/>
          <w:spacing w:val="-10"/>
          <w:sz w:val="16"/>
        </w:rPr>
        <w:t> </w:t>
      </w:r>
      <w:r>
        <w:rPr>
          <w:color w:val="231F20"/>
          <w:sz w:val="16"/>
        </w:rPr>
        <w:t>of</w:t>
      </w:r>
      <w:r>
        <w:rPr>
          <w:color w:val="231F20"/>
          <w:spacing w:val="-10"/>
          <w:sz w:val="16"/>
        </w:rPr>
        <w:t> </w:t>
      </w:r>
      <w:r>
        <w:rPr>
          <w:color w:val="231F20"/>
          <w:sz w:val="16"/>
        </w:rPr>
        <w:t>the</w:t>
      </w:r>
      <w:r>
        <w:rPr>
          <w:color w:val="231F20"/>
          <w:spacing w:val="-10"/>
          <w:sz w:val="16"/>
        </w:rPr>
        <w:t> </w:t>
      </w:r>
      <w:r>
        <w:rPr>
          <w:color w:val="231F20"/>
          <w:sz w:val="16"/>
        </w:rPr>
        <w:t>prior</w:t>
      </w:r>
      <w:r>
        <w:rPr>
          <w:color w:val="231F20"/>
          <w:spacing w:val="-10"/>
          <w:sz w:val="16"/>
        </w:rPr>
        <w:t> </w:t>
      </w:r>
      <w:r>
        <w:rPr>
          <w:color w:val="231F20"/>
          <w:spacing w:val="-3"/>
          <w:sz w:val="16"/>
        </w:rPr>
        <w:t>year,</w:t>
      </w:r>
      <w:r>
        <w:rPr>
          <w:color w:val="231F20"/>
          <w:spacing w:val="-10"/>
          <w:sz w:val="16"/>
        </w:rPr>
        <w:t> </w:t>
      </w:r>
      <w:r>
        <w:rPr>
          <w:color w:val="231F20"/>
          <w:sz w:val="16"/>
        </w:rPr>
        <w:t>using</w:t>
      </w:r>
      <w:r>
        <w:rPr>
          <w:color w:val="231F20"/>
          <w:spacing w:val="-10"/>
          <w:sz w:val="16"/>
        </w:rPr>
        <w:t> </w:t>
      </w:r>
      <w:r>
        <w:rPr>
          <w:color w:val="231F20"/>
          <w:sz w:val="16"/>
        </w:rPr>
        <w:t>Spectrum</w:t>
      </w:r>
      <w:r>
        <w:rPr>
          <w:color w:val="231F20"/>
          <w:spacing w:val="-10"/>
          <w:sz w:val="16"/>
        </w:rPr>
        <w:t> </w:t>
      </w:r>
      <w:r>
        <w:rPr>
          <w:color w:val="231F20"/>
          <w:sz w:val="16"/>
        </w:rPr>
        <w:t>13F</w:t>
      </w:r>
      <w:r>
        <w:rPr>
          <w:color w:val="231F20"/>
          <w:spacing w:val="-10"/>
          <w:sz w:val="16"/>
        </w:rPr>
        <w:t> </w:t>
      </w:r>
      <w:r>
        <w:rPr>
          <w:color w:val="231F20"/>
          <w:sz w:val="16"/>
        </w:rPr>
        <w:t>institutional</w:t>
      </w:r>
      <w:r>
        <w:rPr>
          <w:color w:val="231F20"/>
          <w:spacing w:val="-10"/>
          <w:sz w:val="16"/>
        </w:rPr>
        <w:t> </w:t>
      </w:r>
      <w:r>
        <w:rPr>
          <w:color w:val="231F20"/>
          <w:sz w:val="16"/>
        </w:rPr>
        <w:t>holdings data.</w:t>
      </w:r>
    </w:p>
    <w:p>
      <w:pPr>
        <w:spacing w:before="2"/>
        <w:ind w:left="162" w:right="0" w:firstLine="0"/>
        <w:jc w:val="left"/>
        <w:rPr>
          <w:sz w:val="16"/>
        </w:rPr>
      </w:pPr>
      <w:r>
        <w:rPr>
          <w:color w:val="231F20"/>
          <w:sz w:val="16"/>
        </w:rPr>
        <w:t>Board governance measure</w:t>
      </w:r>
    </w:p>
    <w:p>
      <w:pPr>
        <w:tabs>
          <w:tab w:pos="1836" w:val="left" w:leader="none"/>
        </w:tabs>
        <w:spacing w:before="60"/>
        <w:ind w:left="1836" w:right="657" w:hanging="1674"/>
        <w:jc w:val="both"/>
        <w:rPr>
          <w:sz w:val="16"/>
        </w:rPr>
      </w:pPr>
      <w:r>
        <w:rPr/>
        <w:pict>
          <v:line style="position:absolute;mso-position-horizontal-relative:page;mso-position-vertical-relative:paragraph;z-index:-63496" from="317.160004pt,20.442139pt" to="319.563004pt,20.442139pt" stroked="true" strokeweight=".405pt" strokecolor="#000000">
            <v:stroke dashstyle="solid"/>
            <w10:wrap type="none"/>
          </v:line>
        </w:pict>
      </w:r>
      <w:r>
        <w:rPr/>
        <w:pict>
          <v:line style="position:absolute;mso-position-horizontal-relative:page;mso-position-vertical-relative:paragraph;z-index:-63472" from="355.463989pt,20.442139pt" to="357.866989pt,20.442139pt" stroked="true" strokeweight=".405pt" strokecolor="#000000">
            <v:stroke dashstyle="solid"/>
            <w10:wrap type="none"/>
          </v:line>
        </w:pict>
      </w:r>
      <w:r>
        <w:rPr/>
        <w:pict>
          <v:line style="position:absolute;mso-position-horizontal-relative:page;mso-position-vertical-relative:paragraph;z-index:-63448" from="161.550003pt,30.405138pt" to="163.953003pt,30.405138pt" stroked="true" strokeweight=".405pt" strokecolor="#000000">
            <v:stroke dashstyle="solid"/>
            <w10:wrap type="none"/>
          </v:line>
        </w:pict>
      </w:r>
      <w:r>
        <w:rPr/>
        <w:pict>
          <v:line style="position:absolute;mso-position-horizontal-relative:page;mso-position-vertical-relative:paragraph;z-index:-63424" from="218.205002pt,30.405138pt" to="220.608002pt,30.405138pt" stroked="true" strokeweight=".405pt" strokecolor="#000000">
            <v:stroke dashstyle="solid"/>
            <w10:wrap type="none"/>
          </v:line>
        </w:pict>
      </w:r>
      <w:r>
        <w:rPr/>
        <w:pict>
          <v:shape style="position:absolute;margin-left:131.893295pt;margin-top:4.331429pt;width:6.25pt;height:14pt;mso-position-horizontal-relative:page;mso-position-vertical-relative:paragraph;z-index:-63088"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i/>
          <w:color w:val="231F20"/>
          <w:sz w:val="16"/>
        </w:rPr>
        <w:t>BSCORE</w:t>
        <w:tab/>
      </w:r>
      <w:r>
        <w:rPr>
          <w:color w:val="231F20"/>
          <w:sz w:val="16"/>
        </w:rPr>
        <w:t>A</w:t>
      </w:r>
      <w:r>
        <w:rPr>
          <w:color w:val="231F20"/>
          <w:spacing w:val="-8"/>
          <w:sz w:val="16"/>
        </w:rPr>
        <w:t> </w:t>
      </w:r>
      <w:r>
        <w:rPr>
          <w:color w:val="231F20"/>
          <w:sz w:val="16"/>
        </w:rPr>
        <w:t>composite</w:t>
      </w:r>
      <w:r>
        <w:rPr>
          <w:color w:val="231F20"/>
          <w:spacing w:val="-8"/>
          <w:sz w:val="16"/>
        </w:rPr>
        <w:t> </w:t>
      </w:r>
      <w:r>
        <w:rPr>
          <w:color w:val="231F20"/>
          <w:sz w:val="16"/>
        </w:rPr>
        <w:t>measure</w:t>
      </w:r>
      <w:r>
        <w:rPr>
          <w:color w:val="231F20"/>
          <w:spacing w:val="-8"/>
          <w:sz w:val="16"/>
        </w:rPr>
        <w:t> </w:t>
      </w:r>
      <w:r>
        <w:rPr>
          <w:color w:val="231F20"/>
          <w:sz w:val="16"/>
        </w:rPr>
        <w:t>of</w:t>
      </w:r>
      <w:r>
        <w:rPr>
          <w:color w:val="231F20"/>
          <w:spacing w:val="-8"/>
          <w:sz w:val="16"/>
        </w:rPr>
        <w:t> </w:t>
      </w:r>
      <w:r>
        <w:rPr>
          <w:color w:val="231F20"/>
          <w:sz w:val="16"/>
        </w:rPr>
        <w:t>board</w:t>
      </w:r>
      <w:r>
        <w:rPr>
          <w:color w:val="231F20"/>
          <w:spacing w:val="-8"/>
          <w:sz w:val="16"/>
        </w:rPr>
        <w:t> </w:t>
      </w:r>
      <w:r>
        <w:rPr>
          <w:color w:val="231F20"/>
          <w:sz w:val="16"/>
        </w:rPr>
        <w:t>governance</w:t>
      </w:r>
      <w:r>
        <w:rPr>
          <w:color w:val="231F20"/>
          <w:spacing w:val="-8"/>
          <w:sz w:val="16"/>
        </w:rPr>
        <w:t> </w:t>
      </w:r>
      <w:r>
        <w:rPr>
          <w:color w:val="231F20"/>
          <w:sz w:val="16"/>
        </w:rPr>
        <w:t>that</w:t>
      </w:r>
      <w:r>
        <w:rPr>
          <w:color w:val="231F20"/>
          <w:spacing w:val="-8"/>
          <w:sz w:val="16"/>
        </w:rPr>
        <w:t> </w:t>
      </w:r>
      <w:r>
        <w:rPr>
          <w:color w:val="231F20"/>
          <w:sz w:val="16"/>
        </w:rPr>
        <w:t>is</w:t>
      </w:r>
      <w:r>
        <w:rPr>
          <w:color w:val="231F20"/>
          <w:spacing w:val="-8"/>
          <w:sz w:val="16"/>
        </w:rPr>
        <w:t> </w:t>
      </w:r>
      <w:r>
        <w:rPr>
          <w:color w:val="231F20"/>
          <w:sz w:val="16"/>
        </w:rPr>
        <w:t>equal</w:t>
      </w:r>
      <w:r>
        <w:rPr>
          <w:color w:val="231F20"/>
          <w:spacing w:val="-8"/>
          <w:sz w:val="16"/>
        </w:rPr>
        <w:t> </w:t>
      </w:r>
      <w:r>
        <w:rPr>
          <w:color w:val="231F20"/>
          <w:sz w:val="16"/>
        </w:rPr>
        <w:t>to</w:t>
      </w:r>
      <w:r>
        <w:rPr>
          <w:color w:val="231F20"/>
          <w:spacing w:val="-8"/>
          <w:sz w:val="16"/>
        </w:rPr>
        <w:t> </w:t>
      </w:r>
      <w:r>
        <w:rPr>
          <w:color w:val="231F20"/>
          <w:sz w:val="16"/>
        </w:rPr>
        <w:t>the</w:t>
      </w:r>
      <w:r>
        <w:rPr>
          <w:color w:val="231F20"/>
          <w:spacing w:val="-8"/>
          <w:sz w:val="16"/>
        </w:rPr>
        <w:t> </w:t>
      </w:r>
      <w:r>
        <w:rPr>
          <w:color w:val="231F20"/>
          <w:sz w:val="16"/>
        </w:rPr>
        <w:t>sum of</w:t>
      </w:r>
      <w:r>
        <w:rPr>
          <w:color w:val="231F20"/>
          <w:spacing w:val="-24"/>
          <w:sz w:val="16"/>
        </w:rPr>
        <w:t> </w:t>
      </w:r>
      <w:r>
        <w:rPr>
          <w:color w:val="231F20"/>
          <w:sz w:val="16"/>
        </w:rPr>
        <w:t>the</w:t>
      </w:r>
      <w:r>
        <w:rPr>
          <w:color w:val="231F20"/>
          <w:spacing w:val="-24"/>
          <w:sz w:val="16"/>
        </w:rPr>
        <w:t> </w:t>
      </w:r>
      <w:r>
        <w:rPr>
          <w:color w:val="231F20"/>
          <w:sz w:val="16"/>
        </w:rPr>
        <w:t>following</w:t>
      </w:r>
      <w:r>
        <w:rPr>
          <w:color w:val="231F20"/>
          <w:spacing w:val="-24"/>
          <w:sz w:val="16"/>
        </w:rPr>
        <w:t> </w:t>
      </w:r>
      <w:r>
        <w:rPr>
          <w:color w:val="231F20"/>
          <w:sz w:val="16"/>
        </w:rPr>
        <w:t>four</w:t>
      </w:r>
      <w:r>
        <w:rPr>
          <w:color w:val="231F20"/>
          <w:spacing w:val="-24"/>
          <w:sz w:val="16"/>
        </w:rPr>
        <w:t> </w:t>
      </w:r>
      <w:r>
        <w:rPr>
          <w:color w:val="231F20"/>
          <w:sz w:val="16"/>
        </w:rPr>
        <w:t>dichotomous</w:t>
      </w:r>
      <w:r>
        <w:rPr>
          <w:color w:val="231F20"/>
          <w:spacing w:val="-24"/>
          <w:sz w:val="16"/>
        </w:rPr>
        <w:t> </w:t>
      </w:r>
      <w:r>
        <w:rPr>
          <w:color w:val="231F20"/>
          <w:sz w:val="16"/>
        </w:rPr>
        <w:t>variables:</w:t>
      </w:r>
      <w:r>
        <w:rPr>
          <w:color w:val="231F20"/>
          <w:spacing w:val="-24"/>
          <w:sz w:val="16"/>
        </w:rPr>
        <w:t> </w:t>
      </w:r>
      <w:r>
        <w:rPr>
          <w:i/>
          <w:color w:val="231F20"/>
          <w:sz w:val="16"/>
        </w:rPr>
        <w:t>D</w:t>
      </w:r>
      <w:r>
        <w:rPr>
          <w:i/>
          <w:color w:val="231F20"/>
          <w:spacing w:val="-17"/>
          <w:sz w:val="16"/>
        </w:rPr>
        <w:t> </w:t>
      </w:r>
      <w:r>
        <w:rPr>
          <w:i/>
          <w:color w:val="231F20"/>
          <w:sz w:val="16"/>
        </w:rPr>
        <w:t>SMBRD</w:t>
      </w:r>
      <w:r>
        <w:rPr>
          <w:color w:val="231F20"/>
          <w:sz w:val="16"/>
        </w:rPr>
        <w:t>,</w:t>
      </w:r>
      <w:r>
        <w:rPr>
          <w:color w:val="231F20"/>
          <w:spacing w:val="-24"/>
          <w:sz w:val="16"/>
        </w:rPr>
        <w:t> </w:t>
      </w:r>
      <w:r>
        <w:rPr>
          <w:i/>
          <w:color w:val="231F20"/>
          <w:sz w:val="16"/>
        </w:rPr>
        <w:t>D</w:t>
      </w:r>
      <w:r>
        <w:rPr>
          <w:i/>
          <w:color w:val="231F20"/>
          <w:spacing w:val="-17"/>
          <w:sz w:val="16"/>
        </w:rPr>
        <w:t> </w:t>
      </w:r>
      <w:r>
        <w:rPr>
          <w:i/>
          <w:color w:val="231F20"/>
          <w:sz w:val="16"/>
        </w:rPr>
        <w:t>MAJIND</w:t>
      </w:r>
      <w:r>
        <w:rPr>
          <w:color w:val="231F20"/>
          <w:sz w:val="16"/>
        </w:rPr>
        <w:t>, </w:t>
      </w:r>
      <w:r>
        <w:rPr>
          <w:i/>
          <w:color w:val="231F20"/>
          <w:sz w:val="16"/>
        </w:rPr>
        <w:t>D ACCEXP</w:t>
      </w:r>
      <w:r>
        <w:rPr>
          <w:color w:val="231F20"/>
          <w:sz w:val="16"/>
        </w:rPr>
        <w:t>, and </w:t>
      </w:r>
      <w:r>
        <w:rPr>
          <w:i/>
          <w:color w:val="231F20"/>
          <w:sz w:val="16"/>
        </w:rPr>
        <w:t>D</w:t>
      </w:r>
      <w:r>
        <w:rPr>
          <w:i/>
          <w:color w:val="231F20"/>
          <w:spacing w:val="-16"/>
          <w:sz w:val="16"/>
        </w:rPr>
        <w:t> </w:t>
      </w:r>
      <w:r>
        <w:rPr>
          <w:i/>
          <w:color w:val="231F20"/>
          <w:sz w:val="16"/>
        </w:rPr>
        <w:t>INDEXP</w:t>
      </w:r>
      <w:r>
        <w:rPr>
          <w:color w:val="231F20"/>
          <w:sz w:val="16"/>
        </w:rPr>
        <w:t>.</w:t>
      </w:r>
    </w:p>
    <w:p>
      <w:pPr>
        <w:pStyle w:val="ListParagraph"/>
        <w:numPr>
          <w:ilvl w:val="0"/>
          <w:numId w:val="6"/>
        </w:numPr>
        <w:tabs>
          <w:tab w:pos="2063" w:val="left" w:leader="none"/>
        </w:tabs>
        <w:spacing w:line="240" w:lineRule="auto" w:before="1" w:after="0"/>
        <w:ind w:left="1836" w:right="568" w:firstLine="0"/>
        <w:jc w:val="left"/>
        <w:rPr>
          <w:sz w:val="16"/>
        </w:rPr>
      </w:pPr>
      <w:r>
        <w:rPr/>
        <w:pict>
          <v:line style="position:absolute;mso-position-horizontal-relative:page;mso-position-vertical-relative:paragraph;z-index:-63400" from="172.880997pt,7.530201pt" to="175.283997pt,7.530201pt" stroked="true" strokeweight=".405pt" strokecolor="#000000">
            <v:stroke dashstyle="solid"/>
            <w10:wrap type="none"/>
          </v:line>
        </w:pict>
      </w:r>
      <w:r>
        <w:rPr>
          <w:i/>
          <w:color w:val="231F20"/>
          <w:sz w:val="16"/>
        </w:rPr>
        <w:t>D</w:t>
      </w:r>
      <w:r>
        <w:rPr>
          <w:i/>
          <w:color w:val="231F20"/>
          <w:spacing w:val="3"/>
          <w:sz w:val="16"/>
        </w:rPr>
        <w:t> </w:t>
      </w:r>
      <w:r>
        <w:rPr>
          <w:i/>
          <w:color w:val="231F20"/>
          <w:sz w:val="16"/>
        </w:rPr>
        <w:t>SMBRD</w:t>
      </w:r>
      <w:r>
        <w:rPr>
          <w:i/>
          <w:color w:val="231F20"/>
          <w:spacing w:val="-9"/>
          <w:sz w:val="16"/>
        </w:rPr>
        <w:t> </w:t>
      </w:r>
      <w:r>
        <w:rPr>
          <w:color w:val="231F20"/>
          <w:sz w:val="16"/>
        </w:rPr>
        <w:t>is</w:t>
      </w:r>
      <w:r>
        <w:rPr>
          <w:color w:val="231F20"/>
          <w:spacing w:val="-9"/>
          <w:sz w:val="16"/>
        </w:rPr>
        <w:t> </w:t>
      </w:r>
      <w:r>
        <w:rPr>
          <w:color w:val="231F20"/>
          <w:sz w:val="16"/>
        </w:rPr>
        <w:t>a</w:t>
      </w:r>
      <w:r>
        <w:rPr>
          <w:color w:val="231F20"/>
          <w:spacing w:val="-9"/>
          <w:sz w:val="16"/>
        </w:rPr>
        <w:t> </w:t>
      </w:r>
      <w:r>
        <w:rPr>
          <w:color w:val="231F20"/>
          <w:sz w:val="16"/>
        </w:rPr>
        <w:t>dichotomous</w:t>
      </w:r>
      <w:r>
        <w:rPr>
          <w:color w:val="231F20"/>
          <w:spacing w:val="-9"/>
          <w:sz w:val="16"/>
        </w:rPr>
        <w:t> </w:t>
      </w:r>
      <w:r>
        <w:rPr>
          <w:color w:val="231F20"/>
          <w:sz w:val="16"/>
        </w:rPr>
        <w:t>variable</w:t>
      </w:r>
      <w:r>
        <w:rPr>
          <w:color w:val="231F20"/>
          <w:spacing w:val="-9"/>
          <w:sz w:val="16"/>
        </w:rPr>
        <w:t> </w:t>
      </w:r>
      <w:r>
        <w:rPr>
          <w:color w:val="231F20"/>
          <w:sz w:val="16"/>
        </w:rPr>
        <w:t>equal</w:t>
      </w:r>
      <w:r>
        <w:rPr>
          <w:color w:val="231F20"/>
          <w:spacing w:val="-9"/>
          <w:sz w:val="16"/>
        </w:rPr>
        <w:t> </w:t>
      </w:r>
      <w:r>
        <w:rPr>
          <w:color w:val="231F20"/>
          <w:sz w:val="16"/>
        </w:rPr>
        <w:t>to</w:t>
      </w:r>
      <w:r>
        <w:rPr>
          <w:color w:val="231F20"/>
          <w:spacing w:val="-9"/>
          <w:sz w:val="16"/>
        </w:rPr>
        <w:t> </w:t>
      </w:r>
      <w:r>
        <w:rPr>
          <w:color w:val="231F20"/>
          <w:sz w:val="16"/>
        </w:rPr>
        <w:t>1</w:t>
      </w:r>
      <w:r>
        <w:rPr>
          <w:color w:val="231F20"/>
          <w:spacing w:val="-9"/>
          <w:sz w:val="16"/>
        </w:rPr>
        <w:t> </w:t>
      </w:r>
      <w:r>
        <w:rPr>
          <w:color w:val="231F20"/>
          <w:sz w:val="16"/>
        </w:rPr>
        <w:t>if</w:t>
      </w:r>
      <w:r>
        <w:rPr>
          <w:color w:val="231F20"/>
          <w:spacing w:val="-9"/>
          <w:sz w:val="16"/>
        </w:rPr>
        <w:t> </w:t>
      </w:r>
      <w:r>
        <w:rPr>
          <w:color w:val="231F20"/>
          <w:sz w:val="16"/>
        </w:rPr>
        <w:t>the</w:t>
      </w:r>
      <w:r>
        <w:rPr>
          <w:color w:val="231F20"/>
          <w:spacing w:val="-9"/>
          <w:sz w:val="16"/>
        </w:rPr>
        <w:t> </w:t>
      </w:r>
      <w:r>
        <w:rPr>
          <w:color w:val="231F20"/>
          <w:sz w:val="16"/>
        </w:rPr>
        <w:t>total</w:t>
      </w:r>
      <w:r>
        <w:rPr>
          <w:color w:val="231F20"/>
          <w:spacing w:val="-9"/>
          <w:sz w:val="16"/>
        </w:rPr>
        <w:t> </w:t>
      </w:r>
      <w:r>
        <w:rPr>
          <w:color w:val="231F20"/>
          <w:sz w:val="16"/>
        </w:rPr>
        <w:t>count of directors on the board is smaller than the sample median (8)</w:t>
      </w:r>
      <w:r>
        <w:rPr>
          <w:color w:val="231F20"/>
          <w:spacing w:val="-17"/>
          <w:sz w:val="16"/>
        </w:rPr>
        <w:t> </w:t>
      </w:r>
      <w:r>
        <w:rPr>
          <w:color w:val="231F20"/>
          <w:sz w:val="16"/>
        </w:rPr>
        <w:t>and 0 otherwise;</w:t>
      </w:r>
    </w:p>
    <w:p>
      <w:pPr>
        <w:pStyle w:val="ListParagraph"/>
        <w:numPr>
          <w:ilvl w:val="0"/>
          <w:numId w:val="6"/>
        </w:numPr>
        <w:tabs>
          <w:tab w:pos="2108" w:val="left" w:leader="none"/>
        </w:tabs>
        <w:spacing w:line="240" w:lineRule="auto" w:before="1" w:after="0"/>
        <w:ind w:left="1836" w:right="552" w:firstLine="0"/>
        <w:jc w:val="left"/>
        <w:rPr>
          <w:sz w:val="16"/>
        </w:rPr>
      </w:pPr>
      <w:r>
        <w:rPr/>
        <w:pict>
          <v:line style="position:absolute;mso-position-horizontal-relative:page;mso-position-vertical-relative:paragraph;z-index:-63376" from="175.113007pt,7.530133pt" to="177.516007pt,7.530133pt" stroked="true" strokeweight=".405pt" strokecolor="#000000">
            <v:stroke dashstyle="solid"/>
            <w10:wrap type="none"/>
          </v:line>
        </w:pict>
      </w:r>
      <w:r>
        <w:rPr>
          <w:i/>
          <w:color w:val="231F20"/>
          <w:sz w:val="16"/>
        </w:rPr>
        <w:t>D</w:t>
      </w:r>
      <w:r>
        <w:rPr>
          <w:i/>
          <w:color w:val="231F20"/>
          <w:spacing w:val="-1"/>
          <w:sz w:val="16"/>
        </w:rPr>
        <w:t> </w:t>
      </w:r>
      <w:r>
        <w:rPr>
          <w:i/>
          <w:color w:val="231F20"/>
          <w:sz w:val="16"/>
        </w:rPr>
        <w:t>MAJIND</w:t>
      </w:r>
      <w:r>
        <w:rPr>
          <w:i/>
          <w:color w:val="231F20"/>
          <w:spacing w:val="-12"/>
          <w:sz w:val="16"/>
        </w:rPr>
        <w:t> </w:t>
      </w:r>
      <w:r>
        <w:rPr>
          <w:color w:val="231F20"/>
          <w:sz w:val="16"/>
        </w:rPr>
        <w:t>is</w:t>
      </w:r>
      <w:r>
        <w:rPr>
          <w:color w:val="231F20"/>
          <w:spacing w:val="-12"/>
          <w:sz w:val="16"/>
        </w:rPr>
        <w:t> </w:t>
      </w:r>
      <w:r>
        <w:rPr>
          <w:color w:val="231F20"/>
          <w:sz w:val="16"/>
        </w:rPr>
        <w:t>a</w:t>
      </w:r>
      <w:r>
        <w:rPr>
          <w:color w:val="231F20"/>
          <w:spacing w:val="-12"/>
          <w:sz w:val="16"/>
        </w:rPr>
        <w:t> </w:t>
      </w:r>
      <w:r>
        <w:rPr>
          <w:color w:val="231F20"/>
          <w:sz w:val="16"/>
        </w:rPr>
        <w:t>dichotomous</w:t>
      </w:r>
      <w:r>
        <w:rPr>
          <w:color w:val="231F20"/>
          <w:spacing w:val="-12"/>
          <w:sz w:val="16"/>
        </w:rPr>
        <w:t> </w:t>
      </w:r>
      <w:r>
        <w:rPr>
          <w:color w:val="231F20"/>
          <w:sz w:val="16"/>
        </w:rPr>
        <w:t>variable</w:t>
      </w:r>
      <w:r>
        <w:rPr>
          <w:color w:val="231F20"/>
          <w:spacing w:val="-12"/>
          <w:sz w:val="16"/>
        </w:rPr>
        <w:t> </w:t>
      </w:r>
      <w:r>
        <w:rPr>
          <w:color w:val="231F20"/>
          <w:sz w:val="16"/>
        </w:rPr>
        <w:t>equal</w:t>
      </w:r>
      <w:r>
        <w:rPr>
          <w:color w:val="231F20"/>
          <w:spacing w:val="-12"/>
          <w:sz w:val="16"/>
        </w:rPr>
        <w:t> </w:t>
      </w:r>
      <w:r>
        <w:rPr>
          <w:color w:val="231F20"/>
          <w:sz w:val="16"/>
        </w:rPr>
        <w:t>to</w:t>
      </w:r>
      <w:r>
        <w:rPr>
          <w:color w:val="231F20"/>
          <w:spacing w:val="-12"/>
          <w:sz w:val="16"/>
        </w:rPr>
        <w:t> </w:t>
      </w:r>
      <w:r>
        <w:rPr>
          <w:color w:val="231F20"/>
          <w:sz w:val="16"/>
        </w:rPr>
        <w:t>1</w:t>
      </w:r>
      <w:r>
        <w:rPr>
          <w:color w:val="231F20"/>
          <w:spacing w:val="-12"/>
          <w:sz w:val="16"/>
        </w:rPr>
        <w:t> </w:t>
      </w:r>
      <w:r>
        <w:rPr>
          <w:color w:val="231F20"/>
          <w:sz w:val="16"/>
        </w:rPr>
        <w:t>if</w:t>
      </w:r>
      <w:r>
        <w:rPr>
          <w:color w:val="231F20"/>
          <w:spacing w:val="-12"/>
          <w:sz w:val="16"/>
        </w:rPr>
        <w:t> </w:t>
      </w:r>
      <w:r>
        <w:rPr>
          <w:color w:val="231F20"/>
          <w:sz w:val="16"/>
        </w:rPr>
        <w:t>the</w:t>
      </w:r>
      <w:r>
        <w:rPr>
          <w:color w:val="231F20"/>
          <w:spacing w:val="-12"/>
          <w:sz w:val="16"/>
        </w:rPr>
        <w:t> </w:t>
      </w:r>
      <w:r>
        <w:rPr>
          <w:color w:val="231F20"/>
          <w:sz w:val="16"/>
        </w:rPr>
        <w:t>percentage of independent directors is 50% or above and 0</w:t>
      </w:r>
      <w:r>
        <w:rPr>
          <w:color w:val="231F20"/>
          <w:spacing w:val="-10"/>
          <w:sz w:val="16"/>
        </w:rPr>
        <w:t> </w:t>
      </w:r>
      <w:r>
        <w:rPr>
          <w:color w:val="231F20"/>
          <w:sz w:val="16"/>
        </w:rPr>
        <w:t>otherwise;</w:t>
      </w:r>
    </w:p>
    <w:p>
      <w:pPr>
        <w:pStyle w:val="ListParagraph"/>
        <w:numPr>
          <w:ilvl w:val="0"/>
          <w:numId w:val="6"/>
        </w:numPr>
        <w:tabs>
          <w:tab w:pos="2153" w:val="left" w:leader="none"/>
        </w:tabs>
        <w:spacing w:line="240" w:lineRule="auto" w:before="1" w:after="0"/>
        <w:ind w:left="1836" w:right="561" w:firstLine="0"/>
        <w:jc w:val="left"/>
        <w:rPr>
          <w:sz w:val="16"/>
        </w:rPr>
      </w:pPr>
      <w:r>
        <w:rPr/>
        <w:pict>
          <v:line style="position:absolute;mso-position-horizontal-relative:page;mso-position-vertical-relative:paragraph;z-index:-63352" from="177.354004pt,7.530291pt" to="179.757004pt,7.530291pt" stroked="true" strokeweight=".405pt" strokecolor="#000000">
            <v:stroke dashstyle="solid"/>
            <w10:wrap type="none"/>
          </v:line>
        </w:pict>
      </w:r>
      <w:r>
        <w:rPr>
          <w:i/>
          <w:color w:val="231F20"/>
          <w:sz w:val="16"/>
        </w:rPr>
        <w:t>D ACCEXP </w:t>
      </w:r>
      <w:r>
        <w:rPr>
          <w:color w:val="231F20"/>
          <w:sz w:val="16"/>
        </w:rPr>
        <w:t>is a dichotomous variable equal to 1 if at least one independent director on the board has accounting expertise and 0 otherwise,</w:t>
      </w:r>
      <w:r>
        <w:rPr>
          <w:color w:val="231F20"/>
          <w:spacing w:val="-18"/>
          <w:sz w:val="16"/>
        </w:rPr>
        <w:t> </w:t>
      </w:r>
      <w:r>
        <w:rPr>
          <w:color w:val="231F20"/>
          <w:sz w:val="16"/>
        </w:rPr>
        <w:t>where</w:t>
      </w:r>
      <w:r>
        <w:rPr>
          <w:color w:val="231F20"/>
          <w:spacing w:val="-18"/>
          <w:sz w:val="16"/>
        </w:rPr>
        <w:t> </w:t>
      </w:r>
      <w:r>
        <w:rPr>
          <w:color w:val="231F20"/>
          <w:sz w:val="16"/>
        </w:rPr>
        <w:t>accounting</w:t>
      </w:r>
      <w:r>
        <w:rPr>
          <w:color w:val="231F20"/>
          <w:spacing w:val="-18"/>
          <w:sz w:val="16"/>
        </w:rPr>
        <w:t> </w:t>
      </w:r>
      <w:r>
        <w:rPr>
          <w:color w:val="231F20"/>
          <w:sz w:val="16"/>
        </w:rPr>
        <w:t>expertise</w:t>
      </w:r>
      <w:r>
        <w:rPr>
          <w:color w:val="231F20"/>
          <w:spacing w:val="-18"/>
          <w:sz w:val="16"/>
        </w:rPr>
        <w:t> </w:t>
      </w:r>
      <w:r>
        <w:rPr>
          <w:color w:val="231F20"/>
          <w:sz w:val="16"/>
        </w:rPr>
        <w:t>is</w:t>
      </w:r>
      <w:r>
        <w:rPr>
          <w:color w:val="231F20"/>
          <w:spacing w:val="-18"/>
          <w:sz w:val="16"/>
        </w:rPr>
        <w:t> </w:t>
      </w:r>
      <w:r>
        <w:rPr>
          <w:color w:val="231F20"/>
          <w:sz w:val="16"/>
        </w:rPr>
        <w:t>defined</w:t>
      </w:r>
      <w:r>
        <w:rPr>
          <w:color w:val="231F20"/>
          <w:spacing w:val="-18"/>
          <w:sz w:val="16"/>
        </w:rPr>
        <w:t> </w:t>
      </w:r>
      <w:r>
        <w:rPr>
          <w:color w:val="231F20"/>
          <w:sz w:val="16"/>
        </w:rPr>
        <w:t>as</w:t>
      </w:r>
      <w:r>
        <w:rPr>
          <w:color w:val="231F20"/>
          <w:spacing w:val="-18"/>
          <w:sz w:val="16"/>
        </w:rPr>
        <w:t> </w:t>
      </w:r>
      <w:r>
        <w:rPr>
          <w:color w:val="231F20"/>
          <w:sz w:val="16"/>
        </w:rPr>
        <w:t>having</w:t>
      </w:r>
      <w:r>
        <w:rPr>
          <w:color w:val="231F20"/>
          <w:spacing w:val="-18"/>
          <w:sz w:val="16"/>
        </w:rPr>
        <w:t> </w:t>
      </w:r>
      <w:r>
        <w:rPr>
          <w:color w:val="231F20"/>
          <w:sz w:val="16"/>
        </w:rPr>
        <w:t>any</w:t>
      </w:r>
      <w:r>
        <w:rPr>
          <w:color w:val="231F20"/>
          <w:spacing w:val="-18"/>
          <w:sz w:val="16"/>
        </w:rPr>
        <w:t> </w:t>
      </w:r>
      <w:r>
        <w:rPr>
          <w:color w:val="231F20"/>
          <w:sz w:val="16"/>
        </w:rPr>
        <w:t>prior experience as being a CFO, a </w:t>
      </w:r>
      <w:r>
        <w:rPr>
          <w:color w:val="231F20"/>
          <w:spacing w:val="-3"/>
          <w:sz w:val="16"/>
        </w:rPr>
        <w:t>CPA, </w:t>
      </w:r>
      <w:r>
        <w:rPr>
          <w:color w:val="231F20"/>
          <w:sz w:val="16"/>
        </w:rPr>
        <w:t>an accountant, or an</w:t>
      </w:r>
      <w:r>
        <w:rPr>
          <w:color w:val="231F20"/>
          <w:spacing w:val="-15"/>
          <w:sz w:val="16"/>
        </w:rPr>
        <w:t> </w:t>
      </w:r>
      <w:r>
        <w:rPr>
          <w:color w:val="231F20"/>
          <w:sz w:val="16"/>
        </w:rPr>
        <w:t>auditor;</w:t>
      </w:r>
    </w:p>
    <w:p>
      <w:pPr>
        <w:pStyle w:val="ListParagraph"/>
        <w:numPr>
          <w:ilvl w:val="0"/>
          <w:numId w:val="6"/>
        </w:numPr>
        <w:tabs>
          <w:tab w:pos="2130" w:val="left" w:leader="none"/>
        </w:tabs>
        <w:spacing w:line="240" w:lineRule="auto" w:before="2" w:after="0"/>
        <w:ind w:left="1836" w:right="768" w:firstLine="0"/>
        <w:jc w:val="left"/>
        <w:rPr>
          <w:sz w:val="16"/>
        </w:rPr>
      </w:pPr>
      <w:r>
        <w:rPr/>
        <w:pict>
          <v:line style="position:absolute;mso-position-horizontal-relative:page;mso-position-vertical-relative:paragraph;z-index:8152;mso-wrap-distance-left:0;mso-wrap-distance-right:0" from="72.125999pt,62.043964pt" to="394.919999pt,62.043964pt" stroked="true" strokeweight=".504pt" strokecolor="#000000">
            <v:stroke dashstyle="solid"/>
            <w10:wrap type="topAndBottom"/>
          </v:line>
        </w:pict>
      </w:r>
      <w:r>
        <w:rPr/>
        <w:pict>
          <v:line style="position:absolute;mso-position-horizontal-relative:page;mso-position-vertical-relative:paragraph;z-index:-63328" from="176.229004pt,7.579965pt" to="178.632004pt,7.579965pt" stroked="true" strokeweight=".405pt" strokecolor="#000000">
            <v:stroke dashstyle="solid"/>
            <w10:wrap type="none"/>
          </v:line>
        </w:pict>
      </w:r>
      <w:r>
        <w:rPr>
          <w:i/>
          <w:color w:val="231F20"/>
          <w:sz w:val="16"/>
        </w:rPr>
        <w:t>D INDEXP</w:t>
      </w:r>
      <w:r>
        <w:rPr>
          <w:i/>
          <w:color w:val="231F20"/>
          <w:spacing w:val="-12"/>
          <w:sz w:val="16"/>
        </w:rPr>
        <w:t> </w:t>
      </w:r>
      <w:r>
        <w:rPr>
          <w:color w:val="231F20"/>
          <w:sz w:val="16"/>
        </w:rPr>
        <w:t>is</w:t>
      </w:r>
      <w:r>
        <w:rPr>
          <w:color w:val="231F20"/>
          <w:spacing w:val="-12"/>
          <w:sz w:val="16"/>
        </w:rPr>
        <w:t> </w:t>
      </w:r>
      <w:r>
        <w:rPr>
          <w:color w:val="231F20"/>
          <w:sz w:val="16"/>
        </w:rPr>
        <w:t>a</w:t>
      </w:r>
      <w:r>
        <w:rPr>
          <w:color w:val="231F20"/>
          <w:spacing w:val="-12"/>
          <w:sz w:val="16"/>
        </w:rPr>
        <w:t> </w:t>
      </w:r>
      <w:r>
        <w:rPr>
          <w:color w:val="231F20"/>
          <w:sz w:val="16"/>
        </w:rPr>
        <w:t>dichotomous</w:t>
      </w:r>
      <w:r>
        <w:rPr>
          <w:color w:val="231F20"/>
          <w:spacing w:val="-12"/>
          <w:sz w:val="16"/>
        </w:rPr>
        <w:t> </w:t>
      </w:r>
      <w:r>
        <w:rPr>
          <w:color w:val="231F20"/>
          <w:sz w:val="16"/>
        </w:rPr>
        <w:t>variable</w:t>
      </w:r>
      <w:r>
        <w:rPr>
          <w:color w:val="231F20"/>
          <w:spacing w:val="-12"/>
          <w:sz w:val="16"/>
        </w:rPr>
        <w:t> </w:t>
      </w:r>
      <w:r>
        <w:rPr>
          <w:color w:val="231F20"/>
          <w:sz w:val="16"/>
        </w:rPr>
        <w:t>equal</w:t>
      </w:r>
      <w:r>
        <w:rPr>
          <w:color w:val="231F20"/>
          <w:spacing w:val="-12"/>
          <w:sz w:val="16"/>
        </w:rPr>
        <w:t> </w:t>
      </w:r>
      <w:r>
        <w:rPr>
          <w:color w:val="231F20"/>
          <w:sz w:val="16"/>
        </w:rPr>
        <w:t>to</w:t>
      </w:r>
      <w:r>
        <w:rPr>
          <w:color w:val="231F20"/>
          <w:spacing w:val="-12"/>
          <w:sz w:val="16"/>
        </w:rPr>
        <w:t> </w:t>
      </w:r>
      <w:r>
        <w:rPr>
          <w:color w:val="231F20"/>
          <w:sz w:val="16"/>
        </w:rPr>
        <w:t>1</w:t>
      </w:r>
      <w:r>
        <w:rPr>
          <w:color w:val="231F20"/>
          <w:spacing w:val="-12"/>
          <w:sz w:val="16"/>
        </w:rPr>
        <w:t> </w:t>
      </w:r>
      <w:r>
        <w:rPr>
          <w:color w:val="231F20"/>
          <w:sz w:val="16"/>
        </w:rPr>
        <w:t>if</w:t>
      </w:r>
      <w:r>
        <w:rPr>
          <w:color w:val="231F20"/>
          <w:spacing w:val="-12"/>
          <w:sz w:val="16"/>
        </w:rPr>
        <w:t> </w:t>
      </w:r>
      <w:r>
        <w:rPr>
          <w:color w:val="231F20"/>
          <w:sz w:val="16"/>
        </w:rPr>
        <w:t>at</w:t>
      </w:r>
      <w:r>
        <w:rPr>
          <w:color w:val="231F20"/>
          <w:spacing w:val="-12"/>
          <w:sz w:val="16"/>
        </w:rPr>
        <w:t> </w:t>
      </w:r>
      <w:r>
        <w:rPr>
          <w:color w:val="231F20"/>
          <w:sz w:val="16"/>
        </w:rPr>
        <w:t>least</w:t>
      </w:r>
      <w:r>
        <w:rPr>
          <w:color w:val="231F20"/>
          <w:spacing w:val="-12"/>
          <w:sz w:val="16"/>
        </w:rPr>
        <w:t> </w:t>
      </w:r>
      <w:r>
        <w:rPr>
          <w:color w:val="231F20"/>
          <w:sz w:val="16"/>
        </w:rPr>
        <w:t>one independent director on the board has industry expertise and 0 otherwise,</w:t>
      </w:r>
      <w:r>
        <w:rPr>
          <w:color w:val="231F20"/>
          <w:spacing w:val="-21"/>
          <w:sz w:val="16"/>
        </w:rPr>
        <w:t> </w:t>
      </w:r>
      <w:r>
        <w:rPr>
          <w:color w:val="231F20"/>
          <w:sz w:val="16"/>
        </w:rPr>
        <w:t>where</w:t>
      </w:r>
      <w:r>
        <w:rPr>
          <w:color w:val="231F20"/>
          <w:spacing w:val="-21"/>
          <w:sz w:val="16"/>
        </w:rPr>
        <w:t> </w:t>
      </w:r>
      <w:r>
        <w:rPr>
          <w:color w:val="231F20"/>
          <w:sz w:val="16"/>
        </w:rPr>
        <w:t>industry</w:t>
      </w:r>
      <w:r>
        <w:rPr>
          <w:color w:val="231F20"/>
          <w:spacing w:val="-21"/>
          <w:sz w:val="16"/>
        </w:rPr>
        <w:t> </w:t>
      </w:r>
      <w:r>
        <w:rPr>
          <w:color w:val="231F20"/>
          <w:sz w:val="16"/>
        </w:rPr>
        <w:t>expertise</w:t>
      </w:r>
      <w:r>
        <w:rPr>
          <w:color w:val="231F20"/>
          <w:spacing w:val="-21"/>
          <w:sz w:val="16"/>
        </w:rPr>
        <w:t> </w:t>
      </w:r>
      <w:r>
        <w:rPr>
          <w:color w:val="231F20"/>
          <w:sz w:val="16"/>
        </w:rPr>
        <w:t>is</w:t>
      </w:r>
      <w:r>
        <w:rPr>
          <w:color w:val="231F20"/>
          <w:spacing w:val="-21"/>
          <w:sz w:val="16"/>
        </w:rPr>
        <w:t> </w:t>
      </w:r>
      <w:r>
        <w:rPr>
          <w:color w:val="231F20"/>
          <w:sz w:val="16"/>
        </w:rPr>
        <w:t>defined</w:t>
      </w:r>
      <w:r>
        <w:rPr>
          <w:color w:val="231F20"/>
          <w:spacing w:val="-21"/>
          <w:sz w:val="16"/>
        </w:rPr>
        <w:t> </w:t>
      </w:r>
      <w:r>
        <w:rPr>
          <w:color w:val="231F20"/>
          <w:sz w:val="16"/>
        </w:rPr>
        <w:t>as</w:t>
      </w:r>
      <w:r>
        <w:rPr>
          <w:color w:val="231F20"/>
          <w:spacing w:val="-21"/>
          <w:sz w:val="16"/>
        </w:rPr>
        <w:t> </w:t>
      </w:r>
      <w:r>
        <w:rPr>
          <w:color w:val="231F20"/>
          <w:sz w:val="16"/>
        </w:rPr>
        <w:t>having</w:t>
      </w:r>
      <w:r>
        <w:rPr>
          <w:color w:val="231F20"/>
          <w:spacing w:val="-21"/>
          <w:sz w:val="16"/>
        </w:rPr>
        <w:t> </w:t>
      </w:r>
      <w:r>
        <w:rPr>
          <w:color w:val="231F20"/>
          <w:sz w:val="16"/>
        </w:rPr>
        <w:t>any</w:t>
      </w:r>
      <w:r>
        <w:rPr>
          <w:color w:val="231F20"/>
          <w:spacing w:val="-21"/>
          <w:sz w:val="16"/>
        </w:rPr>
        <w:t> </w:t>
      </w:r>
      <w:r>
        <w:rPr>
          <w:color w:val="231F20"/>
          <w:sz w:val="16"/>
        </w:rPr>
        <w:t>prior experience in another firm that operates in the same two-digit primary SIC industry as the focal firm. All board characteristics variables are calculated using Compact Disclosure</w:t>
      </w:r>
      <w:r>
        <w:rPr>
          <w:color w:val="231F20"/>
          <w:spacing w:val="-27"/>
          <w:sz w:val="16"/>
        </w:rPr>
        <w:t> </w:t>
      </w:r>
      <w:r>
        <w:rPr>
          <w:color w:val="231F20"/>
          <w:sz w:val="16"/>
        </w:rPr>
        <w:t>data.</w:t>
      </w:r>
    </w:p>
    <w:p>
      <w:pPr>
        <w:pStyle w:val="BodyText"/>
      </w:pPr>
    </w:p>
    <w:p>
      <w:pPr>
        <w:pStyle w:val="BodyText"/>
        <w:spacing w:before="8"/>
        <w:rPr>
          <w:sz w:val="26"/>
        </w:rPr>
      </w:pPr>
    </w:p>
    <w:p>
      <w:pPr>
        <w:spacing w:before="95"/>
        <w:ind w:left="495" w:right="1018" w:firstLine="0"/>
        <w:jc w:val="center"/>
        <w:rPr>
          <w:sz w:val="16"/>
        </w:rPr>
      </w:pPr>
      <w:r>
        <w:rPr>
          <w:color w:val="231F20"/>
          <w:sz w:val="16"/>
        </w:rPr>
        <w:t>REFERENCES</w:t>
      </w:r>
    </w:p>
    <w:p>
      <w:pPr>
        <w:spacing w:before="120"/>
        <w:ind w:left="162" w:right="0" w:firstLine="0"/>
        <w:jc w:val="left"/>
        <w:rPr>
          <w:sz w:val="16"/>
        </w:rPr>
      </w:pPr>
      <w:r>
        <w:rPr>
          <w:color w:val="231F20"/>
          <w:sz w:val="16"/>
        </w:rPr>
        <w:t>A</w:t>
      </w:r>
      <w:r>
        <w:rPr>
          <w:color w:val="231F20"/>
          <w:sz w:val="16"/>
          <w:vertAlign w:val="subscript"/>
        </w:rPr>
        <w:t>HMED</w:t>
      </w:r>
      <w:r>
        <w:rPr>
          <w:color w:val="231F20"/>
          <w:sz w:val="16"/>
          <w:vertAlign w:val="baseline"/>
        </w:rPr>
        <w:t>, A.; B. B</w:t>
      </w:r>
      <w:r>
        <w:rPr>
          <w:color w:val="231F20"/>
          <w:sz w:val="16"/>
          <w:vertAlign w:val="subscript"/>
        </w:rPr>
        <w:t>ILLINGS</w:t>
      </w:r>
      <w:r>
        <w:rPr>
          <w:color w:val="231F20"/>
          <w:sz w:val="16"/>
          <w:vertAlign w:val="baseline"/>
        </w:rPr>
        <w:t>; R. M</w:t>
      </w:r>
      <w:r>
        <w:rPr>
          <w:color w:val="231F20"/>
          <w:sz w:val="16"/>
          <w:vertAlign w:val="subscript"/>
        </w:rPr>
        <w:t>ORTON</w:t>
      </w:r>
      <w:r>
        <w:rPr>
          <w:color w:val="231F20"/>
          <w:sz w:val="16"/>
          <w:vertAlign w:val="baseline"/>
        </w:rPr>
        <w:t>; </w:t>
      </w:r>
      <w:r>
        <w:rPr>
          <w:color w:val="231F20"/>
          <w:sz w:val="16"/>
          <w:vertAlign w:val="subscript"/>
        </w:rPr>
        <w:t>AND</w:t>
      </w:r>
      <w:r>
        <w:rPr>
          <w:color w:val="231F20"/>
          <w:sz w:val="16"/>
          <w:vertAlign w:val="baseline"/>
        </w:rPr>
        <w:t> M. S</w:t>
      </w:r>
      <w:r>
        <w:rPr>
          <w:color w:val="231F20"/>
          <w:sz w:val="16"/>
          <w:vertAlign w:val="subscript"/>
        </w:rPr>
        <w:t>TANFORD</w:t>
      </w:r>
      <w:r>
        <w:rPr>
          <w:color w:val="231F20"/>
          <w:sz w:val="16"/>
          <w:vertAlign w:val="baseline"/>
        </w:rPr>
        <w:t>-H</w:t>
      </w:r>
      <w:r>
        <w:rPr>
          <w:color w:val="231F20"/>
          <w:sz w:val="16"/>
          <w:vertAlign w:val="subscript"/>
        </w:rPr>
        <w:t>ARRIS</w:t>
      </w:r>
      <w:r>
        <w:rPr>
          <w:color w:val="231F20"/>
          <w:sz w:val="16"/>
          <w:vertAlign w:val="baseline"/>
        </w:rPr>
        <w:t>. “The Role of Accounting</w:t>
      </w:r>
    </w:p>
    <w:p>
      <w:pPr>
        <w:spacing w:before="1"/>
        <w:ind w:left="321" w:right="510" w:firstLine="0"/>
        <w:jc w:val="left"/>
        <w:rPr>
          <w:sz w:val="16"/>
        </w:rPr>
      </w:pPr>
      <w:r>
        <w:rPr>
          <w:color w:val="231F20"/>
          <w:sz w:val="16"/>
        </w:rPr>
        <w:t>Conservatism</w:t>
      </w:r>
      <w:r>
        <w:rPr>
          <w:color w:val="231F20"/>
          <w:spacing w:val="-18"/>
          <w:sz w:val="16"/>
        </w:rPr>
        <w:t> </w:t>
      </w:r>
      <w:r>
        <w:rPr>
          <w:color w:val="231F20"/>
          <w:sz w:val="16"/>
        </w:rPr>
        <w:t>in</w:t>
      </w:r>
      <w:r>
        <w:rPr>
          <w:color w:val="231F20"/>
          <w:spacing w:val="-18"/>
          <w:sz w:val="16"/>
        </w:rPr>
        <w:t> </w:t>
      </w:r>
      <w:r>
        <w:rPr>
          <w:color w:val="231F20"/>
          <w:sz w:val="16"/>
        </w:rPr>
        <w:t>Mitigating</w:t>
      </w:r>
      <w:r>
        <w:rPr>
          <w:color w:val="231F20"/>
          <w:spacing w:val="-18"/>
          <w:sz w:val="16"/>
        </w:rPr>
        <w:t> </w:t>
      </w:r>
      <w:r>
        <w:rPr>
          <w:color w:val="231F20"/>
          <w:sz w:val="16"/>
        </w:rPr>
        <w:t>Bondholder-Shareholder</w:t>
      </w:r>
      <w:r>
        <w:rPr>
          <w:color w:val="231F20"/>
          <w:spacing w:val="-18"/>
          <w:sz w:val="16"/>
        </w:rPr>
        <w:t> </w:t>
      </w:r>
      <w:r>
        <w:rPr>
          <w:color w:val="231F20"/>
          <w:sz w:val="16"/>
        </w:rPr>
        <w:t>Conflicts</w:t>
      </w:r>
      <w:r>
        <w:rPr>
          <w:color w:val="231F20"/>
          <w:spacing w:val="-18"/>
          <w:sz w:val="16"/>
        </w:rPr>
        <w:t> </w:t>
      </w:r>
      <w:r>
        <w:rPr>
          <w:color w:val="231F20"/>
          <w:sz w:val="16"/>
        </w:rPr>
        <w:t>over</w:t>
      </w:r>
      <w:r>
        <w:rPr>
          <w:color w:val="231F20"/>
          <w:spacing w:val="-18"/>
          <w:sz w:val="16"/>
        </w:rPr>
        <w:t> </w:t>
      </w:r>
      <w:r>
        <w:rPr>
          <w:color w:val="231F20"/>
          <w:sz w:val="16"/>
        </w:rPr>
        <w:t>Dividend</w:t>
      </w:r>
      <w:r>
        <w:rPr>
          <w:color w:val="231F20"/>
          <w:spacing w:val="-18"/>
          <w:sz w:val="16"/>
        </w:rPr>
        <w:t> </w:t>
      </w:r>
      <w:r>
        <w:rPr>
          <w:color w:val="231F20"/>
          <w:sz w:val="16"/>
        </w:rPr>
        <w:t>Policy</w:t>
      </w:r>
      <w:r>
        <w:rPr>
          <w:color w:val="231F20"/>
          <w:spacing w:val="-18"/>
          <w:sz w:val="16"/>
        </w:rPr>
        <w:t> </w:t>
      </w:r>
      <w:r>
        <w:rPr>
          <w:color w:val="231F20"/>
          <w:sz w:val="16"/>
        </w:rPr>
        <w:t>and</w:t>
      </w:r>
      <w:r>
        <w:rPr>
          <w:color w:val="231F20"/>
          <w:spacing w:val="-18"/>
          <w:sz w:val="16"/>
        </w:rPr>
        <w:t> </w:t>
      </w:r>
      <w:r>
        <w:rPr>
          <w:color w:val="231F20"/>
          <w:sz w:val="16"/>
        </w:rPr>
        <w:t>in Reducing Debt Costs.” </w:t>
      </w:r>
      <w:r>
        <w:rPr>
          <w:i/>
          <w:color w:val="231F20"/>
          <w:sz w:val="16"/>
        </w:rPr>
        <w:t>The Accounting Review </w:t>
      </w:r>
      <w:r>
        <w:rPr>
          <w:color w:val="231F20"/>
          <w:sz w:val="16"/>
        </w:rPr>
        <w:t>77 (2002):</w:t>
      </w:r>
      <w:r>
        <w:rPr>
          <w:color w:val="231F20"/>
          <w:spacing w:val="-6"/>
          <w:sz w:val="16"/>
        </w:rPr>
        <w:t> </w:t>
      </w:r>
      <w:r>
        <w:rPr>
          <w:color w:val="231F20"/>
          <w:sz w:val="16"/>
        </w:rPr>
        <w:t>867–90.</w:t>
      </w:r>
    </w:p>
    <w:p>
      <w:pPr>
        <w:spacing w:before="0"/>
        <w:ind w:left="321" w:right="428" w:hanging="160"/>
        <w:jc w:val="left"/>
        <w:rPr>
          <w:sz w:val="16"/>
        </w:rPr>
      </w:pPr>
      <w:r>
        <w:rPr>
          <w:color w:val="231F20"/>
          <w:sz w:val="16"/>
        </w:rPr>
        <w:t>A</w:t>
      </w:r>
      <w:r>
        <w:rPr>
          <w:color w:val="231F20"/>
          <w:sz w:val="16"/>
          <w:vertAlign w:val="subscript"/>
        </w:rPr>
        <w:t>HMED</w:t>
      </w:r>
      <w:r>
        <w:rPr>
          <w:color w:val="231F20"/>
          <w:sz w:val="16"/>
          <w:vertAlign w:val="baseline"/>
        </w:rPr>
        <w:t>, A., </w:t>
      </w:r>
      <w:r>
        <w:rPr>
          <w:color w:val="231F20"/>
          <w:sz w:val="16"/>
          <w:vertAlign w:val="subscript"/>
        </w:rPr>
        <w:t>AND</w:t>
      </w:r>
      <w:r>
        <w:rPr>
          <w:color w:val="231F20"/>
          <w:sz w:val="16"/>
          <w:vertAlign w:val="baseline"/>
        </w:rPr>
        <w:t> S. D</w:t>
      </w:r>
      <w:r>
        <w:rPr>
          <w:color w:val="231F20"/>
          <w:sz w:val="16"/>
          <w:vertAlign w:val="subscript"/>
        </w:rPr>
        <w:t>UELLMAN</w:t>
      </w:r>
      <w:r>
        <w:rPr>
          <w:color w:val="231F20"/>
          <w:sz w:val="16"/>
          <w:vertAlign w:val="baseline"/>
        </w:rPr>
        <w:t>. “Accounting Conservatism and Board of Director Characteris- tics: An Empirical Analysis.” </w:t>
      </w:r>
      <w:r>
        <w:rPr>
          <w:i/>
          <w:color w:val="231F20"/>
          <w:sz w:val="16"/>
          <w:vertAlign w:val="baseline"/>
        </w:rPr>
        <w:t>Journal of Accounting and Economics </w:t>
      </w:r>
      <w:r>
        <w:rPr>
          <w:color w:val="231F20"/>
          <w:sz w:val="16"/>
          <w:vertAlign w:val="baseline"/>
        </w:rPr>
        <w:t>43 (2007): 411–37.</w:t>
      </w:r>
    </w:p>
    <w:p>
      <w:pPr>
        <w:spacing w:before="1"/>
        <w:ind w:left="162" w:right="0" w:firstLine="0"/>
        <w:jc w:val="left"/>
        <w:rPr>
          <w:sz w:val="16"/>
        </w:rPr>
      </w:pPr>
      <w:r>
        <w:rPr>
          <w:color w:val="231F20"/>
          <w:sz w:val="16"/>
        </w:rPr>
        <w:t>A</w:t>
      </w:r>
      <w:r>
        <w:rPr>
          <w:color w:val="231F20"/>
          <w:sz w:val="16"/>
          <w:vertAlign w:val="subscript"/>
        </w:rPr>
        <w:t>HMED</w:t>
      </w:r>
      <w:r>
        <w:rPr>
          <w:color w:val="231F20"/>
          <w:sz w:val="16"/>
          <w:vertAlign w:val="baseline"/>
        </w:rPr>
        <w:t>, A., </w:t>
      </w:r>
      <w:r>
        <w:rPr>
          <w:color w:val="231F20"/>
          <w:sz w:val="16"/>
          <w:vertAlign w:val="subscript"/>
        </w:rPr>
        <w:t>AND</w:t>
      </w:r>
      <w:r>
        <w:rPr>
          <w:color w:val="231F20"/>
          <w:sz w:val="16"/>
          <w:vertAlign w:val="baseline"/>
        </w:rPr>
        <w:t> S. D</w:t>
      </w:r>
      <w:r>
        <w:rPr>
          <w:color w:val="231F20"/>
          <w:sz w:val="16"/>
          <w:vertAlign w:val="subscript"/>
        </w:rPr>
        <w:t>UELLMAN</w:t>
      </w:r>
      <w:r>
        <w:rPr>
          <w:color w:val="231F20"/>
          <w:sz w:val="16"/>
          <w:vertAlign w:val="baseline"/>
        </w:rPr>
        <w:t>. “Managerial Overconfidence and Accounting Conservatism.”</w:t>
      </w:r>
    </w:p>
    <w:p>
      <w:pPr>
        <w:spacing w:before="1"/>
        <w:ind w:left="321" w:right="0" w:firstLine="0"/>
        <w:jc w:val="left"/>
        <w:rPr>
          <w:sz w:val="16"/>
        </w:rPr>
      </w:pPr>
      <w:r>
        <w:rPr>
          <w:i/>
          <w:color w:val="231F20"/>
          <w:sz w:val="16"/>
        </w:rPr>
        <w:t>Journal of Accounting Research </w:t>
      </w:r>
      <w:r>
        <w:rPr>
          <w:color w:val="231F20"/>
          <w:sz w:val="16"/>
        </w:rPr>
        <w:t>51 (2013): 1–30.</w:t>
      </w:r>
    </w:p>
    <w:p>
      <w:pPr>
        <w:spacing w:after="0"/>
        <w:jc w:val="left"/>
        <w:rPr>
          <w:sz w:val="16"/>
        </w:rPr>
        <w:sectPr>
          <w:pgSz w:w="9720" w:h="14400"/>
          <w:pgMar w:header="1055" w:footer="0" w:top="1300" w:bottom="280" w:left="1280" w:right="1300"/>
        </w:sectPr>
      </w:pPr>
    </w:p>
    <w:p>
      <w:pPr>
        <w:pStyle w:val="BodyText"/>
        <w:spacing w:before="12"/>
        <w:rPr>
          <w:sz w:val="8"/>
        </w:rPr>
      </w:pPr>
    </w:p>
    <w:p>
      <w:pPr>
        <w:spacing w:before="95"/>
        <w:ind w:left="692" w:right="149" w:hanging="160"/>
        <w:jc w:val="both"/>
        <w:rPr>
          <w:sz w:val="16"/>
        </w:rPr>
      </w:pPr>
      <w:r>
        <w:rPr>
          <w:color w:val="231F20"/>
          <w:sz w:val="16"/>
        </w:rPr>
        <w:t>A</w:t>
      </w:r>
      <w:r>
        <w:rPr>
          <w:color w:val="231F20"/>
          <w:sz w:val="16"/>
          <w:vertAlign w:val="subscript"/>
        </w:rPr>
        <w:t>JINKYA</w:t>
      </w:r>
      <w:r>
        <w:rPr>
          <w:color w:val="231F20"/>
          <w:sz w:val="16"/>
          <w:vertAlign w:val="baseline"/>
        </w:rPr>
        <w:t>, B.; S. B</w:t>
      </w:r>
      <w:r>
        <w:rPr>
          <w:color w:val="231F20"/>
          <w:sz w:val="16"/>
          <w:vertAlign w:val="subscript"/>
        </w:rPr>
        <w:t>HOJRAJ</w:t>
      </w:r>
      <w:r>
        <w:rPr>
          <w:color w:val="231F20"/>
          <w:sz w:val="16"/>
          <w:vertAlign w:val="baseline"/>
        </w:rPr>
        <w:t>; </w:t>
      </w:r>
      <w:r>
        <w:rPr>
          <w:color w:val="231F20"/>
          <w:sz w:val="16"/>
          <w:vertAlign w:val="subscript"/>
        </w:rPr>
        <w:t>AND</w:t>
      </w:r>
      <w:r>
        <w:rPr>
          <w:color w:val="231F20"/>
          <w:sz w:val="16"/>
          <w:vertAlign w:val="baseline"/>
        </w:rPr>
        <w:t> </w:t>
      </w:r>
      <w:r>
        <w:rPr>
          <w:color w:val="231F20"/>
          <w:spacing w:val="-10"/>
          <w:sz w:val="16"/>
          <w:vertAlign w:val="baseline"/>
        </w:rPr>
        <w:t>P. </w:t>
      </w:r>
      <w:r>
        <w:rPr>
          <w:color w:val="231F20"/>
          <w:sz w:val="16"/>
          <w:vertAlign w:val="baseline"/>
        </w:rPr>
        <w:t>S</w:t>
      </w:r>
      <w:r>
        <w:rPr>
          <w:color w:val="231F20"/>
          <w:sz w:val="16"/>
          <w:vertAlign w:val="subscript"/>
        </w:rPr>
        <w:t>ENGUPTA</w:t>
      </w:r>
      <w:r>
        <w:rPr>
          <w:color w:val="231F20"/>
          <w:sz w:val="16"/>
          <w:vertAlign w:val="baseline"/>
        </w:rPr>
        <w:t>. “The Association Between Outside Directors, Institu- tional</w:t>
      </w:r>
      <w:r>
        <w:rPr>
          <w:color w:val="231F20"/>
          <w:spacing w:val="-26"/>
          <w:sz w:val="16"/>
          <w:vertAlign w:val="baseline"/>
        </w:rPr>
        <w:t> </w:t>
      </w:r>
      <w:r>
        <w:rPr>
          <w:color w:val="231F20"/>
          <w:sz w:val="16"/>
          <w:vertAlign w:val="baseline"/>
        </w:rPr>
        <w:t>Investors</w:t>
      </w:r>
      <w:r>
        <w:rPr>
          <w:color w:val="231F20"/>
          <w:spacing w:val="-26"/>
          <w:sz w:val="16"/>
          <w:vertAlign w:val="baseline"/>
        </w:rPr>
        <w:t> </w:t>
      </w:r>
      <w:r>
        <w:rPr>
          <w:color w:val="231F20"/>
          <w:sz w:val="16"/>
          <w:vertAlign w:val="baseline"/>
        </w:rPr>
        <w:t>and</w:t>
      </w:r>
      <w:r>
        <w:rPr>
          <w:color w:val="231F20"/>
          <w:spacing w:val="-26"/>
          <w:sz w:val="16"/>
          <w:vertAlign w:val="baseline"/>
        </w:rPr>
        <w:t> </w:t>
      </w:r>
      <w:r>
        <w:rPr>
          <w:color w:val="231F20"/>
          <w:sz w:val="16"/>
          <w:vertAlign w:val="baseline"/>
        </w:rPr>
        <w:t>the</w:t>
      </w:r>
      <w:r>
        <w:rPr>
          <w:color w:val="231F20"/>
          <w:spacing w:val="-26"/>
          <w:sz w:val="16"/>
          <w:vertAlign w:val="baseline"/>
        </w:rPr>
        <w:t> </w:t>
      </w:r>
      <w:r>
        <w:rPr>
          <w:color w:val="231F20"/>
          <w:sz w:val="16"/>
          <w:vertAlign w:val="baseline"/>
        </w:rPr>
        <w:t>Properties</w:t>
      </w:r>
      <w:r>
        <w:rPr>
          <w:color w:val="231F20"/>
          <w:spacing w:val="-26"/>
          <w:sz w:val="16"/>
          <w:vertAlign w:val="baseline"/>
        </w:rPr>
        <w:t> </w:t>
      </w:r>
      <w:r>
        <w:rPr>
          <w:color w:val="231F20"/>
          <w:sz w:val="16"/>
          <w:vertAlign w:val="baseline"/>
        </w:rPr>
        <w:t>of</w:t>
      </w:r>
      <w:r>
        <w:rPr>
          <w:color w:val="231F20"/>
          <w:spacing w:val="-26"/>
          <w:sz w:val="16"/>
          <w:vertAlign w:val="baseline"/>
        </w:rPr>
        <w:t> </w:t>
      </w:r>
      <w:r>
        <w:rPr>
          <w:color w:val="231F20"/>
          <w:sz w:val="16"/>
          <w:vertAlign w:val="baseline"/>
        </w:rPr>
        <w:t>Management</w:t>
      </w:r>
      <w:r>
        <w:rPr>
          <w:color w:val="231F20"/>
          <w:spacing w:val="-26"/>
          <w:sz w:val="16"/>
          <w:vertAlign w:val="baseline"/>
        </w:rPr>
        <w:t> </w:t>
      </w:r>
      <w:r>
        <w:rPr>
          <w:color w:val="231F20"/>
          <w:sz w:val="16"/>
          <w:vertAlign w:val="baseline"/>
        </w:rPr>
        <w:t>Earnings</w:t>
      </w:r>
      <w:r>
        <w:rPr>
          <w:color w:val="231F20"/>
          <w:spacing w:val="-26"/>
          <w:sz w:val="16"/>
          <w:vertAlign w:val="baseline"/>
        </w:rPr>
        <w:t> </w:t>
      </w:r>
      <w:r>
        <w:rPr>
          <w:color w:val="231F20"/>
          <w:sz w:val="16"/>
          <w:vertAlign w:val="baseline"/>
        </w:rPr>
        <w:t>Forecasts.”</w:t>
      </w:r>
      <w:r>
        <w:rPr>
          <w:color w:val="231F20"/>
          <w:spacing w:val="-26"/>
          <w:sz w:val="16"/>
          <w:vertAlign w:val="baseline"/>
        </w:rPr>
        <w:t> </w:t>
      </w:r>
      <w:r>
        <w:rPr>
          <w:i/>
          <w:color w:val="231F20"/>
          <w:sz w:val="16"/>
          <w:vertAlign w:val="baseline"/>
        </w:rPr>
        <w:t>Journal</w:t>
      </w:r>
      <w:r>
        <w:rPr>
          <w:i/>
          <w:color w:val="231F20"/>
          <w:spacing w:val="-26"/>
          <w:sz w:val="16"/>
          <w:vertAlign w:val="baseline"/>
        </w:rPr>
        <w:t> </w:t>
      </w:r>
      <w:r>
        <w:rPr>
          <w:i/>
          <w:color w:val="231F20"/>
          <w:sz w:val="16"/>
          <w:vertAlign w:val="baseline"/>
        </w:rPr>
        <w:t>of</w:t>
      </w:r>
      <w:r>
        <w:rPr>
          <w:i/>
          <w:color w:val="231F20"/>
          <w:spacing w:val="-26"/>
          <w:sz w:val="16"/>
          <w:vertAlign w:val="baseline"/>
        </w:rPr>
        <w:t> </w:t>
      </w:r>
      <w:r>
        <w:rPr>
          <w:i/>
          <w:color w:val="231F20"/>
          <w:sz w:val="16"/>
          <w:vertAlign w:val="baseline"/>
        </w:rPr>
        <w:t>Accounting </w:t>
      </w:r>
      <w:r>
        <w:rPr>
          <w:i/>
          <w:color w:val="231F20"/>
          <w:sz w:val="16"/>
          <w:vertAlign w:val="baseline"/>
        </w:rPr>
        <w:t>Research </w:t>
      </w:r>
      <w:r>
        <w:rPr>
          <w:color w:val="231F20"/>
          <w:sz w:val="16"/>
          <w:vertAlign w:val="baseline"/>
        </w:rPr>
        <w:t>43(2005):</w:t>
      </w:r>
      <w:r>
        <w:rPr>
          <w:color w:val="231F20"/>
          <w:spacing w:val="1"/>
          <w:sz w:val="16"/>
          <w:vertAlign w:val="baseline"/>
        </w:rPr>
        <w:t> </w:t>
      </w:r>
      <w:r>
        <w:rPr>
          <w:color w:val="231F20"/>
          <w:sz w:val="16"/>
          <w:vertAlign w:val="baseline"/>
        </w:rPr>
        <w:t>343–76.</w:t>
      </w:r>
    </w:p>
    <w:p>
      <w:pPr>
        <w:spacing w:before="2"/>
        <w:ind w:left="692" w:right="149" w:hanging="160"/>
        <w:jc w:val="both"/>
        <w:rPr>
          <w:sz w:val="16"/>
        </w:rPr>
      </w:pPr>
      <w:r>
        <w:rPr>
          <w:color w:val="231F20"/>
          <w:sz w:val="16"/>
        </w:rPr>
        <w:t>A</w:t>
      </w:r>
      <w:r>
        <w:rPr>
          <w:color w:val="231F20"/>
          <w:sz w:val="16"/>
          <w:vertAlign w:val="subscript"/>
        </w:rPr>
        <w:t>NDERSON</w:t>
      </w:r>
      <w:r>
        <w:rPr>
          <w:color w:val="231F20"/>
          <w:sz w:val="16"/>
          <w:vertAlign w:val="baseline"/>
        </w:rPr>
        <w:t>, R.; S. M</w:t>
      </w:r>
      <w:r>
        <w:rPr>
          <w:color w:val="231F20"/>
          <w:sz w:val="16"/>
          <w:vertAlign w:val="subscript"/>
        </w:rPr>
        <w:t>ANSI</w:t>
      </w:r>
      <w:r>
        <w:rPr>
          <w:color w:val="231F20"/>
          <w:sz w:val="16"/>
          <w:vertAlign w:val="baseline"/>
        </w:rPr>
        <w:t>; </w:t>
      </w:r>
      <w:r>
        <w:rPr>
          <w:color w:val="231F20"/>
          <w:sz w:val="16"/>
          <w:vertAlign w:val="subscript"/>
        </w:rPr>
        <w:t>AND</w:t>
      </w:r>
      <w:r>
        <w:rPr>
          <w:color w:val="231F20"/>
          <w:sz w:val="16"/>
          <w:vertAlign w:val="baseline"/>
        </w:rPr>
        <w:t> D. R</w:t>
      </w:r>
      <w:r>
        <w:rPr>
          <w:color w:val="231F20"/>
          <w:sz w:val="16"/>
          <w:vertAlign w:val="subscript"/>
        </w:rPr>
        <w:t>EEB</w:t>
      </w:r>
      <w:r>
        <w:rPr>
          <w:color w:val="231F20"/>
          <w:sz w:val="16"/>
          <w:vertAlign w:val="baseline"/>
        </w:rPr>
        <w:t>. “Board Characteristics, Accounting Report Integrity, and the Cost of Debt.” </w:t>
      </w:r>
      <w:r>
        <w:rPr>
          <w:i/>
          <w:color w:val="231F20"/>
          <w:sz w:val="16"/>
          <w:vertAlign w:val="baseline"/>
        </w:rPr>
        <w:t>Journal of Accounting and Economics </w:t>
      </w:r>
      <w:r>
        <w:rPr>
          <w:color w:val="231F20"/>
          <w:sz w:val="16"/>
          <w:vertAlign w:val="baseline"/>
        </w:rPr>
        <w:t>37 (2004): 315–42.</w:t>
      </w:r>
    </w:p>
    <w:p>
      <w:pPr>
        <w:spacing w:before="0"/>
        <w:ind w:left="692" w:right="149" w:hanging="160"/>
        <w:jc w:val="both"/>
        <w:rPr>
          <w:sz w:val="16"/>
        </w:rPr>
      </w:pPr>
      <w:r>
        <w:rPr>
          <w:color w:val="231F20"/>
          <w:sz w:val="16"/>
        </w:rPr>
        <w:t>A</w:t>
      </w:r>
      <w:r>
        <w:rPr>
          <w:color w:val="231F20"/>
          <w:sz w:val="16"/>
          <w:vertAlign w:val="subscript"/>
        </w:rPr>
        <w:t>RMSTRONG</w:t>
      </w:r>
      <w:r>
        <w:rPr>
          <w:color w:val="231F20"/>
          <w:sz w:val="16"/>
          <w:vertAlign w:val="baseline"/>
        </w:rPr>
        <w:t>, C.; K. B</w:t>
      </w:r>
      <w:r>
        <w:rPr>
          <w:color w:val="231F20"/>
          <w:sz w:val="16"/>
          <w:vertAlign w:val="subscript"/>
        </w:rPr>
        <w:t>ALAKRISHNAN</w:t>
      </w:r>
      <w:r>
        <w:rPr>
          <w:color w:val="231F20"/>
          <w:sz w:val="16"/>
          <w:vertAlign w:val="baseline"/>
        </w:rPr>
        <w:t>; </w:t>
      </w:r>
      <w:r>
        <w:rPr>
          <w:color w:val="231F20"/>
          <w:sz w:val="16"/>
          <w:vertAlign w:val="subscript"/>
        </w:rPr>
        <w:t>AND</w:t>
      </w:r>
      <w:r>
        <w:rPr>
          <w:color w:val="231F20"/>
          <w:sz w:val="16"/>
          <w:vertAlign w:val="baseline"/>
        </w:rPr>
        <w:t> D. C</w:t>
      </w:r>
      <w:r>
        <w:rPr>
          <w:color w:val="231F20"/>
          <w:sz w:val="16"/>
          <w:vertAlign w:val="subscript"/>
        </w:rPr>
        <w:t>OHEN</w:t>
      </w:r>
      <w:r>
        <w:rPr>
          <w:color w:val="231F20"/>
          <w:sz w:val="16"/>
          <w:vertAlign w:val="baseline"/>
        </w:rPr>
        <w:t>. “Corporate Governance and the Infor- mation</w:t>
      </w:r>
      <w:r>
        <w:rPr>
          <w:color w:val="231F20"/>
          <w:spacing w:val="-5"/>
          <w:sz w:val="16"/>
          <w:vertAlign w:val="baseline"/>
        </w:rPr>
        <w:t> </w:t>
      </w:r>
      <w:r>
        <w:rPr>
          <w:color w:val="231F20"/>
          <w:sz w:val="16"/>
          <w:vertAlign w:val="baseline"/>
        </w:rPr>
        <w:t>Environment:</w:t>
      </w:r>
      <w:r>
        <w:rPr>
          <w:color w:val="231F20"/>
          <w:spacing w:val="-5"/>
          <w:sz w:val="16"/>
          <w:vertAlign w:val="baseline"/>
        </w:rPr>
        <w:t> </w:t>
      </w:r>
      <w:r>
        <w:rPr>
          <w:color w:val="231F20"/>
          <w:sz w:val="16"/>
          <w:vertAlign w:val="baseline"/>
        </w:rPr>
        <w:t>Evidence</w:t>
      </w:r>
      <w:r>
        <w:rPr>
          <w:color w:val="231F20"/>
          <w:spacing w:val="-5"/>
          <w:sz w:val="16"/>
          <w:vertAlign w:val="baseline"/>
        </w:rPr>
        <w:t> </w:t>
      </w:r>
      <w:r>
        <w:rPr>
          <w:color w:val="231F20"/>
          <w:sz w:val="16"/>
          <w:vertAlign w:val="baseline"/>
        </w:rPr>
        <w:t>from</w:t>
      </w:r>
      <w:r>
        <w:rPr>
          <w:color w:val="231F20"/>
          <w:spacing w:val="-5"/>
          <w:sz w:val="16"/>
          <w:vertAlign w:val="baseline"/>
        </w:rPr>
        <w:t> </w:t>
      </w:r>
      <w:r>
        <w:rPr>
          <w:color w:val="231F20"/>
          <w:sz w:val="16"/>
          <w:vertAlign w:val="baseline"/>
        </w:rPr>
        <w:t>State</w:t>
      </w:r>
      <w:r>
        <w:rPr>
          <w:color w:val="231F20"/>
          <w:spacing w:val="-5"/>
          <w:sz w:val="16"/>
          <w:vertAlign w:val="baseline"/>
        </w:rPr>
        <w:t> </w:t>
      </w:r>
      <w:r>
        <w:rPr>
          <w:color w:val="231F20"/>
          <w:sz w:val="16"/>
          <w:vertAlign w:val="baseline"/>
        </w:rPr>
        <w:t>Anti-Takeover</w:t>
      </w:r>
      <w:r>
        <w:rPr>
          <w:color w:val="231F20"/>
          <w:spacing w:val="-5"/>
          <w:sz w:val="16"/>
          <w:vertAlign w:val="baseline"/>
        </w:rPr>
        <w:t> </w:t>
      </w:r>
      <w:r>
        <w:rPr>
          <w:color w:val="231F20"/>
          <w:sz w:val="16"/>
          <w:vertAlign w:val="baseline"/>
        </w:rPr>
        <w:t>Laws.”</w:t>
      </w:r>
      <w:r>
        <w:rPr>
          <w:color w:val="231F20"/>
          <w:spacing w:val="-5"/>
          <w:sz w:val="16"/>
          <w:vertAlign w:val="baseline"/>
        </w:rPr>
        <w:t> </w:t>
      </w:r>
      <w:r>
        <w:rPr>
          <w:i/>
          <w:color w:val="231F20"/>
          <w:sz w:val="16"/>
          <w:vertAlign w:val="baseline"/>
        </w:rPr>
        <w:t>Journal</w:t>
      </w:r>
      <w:r>
        <w:rPr>
          <w:i/>
          <w:color w:val="231F20"/>
          <w:spacing w:val="-5"/>
          <w:sz w:val="16"/>
          <w:vertAlign w:val="baseline"/>
        </w:rPr>
        <w:t> </w:t>
      </w:r>
      <w:r>
        <w:rPr>
          <w:i/>
          <w:color w:val="231F20"/>
          <w:sz w:val="16"/>
          <w:vertAlign w:val="baseline"/>
        </w:rPr>
        <w:t>of</w:t>
      </w:r>
      <w:r>
        <w:rPr>
          <w:i/>
          <w:color w:val="231F20"/>
          <w:spacing w:val="-5"/>
          <w:sz w:val="16"/>
          <w:vertAlign w:val="baseline"/>
        </w:rPr>
        <w:t> </w:t>
      </w:r>
      <w:r>
        <w:rPr>
          <w:i/>
          <w:color w:val="231F20"/>
          <w:sz w:val="16"/>
          <w:vertAlign w:val="baseline"/>
        </w:rPr>
        <w:t>Accounting</w:t>
      </w:r>
      <w:r>
        <w:rPr>
          <w:i/>
          <w:color w:val="231F20"/>
          <w:spacing w:val="-5"/>
          <w:sz w:val="16"/>
          <w:vertAlign w:val="baseline"/>
        </w:rPr>
        <w:t> </w:t>
      </w:r>
      <w:r>
        <w:rPr>
          <w:i/>
          <w:color w:val="231F20"/>
          <w:sz w:val="16"/>
          <w:vertAlign w:val="baseline"/>
        </w:rPr>
        <w:t>and </w:t>
      </w:r>
      <w:r>
        <w:rPr>
          <w:i/>
          <w:color w:val="231F20"/>
          <w:sz w:val="16"/>
          <w:vertAlign w:val="baseline"/>
        </w:rPr>
        <w:t>Economics </w:t>
      </w:r>
      <w:r>
        <w:rPr>
          <w:color w:val="231F20"/>
          <w:sz w:val="16"/>
          <w:vertAlign w:val="baseline"/>
        </w:rPr>
        <w:t>53 (2012):</w:t>
      </w:r>
      <w:r>
        <w:rPr>
          <w:color w:val="231F20"/>
          <w:spacing w:val="2"/>
          <w:sz w:val="16"/>
          <w:vertAlign w:val="baseline"/>
        </w:rPr>
        <w:t> </w:t>
      </w:r>
      <w:r>
        <w:rPr>
          <w:color w:val="231F20"/>
          <w:sz w:val="16"/>
          <w:vertAlign w:val="baseline"/>
        </w:rPr>
        <w:t>185–204.</w:t>
      </w:r>
    </w:p>
    <w:p>
      <w:pPr>
        <w:spacing w:before="2"/>
        <w:ind w:left="692" w:right="149" w:hanging="160"/>
        <w:jc w:val="both"/>
        <w:rPr>
          <w:sz w:val="16"/>
        </w:rPr>
      </w:pPr>
      <w:r>
        <w:rPr>
          <w:color w:val="231F20"/>
          <w:sz w:val="16"/>
        </w:rPr>
        <w:t>A</w:t>
      </w:r>
      <w:r>
        <w:rPr>
          <w:color w:val="231F20"/>
          <w:sz w:val="16"/>
          <w:vertAlign w:val="subscript"/>
        </w:rPr>
        <w:t>SQUITH</w:t>
      </w:r>
      <w:r>
        <w:rPr>
          <w:color w:val="231F20"/>
          <w:sz w:val="16"/>
          <w:vertAlign w:val="baseline"/>
        </w:rPr>
        <w:t>, </w:t>
      </w:r>
      <w:r>
        <w:rPr>
          <w:color w:val="231F20"/>
          <w:spacing w:val="-7"/>
          <w:sz w:val="16"/>
          <w:vertAlign w:val="baseline"/>
        </w:rPr>
        <w:t>P.; </w:t>
      </w:r>
      <w:r>
        <w:rPr>
          <w:color w:val="231F20"/>
          <w:sz w:val="16"/>
          <w:vertAlign w:val="baseline"/>
        </w:rPr>
        <w:t>R. G</w:t>
      </w:r>
      <w:r>
        <w:rPr>
          <w:color w:val="231F20"/>
          <w:sz w:val="16"/>
          <w:vertAlign w:val="subscript"/>
        </w:rPr>
        <w:t>ERTNER</w:t>
      </w:r>
      <w:r>
        <w:rPr>
          <w:color w:val="231F20"/>
          <w:sz w:val="16"/>
          <w:vertAlign w:val="baseline"/>
        </w:rPr>
        <w:t>; </w:t>
      </w:r>
      <w:r>
        <w:rPr>
          <w:color w:val="231F20"/>
          <w:sz w:val="16"/>
          <w:vertAlign w:val="subscript"/>
        </w:rPr>
        <w:t>AND</w:t>
      </w:r>
      <w:r>
        <w:rPr>
          <w:color w:val="231F20"/>
          <w:sz w:val="16"/>
          <w:vertAlign w:val="baseline"/>
        </w:rPr>
        <w:t> D. S</w:t>
      </w:r>
      <w:r>
        <w:rPr>
          <w:color w:val="231F20"/>
          <w:sz w:val="16"/>
          <w:vertAlign w:val="subscript"/>
        </w:rPr>
        <w:t>CHARFSTEIN</w:t>
      </w:r>
      <w:r>
        <w:rPr>
          <w:color w:val="231F20"/>
          <w:sz w:val="16"/>
          <w:vertAlign w:val="baseline"/>
        </w:rPr>
        <w:t>. “Anatomy of Financial Distress: An Examina- tion</w:t>
      </w:r>
      <w:r>
        <w:rPr>
          <w:color w:val="231F20"/>
          <w:spacing w:val="-4"/>
          <w:sz w:val="16"/>
          <w:vertAlign w:val="baseline"/>
        </w:rPr>
        <w:t> </w:t>
      </w:r>
      <w:r>
        <w:rPr>
          <w:color w:val="231F20"/>
          <w:sz w:val="16"/>
          <w:vertAlign w:val="baseline"/>
        </w:rPr>
        <w:t>of</w:t>
      </w:r>
      <w:r>
        <w:rPr>
          <w:color w:val="231F20"/>
          <w:spacing w:val="-4"/>
          <w:sz w:val="16"/>
          <w:vertAlign w:val="baseline"/>
        </w:rPr>
        <w:t> </w:t>
      </w:r>
      <w:r>
        <w:rPr>
          <w:color w:val="231F20"/>
          <w:sz w:val="16"/>
          <w:vertAlign w:val="baseline"/>
        </w:rPr>
        <w:t>Junk-Bond</w:t>
      </w:r>
      <w:r>
        <w:rPr>
          <w:color w:val="231F20"/>
          <w:spacing w:val="-4"/>
          <w:sz w:val="16"/>
          <w:vertAlign w:val="baseline"/>
        </w:rPr>
        <w:t> </w:t>
      </w:r>
      <w:r>
        <w:rPr>
          <w:color w:val="231F20"/>
          <w:sz w:val="16"/>
          <w:vertAlign w:val="baseline"/>
        </w:rPr>
        <w:t>Issuers.”</w:t>
      </w:r>
      <w:r>
        <w:rPr>
          <w:color w:val="231F20"/>
          <w:spacing w:val="-4"/>
          <w:sz w:val="16"/>
          <w:vertAlign w:val="baseline"/>
        </w:rPr>
        <w:t> </w:t>
      </w:r>
      <w:r>
        <w:rPr>
          <w:i/>
          <w:color w:val="231F20"/>
          <w:sz w:val="16"/>
          <w:vertAlign w:val="baseline"/>
        </w:rPr>
        <w:t>The</w:t>
      </w:r>
      <w:r>
        <w:rPr>
          <w:i/>
          <w:color w:val="231F20"/>
          <w:spacing w:val="-4"/>
          <w:sz w:val="16"/>
          <w:vertAlign w:val="baseline"/>
        </w:rPr>
        <w:t> </w:t>
      </w:r>
      <w:r>
        <w:rPr>
          <w:i/>
          <w:color w:val="231F20"/>
          <w:sz w:val="16"/>
          <w:vertAlign w:val="baseline"/>
        </w:rPr>
        <w:t>Quarterly</w:t>
      </w:r>
      <w:r>
        <w:rPr>
          <w:i/>
          <w:color w:val="231F20"/>
          <w:spacing w:val="-4"/>
          <w:sz w:val="16"/>
          <w:vertAlign w:val="baseline"/>
        </w:rPr>
        <w:t> </w:t>
      </w:r>
      <w:r>
        <w:rPr>
          <w:i/>
          <w:color w:val="231F20"/>
          <w:sz w:val="16"/>
          <w:vertAlign w:val="baseline"/>
        </w:rPr>
        <w:t>Journal</w:t>
      </w:r>
      <w:r>
        <w:rPr>
          <w:i/>
          <w:color w:val="231F20"/>
          <w:spacing w:val="-4"/>
          <w:sz w:val="16"/>
          <w:vertAlign w:val="baseline"/>
        </w:rPr>
        <w:t> </w:t>
      </w:r>
      <w:r>
        <w:rPr>
          <w:i/>
          <w:color w:val="231F20"/>
          <w:sz w:val="16"/>
          <w:vertAlign w:val="baseline"/>
        </w:rPr>
        <w:t>of</w:t>
      </w:r>
      <w:r>
        <w:rPr>
          <w:i/>
          <w:color w:val="231F20"/>
          <w:spacing w:val="-4"/>
          <w:sz w:val="16"/>
          <w:vertAlign w:val="baseline"/>
        </w:rPr>
        <w:t> </w:t>
      </w:r>
      <w:r>
        <w:rPr>
          <w:i/>
          <w:color w:val="231F20"/>
          <w:sz w:val="16"/>
          <w:vertAlign w:val="baseline"/>
        </w:rPr>
        <w:t>Economics</w:t>
      </w:r>
      <w:r>
        <w:rPr>
          <w:i/>
          <w:color w:val="231F20"/>
          <w:spacing w:val="-4"/>
          <w:sz w:val="16"/>
          <w:vertAlign w:val="baseline"/>
        </w:rPr>
        <w:t> </w:t>
      </w:r>
      <w:r>
        <w:rPr>
          <w:color w:val="231F20"/>
          <w:sz w:val="16"/>
          <w:vertAlign w:val="baseline"/>
        </w:rPr>
        <w:t>109</w:t>
      </w:r>
      <w:r>
        <w:rPr>
          <w:color w:val="231F20"/>
          <w:spacing w:val="-4"/>
          <w:sz w:val="16"/>
          <w:vertAlign w:val="baseline"/>
        </w:rPr>
        <w:t> </w:t>
      </w:r>
      <w:r>
        <w:rPr>
          <w:color w:val="231F20"/>
          <w:sz w:val="16"/>
          <w:vertAlign w:val="baseline"/>
        </w:rPr>
        <w:t>(1994):</w:t>
      </w:r>
      <w:r>
        <w:rPr>
          <w:color w:val="231F20"/>
          <w:spacing w:val="-4"/>
          <w:sz w:val="16"/>
          <w:vertAlign w:val="baseline"/>
        </w:rPr>
        <w:t> </w:t>
      </w:r>
      <w:r>
        <w:rPr>
          <w:color w:val="231F20"/>
          <w:sz w:val="16"/>
          <w:vertAlign w:val="baseline"/>
        </w:rPr>
        <w:t>625–58.</w:t>
      </w:r>
    </w:p>
    <w:p>
      <w:pPr>
        <w:spacing w:before="1"/>
        <w:ind w:left="692" w:right="149" w:hanging="160"/>
        <w:jc w:val="both"/>
        <w:rPr>
          <w:sz w:val="16"/>
        </w:rPr>
      </w:pPr>
      <w:r>
        <w:rPr>
          <w:color w:val="231F20"/>
          <w:sz w:val="16"/>
        </w:rPr>
        <w:t>B</w:t>
      </w:r>
      <w:r>
        <w:rPr>
          <w:color w:val="231F20"/>
          <w:sz w:val="16"/>
          <w:vertAlign w:val="subscript"/>
        </w:rPr>
        <w:t>ALL</w:t>
      </w:r>
      <w:r>
        <w:rPr>
          <w:color w:val="231F20"/>
          <w:sz w:val="16"/>
          <w:vertAlign w:val="baseline"/>
        </w:rPr>
        <w:t>, R.; S. P. K</w:t>
      </w:r>
      <w:r>
        <w:rPr>
          <w:color w:val="231F20"/>
          <w:sz w:val="16"/>
          <w:vertAlign w:val="subscript"/>
        </w:rPr>
        <w:t>OTHARI</w:t>
      </w:r>
      <w:r>
        <w:rPr>
          <w:color w:val="231F20"/>
          <w:sz w:val="16"/>
          <w:vertAlign w:val="baseline"/>
        </w:rPr>
        <w:t>; </w:t>
      </w:r>
      <w:r>
        <w:rPr>
          <w:color w:val="231F20"/>
          <w:sz w:val="16"/>
          <w:vertAlign w:val="subscript"/>
        </w:rPr>
        <w:t>AND</w:t>
      </w:r>
      <w:r>
        <w:rPr>
          <w:color w:val="231F20"/>
          <w:sz w:val="16"/>
          <w:vertAlign w:val="baseline"/>
        </w:rPr>
        <w:t> V. N</w:t>
      </w:r>
      <w:r>
        <w:rPr>
          <w:color w:val="231F20"/>
          <w:sz w:val="16"/>
          <w:vertAlign w:val="subscript"/>
        </w:rPr>
        <w:t>IKOLAEV</w:t>
      </w:r>
      <w:r>
        <w:rPr>
          <w:color w:val="231F20"/>
          <w:sz w:val="16"/>
          <w:vertAlign w:val="baseline"/>
        </w:rPr>
        <w:t>. “On Estimating Conditional Conservatism.” </w:t>
      </w:r>
      <w:r>
        <w:rPr>
          <w:i/>
          <w:color w:val="231F20"/>
          <w:sz w:val="16"/>
          <w:vertAlign w:val="baseline"/>
        </w:rPr>
        <w:t>The </w:t>
      </w:r>
      <w:r>
        <w:rPr>
          <w:i/>
          <w:color w:val="231F20"/>
          <w:sz w:val="16"/>
          <w:vertAlign w:val="baseline"/>
        </w:rPr>
        <w:t>Accounting Review </w:t>
      </w:r>
      <w:r>
        <w:rPr>
          <w:color w:val="231F20"/>
          <w:sz w:val="16"/>
          <w:vertAlign w:val="baseline"/>
        </w:rPr>
        <w:t>88 (2013): 755–87.</w:t>
      </w:r>
    </w:p>
    <w:p>
      <w:pPr>
        <w:spacing w:before="0"/>
        <w:ind w:left="692" w:right="149" w:hanging="160"/>
        <w:jc w:val="both"/>
        <w:rPr>
          <w:sz w:val="16"/>
        </w:rPr>
      </w:pPr>
      <w:r>
        <w:rPr>
          <w:color w:val="231F20"/>
          <w:sz w:val="16"/>
        </w:rPr>
        <w:t>B</w:t>
      </w:r>
      <w:r>
        <w:rPr>
          <w:color w:val="231F20"/>
          <w:sz w:val="16"/>
          <w:vertAlign w:val="subscript"/>
        </w:rPr>
        <w:t>ALL</w:t>
      </w:r>
      <w:r>
        <w:rPr>
          <w:color w:val="231F20"/>
          <w:sz w:val="16"/>
          <w:vertAlign w:val="baseline"/>
        </w:rPr>
        <w:t>,</w:t>
      </w:r>
      <w:r>
        <w:rPr>
          <w:color w:val="231F20"/>
          <w:spacing w:val="-24"/>
          <w:sz w:val="16"/>
          <w:vertAlign w:val="baseline"/>
        </w:rPr>
        <w:t> </w:t>
      </w:r>
      <w:r>
        <w:rPr>
          <w:color w:val="231F20"/>
          <w:sz w:val="16"/>
          <w:vertAlign w:val="baseline"/>
        </w:rPr>
        <w:t>R.,</w:t>
      </w:r>
      <w:r>
        <w:rPr>
          <w:color w:val="231F20"/>
          <w:spacing w:val="-24"/>
          <w:sz w:val="16"/>
          <w:vertAlign w:val="baseline"/>
        </w:rPr>
        <w:t> </w:t>
      </w:r>
      <w:r>
        <w:rPr>
          <w:color w:val="231F20"/>
          <w:sz w:val="16"/>
          <w:vertAlign w:val="subscript"/>
        </w:rPr>
        <w:t>AND</w:t>
      </w:r>
      <w:r>
        <w:rPr>
          <w:color w:val="231F20"/>
          <w:spacing w:val="-28"/>
          <w:sz w:val="16"/>
          <w:vertAlign w:val="baseline"/>
        </w:rPr>
        <w:t> </w:t>
      </w:r>
      <w:r>
        <w:rPr>
          <w:color w:val="231F20"/>
          <w:sz w:val="16"/>
          <w:vertAlign w:val="baseline"/>
        </w:rPr>
        <w:t>L.</w:t>
      </w:r>
      <w:r>
        <w:rPr>
          <w:color w:val="231F20"/>
          <w:spacing w:val="-24"/>
          <w:sz w:val="16"/>
          <w:vertAlign w:val="baseline"/>
        </w:rPr>
        <w:t> </w:t>
      </w:r>
      <w:r>
        <w:rPr>
          <w:color w:val="231F20"/>
          <w:sz w:val="16"/>
          <w:vertAlign w:val="baseline"/>
        </w:rPr>
        <w:t>S</w:t>
      </w:r>
      <w:r>
        <w:rPr>
          <w:color w:val="231F20"/>
          <w:sz w:val="16"/>
          <w:vertAlign w:val="subscript"/>
        </w:rPr>
        <w:t>HIVAKUMAR</w:t>
      </w:r>
      <w:r>
        <w:rPr>
          <w:color w:val="231F20"/>
          <w:sz w:val="16"/>
          <w:vertAlign w:val="baseline"/>
        </w:rPr>
        <w:t>.</w:t>
      </w:r>
      <w:r>
        <w:rPr>
          <w:color w:val="231F20"/>
          <w:spacing w:val="-24"/>
          <w:sz w:val="16"/>
          <w:vertAlign w:val="baseline"/>
        </w:rPr>
        <w:t> </w:t>
      </w:r>
      <w:r>
        <w:rPr>
          <w:color w:val="231F20"/>
          <w:sz w:val="16"/>
          <w:vertAlign w:val="baseline"/>
        </w:rPr>
        <w:t>“Earnings</w:t>
      </w:r>
      <w:r>
        <w:rPr>
          <w:color w:val="231F20"/>
          <w:spacing w:val="-24"/>
          <w:sz w:val="16"/>
          <w:vertAlign w:val="baseline"/>
        </w:rPr>
        <w:t> </w:t>
      </w:r>
      <w:r>
        <w:rPr>
          <w:color w:val="231F20"/>
          <w:sz w:val="16"/>
          <w:vertAlign w:val="baseline"/>
        </w:rPr>
        <w:t>Quality</w:t>
      </w:r>
      <w:r>
        <w:rPr>
          <w:color w:val="231F20"/>
          <w:spacing w:val="-24"/>
          <w:sz w:val="16"/>
          <w:vertAlign w:val="baseline"/>
        </w:rPr>
        <w:t> </w:t>
      </w:r>
      <w:r>
        <w:rPr>
          <w:color w:val="231F20"/>
          <w:sz w:val="16"/>
          <w:vertAlign w:val="baseline"/>
        </w:rPr>
        <w:t>in</w:t>
      </w:r>
      <w:r>
        <w:rPr>
          <w:color w:val="231F20"/>
          <w:spacing w:val="-24"/>
          <w:sz w:val="16"/>
          <w:vertAlign w:val="baseline"/>
        </w:rPr>
        <w:t> </w:t>
      </w:r>
      <w:r>
        <w:rPr>
          <w:color w:val="231F20"/>
          <w:sz w:val="16"/>
          <w:vertAlign w:val="baseline"/>
        </w:rPr>
        <w:t>UK</w:t>
      </w:r>
      <w:r>
        <w:rPr>
          <w:color w:val="231F20"/>
          <w:spacing w:val="-24"/>
          <w:sz w:val="16"/>
          <w:vertAlign w:val="baseline"/>
        </w:rPr>
        <w:t> </w:t>
      </w:r>
      <w:r>
        <w:rPr>
          <w:color w:val="231F20"/>
          <w:sz w:val="16"/>
          <w:vertAlign w:val="baseline"/>
        </w:rPr>
        <w:t>Private</w:t>
      </w:r>
      <w:r>
        <w:rPr>
          <w:color w:val="231F20"/>
          <w:spacing w:val="-24"/>
          <w:sz w:val="16"/>
          <w:vertAlign w:val="baseline"/>
        </w:rPr>
        <w:t> </w:t>
      </w:r>
      <w:r>
        <w:rPr>
          <w:color w:val="231F20"/>
          <w:sz w:val="16"/>
          <w:vertAlign w:val="baseline"/>
        </w:rPr>
        <w:t>Firms:</w:t>
      </w:r>
      <w:r>
        <w:rPr>
          <w:color w:val="231F20"/>
          <w:spacing w:val="-24"/>
          <w:sz w:val="16"/>
          <w:vertAlign w:val="baseline"/>
        </w:rPr>
        <w:t> </w:t>
      </w:r>
      <w:r>
        <w:rPr>
          <w:color w:val="231F20"/>
          <w:sz w:val="16"/>
          <w:vertAlign w:val="baseline"/>
        </w:rPr>
        <w:t>Comparative</w:t>
      </w:r>
      <w:r>
        <w:rPr>
          <w:color w:val="231F20"/>
          <w:spacing w:val="-24"/>
          <w:sz w:val="16"/>
          <w:vertAlign w:val="baseline"/>
        </w:rPr>
        <w:t> </w:t>
      </w:r>
      <w:r>
        <w:rPr>
          <w:color w:val="231F20"/>
          <w:sz w:val="16"/>
          <w:vertAlign w:val="baseline"/>
        </w:rPr>
        <w:t>Loss</w:t>
      </w:r>
      <w:r>
        <w:rPr>
          <w:color w:val="231F20"/>
          <w:spacing w:val="-24"/>
          <w:sz w:val="16"/>
          <w:vertAlign w:val="baseline"/>
        </w:rPr>
        <w:t> </w:t>
      </w:r>
      <w:r>
        <w:rPr>
          <w:color w:val="231F20"/>
          <w:sz w:val="16"/>
          <w:vertAlign w:val="baseline"/>
        </w:rPr>
        <w:t>Recog- nition Timeliness.” </w:t>
      </w:r>
      <w:r>
        <w:rPr>
          <w:i/>
          <w:color w:val="231F20"/>
          <w:sz w:val="16"/>
          <w:vertAlign w:val="baseline"/>
        </w:rPr>
        <w:t>Journal of Accounting and Economics </w:t>
      </w:r>
      <w:r>
        <w:rPr>
          <w:color w:val="231F20"/>
          <w:sz w:val="16"/>
          <w:vertAlign w:val="baseline"/>
        </w:rPr>
        <w:t>39 (2005):</w:t>
      </w:r>
      <w:r>
        <w:rPr>
          <w:color w:val="231F20"/>
          <w:spacing w:val="-10"/>
          <w:sz w:val="16"/>
          <w:vertAlign w:val="baseline"/>
        </w:rPr>
        <w:t> </w:t>
      </w:r>
      <w:r>
        <w:rPr>
          <w:color w:val="231F20"/>
          <w:sz w:val="16"/>
          <w:vertAlign w:val="baseline"/>
        </w:rPr>
        <w:t>83–128.</w:t>
      </w:r>
    </w:p>
    <w:p>
      <w:pPr>
        <w:spacing w:before="1"/>
        <w:ind w:left="692" w:right="149" w:hanging="160"/>
        <w:jc w:val="both"/>
        <w:rPr>
          <w:sz w:val="16"/>
        </w:rPr>
      </w:pPr>
      <w:r>
        <w:rPr>
          <w:color w:val="231F20"/>
          <w:sz w:val="16"/>
        </w:rPr>
        <w:t>B</w:t>
      </w:r>
      <w:r>
        <w:rPr>
          <w:color w:val="231F20"/>
          <w:sz w:val="16"/>
          <w:vertAlign w:val="subscript"/>
        </w:rPr>
        <w:t>ALL</w:t>
      </w:r>
      <w:r>
        <w:rPr>
          <w:color w:val="231F20"/>
          <w:sz w:val="16"/>
          <w:vertAlign w:val="baseline"/>
        </w:rPr>
        <w:t>, R., </w:t>
      </w:r>
      <w:r>
        <w:rPr>
          <w:color w:val="231F20"/>
          <w:sz w:val="16"/>
          <w:vertAlign w:val="subscript"/>
        </w:rPr>
        <w:t>AND</w:t>
      </w:r>
      <w:r>
        <w:rPr>
          <w:color w:val="231F20"/>
          <w:sz w:val="16"/>
          <w:vertAlign w:val="baseline"/>
        </w:rPr>
        <w:t> L. S</w:t>
      </w:r>
      <w:r>
        <w:rPr>
          <w:color w:val="231F20"/>
          <w:sz w:val="16"/>
          <w:vertAlign w:val="subscript"/>
        </w:rPr>
        <w:t>HIVAKUMAR</w:t>
      </w:r>
      <w:r>
        <w:rPr>
          <w:color w:val="231F20"/>
          <w:sz w:val="16"/>
          <w:vertAlign w:val="baseline"/>
        </w:rPr>
        <w:t>. “The Role of Accruals in Asymmetrically Timely Gain and Loss Recognition.” </w:t>
      </w:r>
      <w:r>
        <w:rPr>
          <w:i/>
          <w:color w:val="231F20"/>
          <w:sz w:val="16"/>
          <w:vertAlign w:val="baseline"/>
        </w:rPr>
        <w:t>Journal of Accounting Research </w:t>
      </w:r>
      <w:r>
        <w:rPr>
          <w:color w:val="231F20"/>
          <w:sz w:val="16"/>
          <w:vertAlign w:val="baseline"/>
        </w:rPr>
        <w:t>44 (2006): 207–42.</w:t>
      </w:r>
    </w:p>
    <w:p>
      <w:pPr>
        <w:spacing w:before="1"/>
        <w:ind w:left="692" w:right="149" w:hanging="160"/>
        <w:jc w:val="both"/>
        <w:rPr>
          <w:sz w:val="16"/>
        </w:rPr>
      </w:pPr>
      <w:r>
        <w:rPr>
          <w:color w:val="231F20"/>
          <w:sz w:val="16"/>
        </w:rPr>
        <w:t>B</w:t>
      </w:r>
      <w:r>
        <w:rPr>
          <w:color w:val="231F20"/>
          <w:sz w:val="16"/>
          <w:vertAlign w:val="subscript"/>
        </w:rPr>
        <w:t>ARONDES</w:t>
      </w:r>
      <w:r>
        <w:rPr>
          <w:color w:val="231F20"/>
          <w:sz w:val="16"/>
          <w:vertAlign w:val="baseline"/>
        </w:rPr>
        <w:t>,</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“Fiduciary</w:t>
      </w:r>
      <w:r>
        <w:rPr>
          <w:color w:val="231F20"/>
          <w:spacing w:val="-13"/>
          <w:sz w:val="16"/>
          <w:vertAlign w:val="baseline"/>
        </w:rPr>
        <w:t> </w:t>
      </w:r>
      <w:r>
        <w:rPr>
          <w:color w:val="231F20"/>
          <w:sz w:val="16"/>
          <w:vertAlign w:val="baseline"/>
        </w:rPr>
        <w:t>Duties</w:t>
      </w:r>
      <w:r>
        <w:rPr>
          <w:color w:val="231F20"/>
          <w:spacing w:val="-13"/>
          <w:sz w:val="16"/>
          <w:vertAlign w:val="baseline"/>
        </w:rPr>
        <w:t> </w:t>
      </w:r>
      <w:r>
        <w:rPr>
          <w:color w:val="231F20"/>
          <w:sz w:val="16"/>
          <w:vertAlign w:val="baseline"/>
        </w:rPr>
        <w:t>of</w:t>
      </w:r>
      <w:r>
        <w:rPr>
          <w:color w:val="231F20"/>
          <w:spacing w:val="-13"/>
          <w:sz w:val="16"/>
          <w:vertAlign w:val="baseline"/>
        </w:rPr>
        <w:t> </w:t>
      </w:r>
      <w:r>
        <w:rPr>
          <w:color w:val="231F20"/>
          <w:sz w:val="16"/>
          <w:vertAlign w:val="baseline"/>
        </w:rPr>
        <w:t>Officers</w:t>
      </w:r>
      <w:r>
        <w:rPr>
          <w:color w:val="231F20"/>
          <w:spacing w:val="-13"/>
          <w:sz w:val="16"/>
          <w:vertAlign w:val="baseline"/>
        </w:rPr>
        <w:t> </w:t>
      </w:r>
      <w:r>
        <w:rPr>
          <w:color w:val="231F20"/>
          <w:sz w:val="16"/>
          <w:vertAlign w:val="baseline"/>
        </w:rPr>
        <w:t>and</w:t>
      </w:r>
      <w:r>
        <w:rPr>
          <w:color w:val="231F20"/>
          <w:spacing w:val="-13"/>
          <w:sz w:val="16"/>
          <w:vertAlign w:val="baseline"/>
        </w:rPr>
        <w:t> </w:t>
      </w:r>
      <w:r>
        <w:rPr>
          <w:color w:val="231F20"/>
          <w:sz w:val="16"/>
          <w:vertAlign w:val="baseline"/>
        </w:rPr>
        <w:t>Directors</w:t>
      </w:r>
      <w:r>
        <w:rPr>
          <w:color w:val="231F20"/>
          <w:spacing w:val="-13"/>
          <w:sz w:val="16"/>
          <w:vertAlign w:val="baseline"/>
        </w:rPr>
        <w:t> </w:t>
      </w:r>
      <w:r>
        <w:rPr>
          <w:color w:val="231F20"/>
          <w:sz w:val="16"/>
          <w:vertAlign w:val="baseline"/>
        </w:rPr>
        <w:t>of</w:t>
      </w:r>
      <w:r>
        <w:rPr>
          <w:color w:val="231F20"/>
          <w:spacing w:val="-13"/>
          <w:sz w:val="16"/>
          <w:vertAlign w:val="baseline"/>
        </w:rPr>
        <w:t> </w:t>
      </w:r>
      <w:r>
        <w:rPr>
          <w:color w:val="231F20"/>
          <w:sz w:val="16"/>
          <w:vertAlign w:val="baseline"/>
        </w:rPr>
        <w:t>Distressed</w:t>
      </w:r>
      <w:r>
        <w:rPr>
          <w:color w:val="231F20"/>
          <w:spacing w:val="-13"/>
          <w:sz w:val="16"/>
          <w:vertAlign w:val="baseline"/>
        </w:rPr>
        <w:t> </w:t>
      </w:r>
      <w:r>
        <w:rPr>
          <w:color w:val="231F20"/>
          <w:sz w:val="16"/>
          <w:vertAlign w:val="baseline"/>
        </w:rPr>
        <w:t>Corporations.”</w:t>
      </w:r>
      <w:r>
        <w:rPr>
          <w:color w:val="231F20"/>
          <w:spacing w:val="-13"/>
          <w:sz w:val="16"/>
          <w:vertAlign w:val="baseline"/>
        </w:rPr>
        <w:t> </w:t>
      </w:r>
      <w:r>
        <w:rPr>
          <w:i/>
          <w:color w:val="231F20"/>
          <w:sz w:val="16"/>
          <w:vertAlign w:val="baseline"/>
        </w:rPr>
        <w:t>George </w:t>
      </w:r>
      <w:r>
        <w:rPr>
          <w:i/>
          <w:color w:val="231F20"/>
          <w:sz w:val="16"/>
          <w:vertAlign w:val="baseline"/>
        </w:rPr>
        <w:t>Mason Law Review </w:t>
      </w:r>
      <w:r>
        <w:rPr>
          <w:color w:val="231F20"/>
          <w:sz w:val="16"/>
          <w:vertAlign w:val="baseline"/>
        </w:rPr>
        <w:t>7 (1998):</w:t>
      </w:r>
      <w:r>
        <w:rPr>
          <w:color w:val="231F20"/>
          <w:spacing w:val="5"/>
          <w:sz w:val="16"/>
          <w:vertAlign w:val="baseline"/>
        </w:rPr>
        <w:t> </w:t>
      </w:r>
      <w:r>
        <w:rPr>
          <w:color w:val="231F20"/>
          <w:sz w:val="16"/>
          <w:vertAlign w:val="baseline"/>
        </w:rPr>
        <w:t>45–104.</w:t>
      </w:r>
    </w:p>
    <w:p>
      <w:pPr>
        <w:spacing w:before="1"/>
        <w:ind w:left="692" w:right="149" w:hanging="160"/>
        <w:jc w:val="both"/>
        <w:rPr>
          <w:sz w:val="16"/>
        </w:rPr>
      </w:pPr>
      <w:r>
        <w:rPr>
          <w:color w:val="231F20"/>
          <w:sz w:val="16"/>
        </w:rPr>
        <w:t>B</w:t>
      </w:r>
      <w:r>
        <w:rPr>
          <w:color w:val="231F20"/>
          <w:sz w:val="16"/>
          <w:vertAlign w:val="subscript"/>
        </w:rPr>
        <w:t>ASU</w:t>
      </w:r>
      <w:r>
        <w:rPr>
          <w:color w:val="231F20"/>
          <w:sz w:val="16"/>
          <w:vertAlign w:val="baseline"/>
        </w:rPr>
        <w:t>,</w:t>
      </w:r>
      <w:r>
        <w:rPr>
          <w:color w:val="231F20"/>
          <w:spacing w:val="-12"/>
          <w:sz w:val="16"/>
          <w:vertAlign w:val="baseline"/>
        </w:rPr>
        <w:t> </w:t>
      </w:r>
      <w:r>
        <w:rPr>
          <w:color w:val="231F20"/>
          <w:sz w:val="16"/>
          <w:vertAlign w:val="baseline"/>
        </w:rPr>
        <w:t>S.</w:t>
      </w:r>
      <w:r>
        <w:rPr>
          <w:color w:val="231F20"/>
          <w:spacing w:val="-12"/>
          <w:sz w:val="16"/>
          <w:vertAlign w:val="baseline"/>
        </w:rPr>
        <w:t> </w:t>
      </w:r>
      <w:r>
        <w:rPr>
          <w:color w:val="231F20"/>
          <w:sz w:val="16"/>
          <w:vertAlign w:val="baseline"/>
        </w:rPr>
        <w:t>“The</w:t>
      </w:r>
      <w:r>
        <w:rPr>
          <w:color w:val="231F20"/>
          <w:spacing w:val="-12"/>
          <w:sz w:val="16"/>
          <w:vertAlign w:val="baseline"/>
        </w:rPr>
        <w:t> </w:t>
      </w:r>
      <w:r>
        <w:rPr>
          <w:color w:val="231F20"/>
          <w:sz w:val="16"/>
          <w:vertAlign w:val="baseline"/>
        </w:rPr>
        <w:t>Conservatism</w:t>
      </w:r>
      <w:r>
        <w:rPr>
          <w:color w:val="231F20"/>
          <w:spacing w:val="-12"/>
          <w:sz w:val="16"/>
          <w:vertAlign w:val="baseline"/>
        </w:rPr>
        <w:t> </w:t>
      </w:r>
      <w:r>
        <w:rPr>
          <w:color w:val="231F20"/>
          <w:sz w:val="16"/>
          <w:vertAlign w:val="baseline"/>
        </w:rPr>
        <w:t>Principle</w:t>
      </w:r>
      <w:r>
        <w:rPr>
          <w:color w:val="231F20"/>
          <w:spacing w:val="-12"/>
          <w:sz w:val="16"/>
          <w:vertAlign w:val="baseline"/>
        </w:rPr>
        <w:t> </w:t>
      </w:r>
      <w:r>
        <w:rPr>
          <w:color w:val="231F20"/>
          <w:sz w:val="16"/>
          <w:vertAlign w:val="baseline"/>
        </w:rPr>
        <w:t>and</w:t>
      </w:r>
      <w:r>
        <w:rPr>
          <w:color w:val="231F20"/>
          <w:spacing w:val="-12"/>
          <w:sz w:val="16"/>
          <w:vertAlign w:val="baseline"/>
        </w:rPr>
        <w:t> </w:t>
      </w:r>
      <w:r>
        <w:rPr>
          <w:color w:val="231F20"/>
          <w:sz w:val="16"/>
          <w:vertAlign w:val="baseline"/>
        </w:rPr>
        <w:t>the</w:t>
      </w:r>
      <w:r>
        <w:rPr>
          <w:color w:val="231F20"/>
          <w:spacing w:val="-12"/>
          <w:sz w:val="16"/>
          <w:vertAlign w:val="baseline"/>
        </w:rPr>
        <w:t> </w:t>
      </w:r>
      <w:r>
        <w:rPr>
          <w:color w:val="231F20"/>
          <w:sz w:val="16"/>
          <w:vertAlign w:val="baseline"/>
        </w:rPr>
        <w:t>Asymmetric</w:t>
      </w:r>
      <w:r>
        <w:rPr>
          <w:color w:val="231F20"/>
          <w:spacing w:val="-12"/>
          <w:sz w:val="16"/>
          <w:vertAlign w:val="baseline"/>
        </w:rPr>
        <w:t> </w:t>
      </w:r>
      <w:r>
        <w:rPr>
          <w:color w:val="231F20"/>
          <w:sz w:val="16"/>
          <w:vertAlign w:val="baseline"/>
        </w:rPr>
        <w:t>Timeliness</w:t>
      </w:r>
      <w:r>
        <w:rPr>
          <w:color w:val="231F20"/>
          <w:spacing w:val="-12"/>
          <w:sz w:val="16"/>
          <w:vertAlign w:val="baseline"/>
        </w:rPr>
        <w:t> </w:t>
      </w:r>
      <w:r>
        <w:rPr>
          <w:color w:val="231F20"/>
          <w:sz w:val="16"/>
          <w:vertAlign w:val="baseline"/>
        </w:rPr>
        <w:t>of</w:t>
      </w:r>
      <w:r>
        <w:rPr>
          <w:color w:val="231F20"/>
          <w:spacing w:val="-12"/>
          <w:sz w:val="16"/>
          <w:vertAlign w:val="baseline"/>
        </w:rPr>
        <w:t> </w:t>
      </w:r>
      <w:r>
        <w:rPr>
          <w:color w:val="231F20"/>
          <w:sz w:val="16"/>
          <w:vertAlign w:val="baseline"/>
        </w:rPr>
        <w:t>Earnings.”</w:t>
      </w:r>
      <w:r>
        <w:rPr>
          <w:color w:val="231F20"/>
          <w:spacing w:val="-12"/>
          <w:sz w:val="16"/>
          <w:vertAlign w:val="baseline"/>
        </w:rPr>
        <w:t> </w:t>
      </w:r>
      <w:r>
        <w:rPr>
          <w:i/>
          <w:color w:val="231F20"/>
          <w:sz w:val="16"/>
          <w:vertAlign w:val="baseline"/>
        </w:rPr>
        <w:t>Journal</w:t>
      </w:r>
      <w:r>
        <w:rPr>
          <w:i/>
          <w:color w:val="231F20"/>
          <w:spacing w:val="-12"/>
          <w:sz w:val="16"/>
          <w:vertAlign w:val="baseline"/>
        </w:rPr>
        <w:t> </w:t>
      </w:r>
      <w:r>
        <w:rPr>
          <w:i/>
          <w:color w:val="231F20"/>
          <w:sz w:val="16"/>
          <w:vertAlign w:val="baseline"/>
        </w:rPr>
        <w:t>of </w:t>
      </w:r>
      <w:r>
        <w:rPr>
          <w:i/>
          <w:color w:val="231F20"/>
          <w:sz w:val="16"/>
          <w:vertAlign w:val="baseline"/>
        </w:rPr>
        <w:t>Accounting and Economics </w:t>
      </w:r>
      <w:r>
        <w:rPr>
          <w:color w:val="231F20"/>
          <w:sz w:val="16"/>
          <w:vertAlign w:val="baseline"/>
        </w:rPr>
        <w:t>24 (1997):</w:t>
      </w:r>
      <w:r>
        <w:rPr>
          <w:color w:val="231F20"/>
          <w:spacing w:val="1"/>
          <w:sz w:val="16"/>
          <w:vertAlign w:val="baseline"/>
        </w:rPr>
        <w:t> </w:t>
      </w:r>
      <w:r>
        <w:rPr>
          <w:color w:val="231F20"/>
          <w:sz w:val="16"/>
          <w:vertAlign w:val="baseline"/>
        </w:rPr>
        <w:t>3–37.</w:t>
      </w:r>
    </w:p>
    <w:p>
      <w:pPr>
        <w:spacing w:before="1"/>
        <w:ind w:left="532" w:right="0" w:firstLine="0"/>
        <w:jc w:val="left"/>
        <w:rPr>
          <w:i/>
          <w:sz w:val="16"/>
        </w:rPr>
      </w:pPr>
      <w:r>
        <w:rPr>
          <w:color w:val="231F20"/>
          <w:sz w:val="16"/>
        </w:rPr>
        <w:t>B</w:t>
      </w:r>
      <w:r>
        <w:rPr>
          <w:color w:val="231F20"/>
          <w:sz w:val="16"/>
          <w:vertAlign w:val="subscript"/>
        </w:rPr>
        <w:t>EATTY</w:t>
      </w:r>
      <w:r>
        <w:rPr>
          <w:color w:val="231F20"/>
          <w:sz w:val="16"/>
          <w:vertAlign w:val="baseline"/>
        </w:rPr>
        <w:t>, A.; J. W</w:t>
      </w:r>
      <w:r>
        <w:rPr>
          <w:color w:val="231F20"/>
          <w:sz w:val="16"/>
          <w:vertAlign w:val="subscript"/>
        </w:rPr>
        <w:t>EBER</w:t>
      </w:r>
      <w:r>
        <w:rPr>
          <w:color w:val="231F20"/>
          <w:sz w:val="16"/>
          <w:vertAlign w:val="baseline"/>
        </w:rPr>
        <w:t>; </w:t>
      </w:r>
      <w:r>
        <w:rPr>
          <w:color w:val="231F20"/>
          <w:sz w:val="16"/>
          <w:vertAlign w:val="subscript"/>
        </w:rPr>
        <w:t>AND</w:t>
      </w:r>
      <w:r>
        <w:rPr>
          <w:color w:val="231F20"/>
          <w:sz w:val="16"/>
          <w:vertAlign w:val="baseline"/>
        </w:rPr>
        <w:t> J. Y</w:t>
      </w:r>
      <w:r>
        <w:rPr>
          <w:color w:val="231F20"/>
          <w:sz w:val="16"/>
          <w:vertAlign w:val="subscript"/>
        </w:rPr>
        <w:t>U</w:t>
      </w:r>
      <w:r>
        <w:rPr>
          <w:color w:val="231F20"/>
          <w:sz w:val="16"/>
          <w:vertAlign w:val="baseline"/>
        </w:rPr>
        <w:t>. “Conservatism and Debt.” </w:t>
      </w:r>
      <w:r>
        <w:rPr>
          <w:i/>
          <w:color w:val="231F20"/>
          <w:sz w:val="16"/>
          <w:vertAlign w:val="baseline"/>
        </w:rPr>
        <w:t>Journal of Accounting and Economics</w:t>
      </w:r>
    </w:p>
    <w:p>
      <w:pPr>
        <w:spacing w:before="0"/>
        <w:ind w:left="692" w:right="0" w:firstLine="0"/>
        <w:jc w:val="left"/>
        <w:rPr>
          <w:sz w:val="16"/>
        </w:rPr>
      </w:pPr>
      <w:r>
        <w:rPr>
          <w:color w:val="231F20"/>
          <w:w w:val="105"/>
          <w:sz w:val="16"/>
        </w:rPr>
        <w:t>45 (2008): 154–74.</w:t>
      </w:r>
    </w:p>
    <w:p>
      <w:pPr>
        <w:spacing w:before="1"/>
        <w:ind w:left="692" w:right="149" w:hanging="160"/>
        <w:jc w:val="both"/>
        <w:rPr>
          <w:sz w:val="16"/>
        </w:rPr>
      </w:pPr>
      <w:r>
        <w:rPr>
          <w:color w:val="231F20"/>
          <w:sz w:val="16"/>
        </w:rPr>
        <w:t>B</w:t>
      </w:r>
      <w:r>
        <w:rPr>
          <w:color w:val="231F20"/>
          <w:sz w:val="16"/>
          <w:vertAlign w:val="subscript"/>
        </w:rPr>
        <w:t>EAVER</w:t>
      </w:r>
      <w:r>
        <w:rPr>
          <w:color w:val="231F20"/>
          <w:sz w:val="16"/>
          <w:vertAlign w:val="baseline"/>
        </w:rPr>
        <w:t>,</w:t>
      </w:r>
      <w:r>
        <w:rPr>
          <w:color w:val="231F20"/>
          <w:spacing w:val="-17"/>
          <w:sz w:val="16"/>
          <w:vertAlign w:val="baseline"/>
        </w:rPr>
        <w:t> </w:t>
      </w:r>
      <w:r>
        <w:rPr>
          <w:color w:val="231F20"/>
          <w:spacing w:val="-4"/>
          <w:sz w:val="16"/>
          <w:vertAlign w:val="baseline"/>
        </w:rPr>
        <w:t>W.,</w:t>
      </w:r>
      <w:r>
        <w:rPr>
          <w:color w:val="231F20"/>
          <w:spacing w:val="-17"/>
          <w:sz w:val="16"/>
          <w:vertAlign w:val="baseline"/>
        </w:rPr>
        <w:t> </w:t>
      </w:r>
      <w:r>
        <w:rPr>
          <w:color w:val="231F20"/>
          <w:sz w:val="16"/>
          <w:vertAlign w:val="subscript"/>
        </w:rPr>
        <w:t>AND</w:t>
      </w:r>
      <w:r>
        <w:rPr>
          <w:color w:val="231F20"/>
          <w:spacing w:val="-21"/>
          <w:sz w:val="16"/>
          <w:vertAlign w:val="baseline"/>
        </w:rPr>
        <w:t> </w:t>
      </w:r>
      <w:r>
        <w:rPr>
          <w:color w:val="231F20"/>
          <w:sz w:val="16"/>
          <w:vertAlign w:val="baseline"/>
        </w:rPr>
        <w:t>S.</w:t>
      </w:r>
      <w:r>
        <w:rPr>
          <w:color w:val="231F20"/>
          <w:spacing w:val="-17"/>
          <w:sz w:val="16"/>
          <w:vertAlign w:val="baseline"/>
        </w:rPr>
        <w:t> </w:t>
      </w:r>
      <w:r>
        <w:rPr>
          <w:color w:val="231F20"/>
          <w:sz w:val="16"/>
          <w:vertAlign w:val="baseline"/>
        </w:rPr>
        <w:t>R</w:t>
      </w:r>
      <w:r>
        <w:rPr>
          <w:color w:val="231F20"/>
          <w:sz w:val="16"/>
          <w:vertAlign w:val="subscript"/>
        </w:rPr>
        <w:t>YAN</w:t>
      </w:r>
      <w:r>
        <w:rPr>
          <w:color w:val="231F20"/>
          <w:sz w:val="16"/>
          <w:vertAlign w:val="baseline"/>
        </w:rPr>
        <w:t>.</w:t>
      </w:r>
      <w:r>
        <w:rPr>
          <w:color w:val="231F20"/>
          <w:spacing w:val="-17"/>
          <w:sz w:val="16"/>
          <w:vertAlign w:val="baseline"/>
        </w:rPr>
        <w:t> </w:t>
      </w:r>
      <w:r>
        <w:rPr>
          <w:color w:val="231F20"/>
          <w:sz w:val="16"/>
          <w:vertAlign w:val="baseline"/>
        </w:rPr>
        <w:t>“Conditional</w:t>
      </w:r>
      <w:r>
        <w:rPr>
          <w:color w:val="231F20"/>
          <w:spacing w:val="-17"/>
          <w:sz w:val="16"/>
          <w:vertAlign w:val="baseline"/>
        </w:rPr>
        <w:t> </w:t>
      </w:r>
      <w:r>
        <w:rPr>
          <w:color w:val="231F20"/>
          <w:sz w:val="16"/>
          <w:vertAlign w:val="baseline"/>
        </w:rPr>
        <w:t>and</w:t>
      </w:r>
      <w:r>
        <w:rPr>
          <w:color w:val="231F20"/>
          <w:spacing w:val="-17"/>
          <w:sz w:val="16"/>
          <w:vertAlign w:val="baseline"/>
        </w:rPr>
        <w:t> </w:t>
      </w:r>
      <w:r>
        <w:rPr>
          <w:color w:val="231F20"/>
          <w:sz w:val="16"/>
          <w:vertAlign w:val="baseline"/>
        </w:rPr>
        <w:t>Unconditional</w:t>
      </w:r>
      <w:r>
        <w:rPr>
          <w:color w:val="231F20"/>
          <w:spacing w:val="-16"/>
          <w:sz w:val="16"/>
          <w:vertAlign w:val="baseline"/>
        </w:rPr>
        <w:t> </w:t>
      </w:r>
      <w:r>
        <w:rPr>
          <w:color w:val="231F20"/>
          <w:sz w:val="16"/>
          <w:vertAlign w:val="baseline"/>
        </w:rPr>
        <w:t>Conservatism:</w:t>
      </w:r>
      <w:r>
        <w:rPr>
          <w:color w:val="231F20"/>
          <w:spacing w:val="-17"/>
          <w:sz w:val="16"/>
          <w:vertAlign w:val="baseline"/>
        </w:rPr>
        <w:t> </w:t>
      </w:r>
      <w:r>
        <w:rPr>
          <w:color w:val="231F20"/>
          <w:sz w:val="16"/>
          <w:vertAlign w:val="baseline"/>
        </w:rPr>
        <w:t>Concepts</w:t>
      </w:r>
      <w:r>
        <w:rPr>
          <w:color w:val="231F20"/>
          <w:spacing w:val="-17"/>
          <w:sz w:val="16"/>
          <w:vertAlign w:val="baseline"/>
        </w:rPr>
        <w:t> </w:t>
      </w:r>
      <w:r>
        <w:rPr>
          <w:color w:val="231F20"/>
          <w:sz w:val="16"/>
          <w:vertAlign w:val="baseline"/>
        </w:rPr>
        <w:t>and</w:t>
      </w:r>
      <w:r>
        <w:rPr>
          <w:color w:val="231F20"/>
          <w:spacing w:val="-17"/>
          <w:sz w:val="16"/>
          <w:vertAlign w:val="baseline"/>
        </w:rPr>
        <w:t> </w:t>
      </w:r>
      <w:r>
        <w:rPr>
          <w:color w:val="231F20"/>
          <w:sz w:val="16"/>
          <w:vertAlign w:val="baseline"/>
        </w:rPr>
        <w:t>Mod- eling.” </w:t>
      </w:r>
      <w:r>
        <w:rPr>
          <w:i/>
          <w:color w:val="231F20"/>
          <w:sz w:val="16"/>
          <w:vertAlign w:val="baseline"/>
        </w:rPr>
        <w:t>Review of Accounting Studies </w:t>
      </w:r>
      <w:r>
        <w:rPr>
          <w:color w:val="231F20"/>
          <w:sz w:val="16"/>
          <w:vertAlign w:val="baseline"/>
        </w:rPr>
        <w:t>10 (2005):</w:t>
      </w:r>
      <w:r>
        <w:rPr>
          <w:color w:val="231F20"/>
          <w:spacing w:val="-3"/>
          <w:sz w:val="16"/>
          <w:vertAlign w:val="baseline"/>
        </w:rPr>
        <w:t> </w:t>
      </w:r>
      <w:r>
        <w:rPr>
          <w:color w:val="231F20"/>
          <w:sz w:val="16"/>
          <w:vertAlign w:val="baseline"/>
        </w:rPr>
        <w:t>269–309.</w:t>
      </w:r>
    </w:p>
    <w:p>
      <w:pPr>
        <w:spacing w:before="0"/>
        <w:ind w:left="692" w:right="149" w:hanging="160"/>
        <w:jc w:val="both"/>
        <w:rPr>
          <w:sz w:val="16"/>
        </w:rPr>
      </w:pPr>
      <w:r>
        <w:rPr>
          <w:color w:val="231F20"/>
          <w:sz w:val="16"/>
        </w:rPr>
        <w:t>B</w:t>
      </w:r>
      <w:r>
        <w:rPr>
          <w:color w:val="231F20"/>
          <w:sz w:val="16"/>
          <w:vertAlign w:val="subscript"/>
        </w:rPr>
        <w:t>EBCHUK</w:t>
      </w:r>
      <w:r>
        <w:rPr>
          <w:color w:val="231F20"/>
          <w:sz w:val="16"/>
          <w:vertAlign w:val="baseline"/>
        </w:rPr>
        <w:t>, L., </w:t>
      </w:r>
      <w:r>
        <w:rPr>
          <w:color w:val="231F20"/>
          <w:sz w:val="16"/>
          <w:vertAlign w:val="subscript"/>
        </w:rPr>
        <w:t>AND</w:t>
      </w:r>
      <w:r>
        <w:rPr>
          <w:color w:val="231F20"/>
          <w:sz w:val="16"/>
          <w:vertAlign w:val="baseline"/>
        </w:rPr>
        <w:t> A. C</w:t>
      </w:r>
      <w:r>
        <w:rPr>
          <w:color w:val="231F20"/>
          <w:sz w:val="16"/>
          <w:vertAlign w:val="subscript"/>
        </w:rPr>
        <w:t>OHEN</w:t>
      </w:r>
      <w:r>
        <w:rPr>
          <w:color w:val="231F20"/>
          <w:sz w:val="16"/>
          <w:vertAlign w:val="baseline"/>
        </w:rPr>
        <w:t>. “Firms’ Decisions Where to Incorporate.” </w:t>
      </w:r>
      <w:r>
        <w:rPr>
          <w:i/>
          <w:color w:val="231F20"/>
          <w:sz w:val="16"/>
          <w:vertAlign w:val="baseline"/>
        </w:rPr>
        <w:t>Journal of Law and </w:t>
      </w:r>
      <w:r>
        <w:rPr>
          <w:i/>
          <w:color w:val="231F20"/>
          <w:sz w:val="16"/>
          <w:vertAlign w:val="baseline"/>
        </w:rPr>
        <w:t>Economics </w:t>
      </w:r>
      <w:r>
        <w:rPr>
          <w:color w:val="231F20"/>
          <w:sz w:val="16"/>
          <w:vertAlign w:val="baseline"/>
        </w:rPr>
        <w:t>46 (2003): 383–425.</w:t>
      </w:r>
    </w:p>
    <w:p>
      <w:pPr>
        <w:spacing w:before="1"/>
        <w:ind w:left="692" w:right="149" w:hanging="160"/>
        <w:jc w:val="both"/>
        <w:rPr>
          <w:sz w:val="16"/>
        </w:rPr>
      </w:pPr>
      <w:r>
        <w:rPr>
          <w:color w:val="231F20"/>
          <w:sz w:val="16"/>
        </w:rPr>
        <w:t>B</w:t>
      </w:r>
      <w:r>
        <w:rPr>
          <w:color w:val="231F20"/>
          <w:sz w:val="16"/>
          <w:vertAlign w:val="subscript"/>
        </w:rPr>
        <w:t>ECKER</w:t>
      </w:r>
      <w:r>
        <w:rPr>
          <w:color w:val="231F20"/>
          <w:sz w:val="16"/>
          <w:vertAlign w:val="baseline"/>
        </w:rPr>
        <w:t>, B., </w:t>
      </w:r>
      <w:r>
        <w:rPr>
          <w:color w:val="231F20"/>
          <w:sz w:val="16"/>
          <w:vertAlign w:val="subscript"/>
        </w:rPr>
        <w:t>AND</w:t>
      </w:r>
      <w:r>
        <w:rPr>
          <w:color w:val="231F20"/>
          <w:sz w:val="16"/>
          <w:vertAlign w:val="baseline"/>
        </w:rPr>
        <w:t> P. S</w:t>
      </w:r>
      <w:r>
        <w:rPr>
          <w:color w:val="231F20"/>
          <w:sz w:val="16"/>
          <w:vertAlign w:val="subscript"/>
        </w:rPr>
        <w:t>TROMBERG</w:t>
      </w:r>
      <w:r>
        <w:rPr>
          <w:color w:val="231F20"/>
          <w:sz w:val="16"/>
          <w:vertAlign w:val="baseline"/>
        </w:rPr>
        <w:t>. “Fiduciary Duties and Equity-Debtholder Conflicts.” </w:t>
      </w:r>
      <w:r>
        <w:rPr>
          <w:i/>
          <w:color w:val="231F20"/>
          <w:sz w:val="16"/>
          <w:vertAlign w:val="baseline"/>
        </w:rPr>
        <w:t>Review of </w:t>
      </w:r>
      <w:r>
        <w:rPr>
          <w:i/>
          <w:color w:val="231F20"/>
          <w:sz w:val="16"/>
          <w:vertAlign w:val="baseline"/>
        </w:rPr>
        <w:t>Financial Studies </w:t>
      </w:r>
      <w:r>
        <w:rPr>
          <w:color w:val="231F20"/>
          <w:sz w:val="16"/>
          <w:vertAlign w:val="baseline"/>
        </w:rPr>
        <w:t>25 (2012): 1931–69.</w:t>
      </w:r>
    </w:p>
    <w:p>
      <w:pPr>
        <w:spacing w:before="1"/>
        <w:ind w:left="692" w:right="149" w:hanging="160"/>
        <w:jc w:val="both"/>
        <w:rPr>
          <w:sz w:val="16"/>
        </w:rPr>
      </w:pPr>
      <w:r>
        <w:rPr>
          <w:color w:val="231F20"/>
          <w:sz w:val="16"/>
        </w:rPr>
        <w:t>B</w:t>
      </w:r>
      <w:r>
        <w:rPr>
          <w:color w:val="231F20"/>
          <w:sz w:val="16"/>
          <w:vertAlign w:val="subscript"/>
        </w:rPr>
        <w:t>USHMAN</w:t>
      </w:r>
      <w:r>
        <w:rPr>
          <w:color w:val="231F20"/>
          <w:sz w:val="16"/>
          <w:vertAlign w:val="baseline"/>
        </w:rPr>
        <w:t>, R. M., </w:t>
      </w:r>
      <w:r>
        <w:rPr>
          <w:color w:val="231F20"/>
          <w:sz w:val="16"/>
          <w:vertAlign w:val="subscript"/>
        </w:rPr>
        <w:t>AND</w:t>
      </w:r>
      <w:r>
        <w:rPr>
          <w:color w:val="231F20"/>
          <w:sz w:val="16"/>
          <w:vertAlign w:val="baseline"/>
        </w:rPr>
        <w:t> J. P</w:t>
      </w:r>
      <w:r>
        <w:rPr>
          <w:color w:val="231F20"/>
          <w:sz w:val="16"/>
          <w:vertAlign w:val="subscript"/>
        </w:rPr>
        <w:t>IOTROSKI</w:t>
      </w:r>
      <w:r>
        <w:rPr>
          <w:color w:val="231F20"/>
          <w:sz w:val="16"/>
          <w:vertAlign w:val="baseline"/>
        </w:rPr>
        <w:t>. “Financial Reporting Incentives for Conservative Account- ing:</w:t>
      </w:r>
      <w:r>
        <w:rPr>
          <w:color w:val="231F20"/>
          <w:spacing w:val="-16"/>
          <w:sz w:val="16"/>
          <w:vertAlign w:val="baseline"/>
        </w:rPr>
        <w:t> </w:t>
      </w:r>
      <w:r>
        <w:rPr>
          <w:color w:val="231F20"/>
          <w:sz w:val="16"/>
          <w:vertAlign w:val="baseline"/>
        </w:rPr>
        <w:t>The</w:t>
      </w:r>
      <w:r>
        <w:rPr>
          <w:color w:val="231F20"/>
          <w:spacing w:val="-16"/>
          <w:sz w:val="16"/>
          <w:vertAlign w:val="baseline"/>
        </w:rPr>
        <w:t> </w:t>
      </w:r>
      <w:r>
        <w:rPr>
          <w:color w:val="231F20"/>
          <w:sz w:val="16"/>
          <w:vertAlign w:val="baseline"/>
        </w:rPr>
        <w:t>Influence</w:t>
      </w:r>
      <w:r>
        <w:rPr>
          <w:color w:val="231F20"/>
          <w:spacing w:val="-16"/>
          <w:sz w:val="16"/>
          <w:vertAlign w:val="baseline"/>
        </w:rPr>
        <w:t> </w:t>
      </w:r>
      <w:r>
        <w:rPr>
          <w:color w:val="231F20"/>
          <w:sz w:val="16"/>
          <w:vertAlign w:val="baseline"/>
        </w:rPr>
        <w:t>of</w:t>
      </w:r>
      <w:r>
        <w:rPr>
          <w:color w:val="231F20"/>
          <w:spacing w:val="-16"/>
          <w:sz w:val="16"/>
          <w:vertAlign w:val="baseline"/>
        </w:rPr>
        <w:t> </w:t>
      </w:r>
      <w:r>
        <w:rPr>
          <w:color w:val="231F20"/>
          <w:sz w:val="16"/>
          <w:vertAlign w:val="baseline"/>
        </w:rPr>
        <w:t>Legal</w:t>
      </w:r>
      <w:r>
        <w:rPr>
          <w:color w:val="231F20"/>
          <w:spacing w:val="-16"/>
          <w:sz w:val="16"/>
          <w:vertAlign w:val="baseline"/>
        </w:rPr>
        <w:t> </w:t>
      </w:r>
      <w:r>
        <w:rPr>
          <w:color w:val="231F20"/>
          <w:sz w:val="16"/>
          <w:vertAlign w:val="baseline"/>
        </w:rPr>
        <w:t>and</w:t>
      </w:r>
      <w:r>
        <w:rPr>
          <w:color w:val="231F20"/>
          <w:spacing w:val="-16"/>
          <w:sz w:val="16"/>
          <w:vertAlign w:val="baseline"/>
        </w:rPr>
        <w:t> </w:t>
      </w:r>
      <w:r>
        <w:rPr>
          <w:color w:val="231F20"/>
          <w:sz w:val="16"/>
          <w:vertAlign w:val="baseline"/>
        </w:rPr>
        <w:t>Political</w:t>
      </w:r>
      <w:r>
        <w:rPr>
          <w:color w:val="231F20"/>
          <w:spacing w:val="-16"/>
          <w:sz w:val="16"/>
          <w:vertAlign w:val="baseline"/>
        </w:rPr>
        <w:t> </w:t>
      </w:r>
      <w:r>
        <w:rPr>
          <w:color w:val="231F20"/>
          <w:sz w:val="16"/>
          <w:vertAlign w:val="baseline"/>
        </w:rPr>
        <w:t>Institutions.”</w:t>
      </w:r>
      <w:r>
        <w:rPr>
          <w:color w:val="231F20"/>
          <w:spacing w:val="-16"/>
          <w:sz w:val="16"/>
          <w:vertAlign w:val="baseline"/>
        </w:rPr>
        <w:t> </w:t>
      </w:r>
      <w:r>
        <w:rPr>
          <w:i/>
          <w:color w:val="231F20"/>
          <w:sz w:val="16"/>
          <w:vertAlign w:val="baseline"/>
        </w:rPr>
        <w:t>Journal</w:t>
      </w:r>
      <w:r>
        <w:rPr>
          <w:i/>
          <w:color w:val="231F20"/>
          <w:spacing w:val="-16"/>
          <w:sz w:val="16"/>
          <w:vertAlign w:val="baseline"/>
        </w:rPr>
        <w:t> </w:t>
      </w:r>
      <w:r>
        <w:rPr>
          <w:i/>
          <w:color w:val="231F20"/>
          <w:sz w:val="16"/>
          <w:vertAlign w:val="baseline"/>
        </w:rPr>
        <w:t>of</w:t>
      </w:r>
      <w:r>
        <w:rPr>
          <w:i/>
          <w:color w:val="231F20"/>
          <w:spacing w:val="-16"/>
          <w:sz w:val="16"/>
          <w:vertAlign w:val="baseline"/>
        </w:rPr>
        <w:t> </w:t>
      </w:r>
      <w:r>
        <w:rPr>
          <w:i/>
          <w:color w:val="231F20"/>
          <w:sz w:val="16"/>
          <w:vertAlign w:val="baseline"/>
        </w:rPr>
        <w:t>Accounting</w:t>
      </w:r>
      <w:r>
        <w:rPr>
          <w:i/>
          <w:color w:val="231F20"/>
          <w:spacing w:val="-16"/>
          <w:sz w:val="16"/>
          <w:vertAlign w:val="baseline"/>
        </w:rPr>
        <w:t> </w:t>
      </w:r>
      <w:r>
        <w:rPr>
          <w:i/>
          <w:color w:val="231F20"/>
          <w:sz w:val="16"/>
          <w:vertAlign w:val="baseline"/>
        </w:rPr>
        <w:t>and</w:t>
      </w:r>
      <w:r>
        <w:rPr>
          <w:i/>
          <w:color w:val="231F20"/>
          <w:spacing w:val="-16"/>
          <w:sz w:val="16"/>
          <w:vertAlign w:val="baseline"/>
        </w:rPr>
        <w:t> </w:t>
      </w:r>
      <w:r>
        <w:rPr>
          <w:i/>
          <w:color w:val="231F20"/>
          <w:sz w:val="16"/>
          <w:vertAlign w:val="baseline"/>
        </w:rPr>
        <w:t>Economics</w:t>
      </w:r>
      <w:r>
        <w:rPr>
          <w:i/>
          <w:color w:val="231F20"/>
          <w:spacing w:val="-16"/>
          <w:sz w:val="16"/>
          <w:vertAlign w:val="baseline"/>
        </w:rPr>
        <w:t> </w:t>
      </w:r>
      <w:r>
        <w:rPr>
          <w:color w:val="231F20"/>
          <w:sz w:val="16"/>
          <w:vertAlign w:val="baseline"/>
        </w:rPr>
        <w:t>42 (2006):</w:t>
      </w:r>
      <w:r>
        <w:rPr>
          <w:color w:val="231F20"/>
          <w:spacing w:val="0"/>
          <w:sz w:val="16"/>
          <w:vertAlign w:val="baseline"/>
        </w:rPr>
        <w:t> </w:t>
      </w:r>
      <w:r>
        <w:rPr>
          <w:color w:val="231F20"/>
          <w:sz w:val="16"/>
          <w:vertAlign w:val="baseline"/>
        </w:rPr>
        <w:t>107–48.</w:t>
      </w:r>
    </w:p>
    <w:p>
      <w:pPr>
        <w:spacing w:before="1"/>
        <w:ind w:left="692" w:right="149" w:hanging="160"/>
        <w:jc w:val="both"/>
        <w:rPr>
          <w:sz w:val="16"/>
        </w:rPr>
      </w:pPr>
      <w:r>
        <w:rPr>
          <w:color w:val="231F20"/>
          <w:sz w:val="16"/>
        </w:rPr>
        <w:t>C</w:t>
      </w:r>
      <w:r>
        <w:rPr>
          <w:color w:val="231F20"/>
          <w:sz w:val="16"/>
          <w:vertAlign w:val="subscript"/>
        </w:rPr>
        <w:t>ALLEN</w:t>
      </w:r>
      <w:r>
        <w:rPr>
          <w:color w:val="231F20"/>
          <w:sz w:val="16"/>
          <w:vertAlign w:val="baseline"/>
        </w:rPr>
        <w:t>, J.; D. S</w:t>
      </w:r>
      <w:r>
        <w:rPr>
          <w:color w:val="231F20"/>
          <w:sz w:val="16"/>
          <w:vertAlign w:val="subscript"/>
        </w:rPr>
        <w:t>EGAL</w:t>
      </w:r>
      <w:r>
        <w:rPr>
          <w:color w:val="231F20"/>
          <w:sz w:val="16"/>
          <w:vertAlign w:val="baseline"/>
        </w:rPr>
        <w:t>; </w:t>
      </w:r>
      <w:r>
        <w:rPr>
          <w:color w:val="231F20"/>
          <w:sz w:val="16"/>
          <w:vertAlign w:val="subscript"/>
        </w:rPr>
        <w:t>AND</w:t>
      </w:r>
      <w:r>
        <w:rPr>
          <w:color w:val="231F20"/>
          <w:sz w:val="16"/>
          <w:vertAlign w:val="baseline"/>
        </w:rPr>
        <w:t> O. H</w:t>
      </w:r>
      <w:r>
        <w:rPr>
          <w:color w:val="231F20"/>
          <w:sz w:val="16"/>
          <w:vertAlign w:val="subscript"/>
        </w:rPr>
        <w:t>OPE</w:t>
      </w:r>
      <w:r>
        <w:rPr>
          <w:color w:val="231F20"/>
          <w:sz w:val="16"/>
          <w:vertAlign w:val="baseline"/>
        </w:rPr>
        <w:t>. “The Pricing of Conservative Accounting and the Mea- surement of Conservatism at the Firm-Year Level.” </w:t>
      </w:r>
      <w:r>
        <w:rPr>
          <w:i/>
          <w:color w:val="231F20"/>
          <w:sz w:val="16"/>
          <w:vertAlign w:val="baseline"/>
        </w:rPr>
        <w:t>Review of Accounting Studies </w:t>
      </w:r>
      <w:r>
        <w:rPr>
          <w:color w:val="231F20"/>
          <w:sz w:val="16"/>
          <w:vertAlign w:val="baseline"/>
        </w:rPr>
        <w:t>15</w:t>
      </w:r>
      <w:r>
        <w:rPr>
          <w:color w:val="231F20"/>
          <w:spacing w:val="-18"/>
          <w:sz w:val="16"/>
          <w:vertAlign w:val="baseline"/>
        </w:rPr>
        <w:t> </w:t>
      </w:r>
      <w:r>
        <w:rPr>
          <w:color w:val="231F20"/>
          <w:sz w:val="16"/>
          <w:vertAlign w:val="baseline"/>
        </w:rPr>
        <w:t>(2010): 145–78.</w:t>
      </w:r>
    </w:p>
    <w:p>
      <w:pPr>
        <w:spacing w:before="2"/>
        <w:ind w:left="692" w:right="149" w:hanging="160"/>
        <w:jc w:val="both"/>
        <w:rPr>
          <w:sz w:val="16"/>
        </w:rPr>
      </w:pPr>
      <w:r>
        <w:rPr>
          <w:color w:val="231F20"/>
          <w:sz w:val="16"/>
        </w:rPr>
        <w:t>C</w:t>
      </w:r>
      <w:r>
        <w:rPr>
          <w:color w:val="231F20"/>
          <w:sz w:val="16"/>
          <w:vertAlign w:val="subscript"/>
        </w:rPr>
        <w:t>HAVA</w:t>
      </w:r>
      <w:r>
        <w:rPr>
          <w:color w:val="231F20"/>
          <w:sz w:val="16"/>
          <w:vertAlign w:val="baseline"/>
        </w:rPr>
        <w:t>, S., </w:t>
      </w:r>
      <w:r>
        <w:rPr>
          <w:color w:val="231F20"/>
          <w:sz w:val="16"/>
          <w:vertAlign w:val="subscript"/>
        </w:rPr>
        <w:t>AND</w:t>
      </w:r>
      <w:r>
        <w:rPr>
          <w:color w:val="231F20"/>
          <w:sz w:val="16"/>
          <w:vertAlign w:val="baseline"/>
        </w:rPr>
        <w:t> M. R</w:t>
      </w:r>
      <w:r>
        <w:rPr>
          <w:color w:val="231F20"/>
          <w:sz w:val="16"/>
          <w:vertAlign w:val="subscript"/>
        </w:rPr>
        <w:t>OBERTS</w:t>
      </w:r>
      <w:r>
        <w:rPr>
          <w:color w:val="231F20"/>
          <w:sz w:val="16"/>
          <w:vertAlign w:val="baseline"/>
        </w:rPr>
        <w:t>. “How Does Financing Impact Investment? The Role of Debt Covenants.” </w:t>
      </w:r>
      <w:r>
        <w:rPr>
          <w:i/>
          <w:color w:val="231F20"/>
          <w:sz w:val="16"/>
          <w:vertAlign w:val="baseline"/>
        </w:rPr>
        <w:t>Journal of Finance </w:t>
      </w:r>
      <w:r>
        <w:rPr>
          <w:color w:val="231F20"/>
          <w:sz w:val="16"/>
          <w:vertAlign w:val="baseline"/>
        </w:rPr>
        <w:t>63 (2008): 2085–2121.</w:t>
      </w:r>
    </w:p>
    <w:p>
      <w:pPr>
        <w:spacing w:before="1"/>
        <w:ind w:left="532" w:right="0" w:firstLine="0"/>
        <w:jc w:val="left"/>
        <w:rPr>
          <w:sz w:val="16"/>
        </w:rPr>
      </w:pPr>
      <w:r>
        <w:rPr>
          <w:color w:val="231F20"/>
          <w:sz w:val="16"/>
        </w:rPr>
        <w:t>C</w:t>
      </w:r>
      <w:r>
        <w:rPr>
          <w:color w:val="231F20"/>
          <w:sz w:val="16"/>
          <w:vertAlign w:val="subscript"/>
        </w:rPr>
        <w:t>OHEN</w:t>
      </w:r>
      <w:r>
        <w:rPr>
          <w:color w:val="231F20"/>
          <w:sz w:val="16"/>
          <w:vertAlign w:val="baseline"/>
        </w:rPr>
        <w:t>, J.; U. H</w:t>
      </w:r>
      <w:r>
        <w:rPr>
          <w:color w:val="231F20"/>
          <w:sz w:val="16"/>
          <w:vertAlign w:val="subscript"/>
        </w:rPr>
        <w:t>OITASH</w:t>
      </w:r>
      <w:r>
        <w:rPr>
          <w:color w:val="231F20"/>
          <w:sz w:val="16"/>
          <w:vertAlign w:val="baseline"/>
        </w:rPr>
        <w:t>; G. K</w:t>
      </w:r>
      <w:r>
        <w:rPr>
          <w:color w:val="231F20"/>
          <w:sz w:val="16"/>
          <w:vertAlign w:val="subscript"/>
        </w:rPr>
        <w:t>RISHNAMOORTHY</w:t>
      </w:r>
      <w:r>
        <w:rPr>
          <w:color w:val="231F20"/>
          <w:sz w:val="16"/>
          <w:vertAlign w:val="baseline"/>
        </w:rPr>
        <w:t>; </w:t>
      </w:r>
      <w:r>
        <w:rPr>
          <w:color w:val="231F20"/>
          <w:sz w:val="16"/>
          <w:vertAlign w:val="subscript"/>
        </w:rPr>
        <w:t>AND</w:t>
      </w:r>
      <w:r>
        <w:rPr>
          <w:color w:val="231F20"/>
          <w:sz w:val="16"/>
          <w:vertAlign w:val="baseline"/>
        </w:rPr>
        <w:t> A. W</w:t>
      </w:r>
      <w:r>
        <w:rPr>
          <w:color w:val="231F20"/>
          <w:sz w:val="16"/>
          <w:vertAlign w:val="subscript"/>
        </w:rPr>
        <w:t>RIGHT</w:t>
      </w:r>
      <w:r>
        <w:rPr>
          <w:color w:val="231F20"/>
          <w:sz w:val="16"/>
          <w:vertAlign w:val="baseline"/>
        </w:rPr>
        <w:t>. “The Effect of Audit Committee</w:t>
      </w:r>
    </w:p>
    <w:p>
      <w:pPr>
        <w:spacing w:before="0"/>
        <w:ind w:left="692" w:right="0" w:firstLine="0"/>
        <w:jc w:val="both"/>
        <w:rPr>
          <w:i/>
          <w:sz w:val="16"/>
        </w:rPr>
      </w:pPr>
      <w:r>
        <w:rPr>
          <w:color w:val="231F20"/>
          <w:sz w:val="16"/>
        </w:rPr>
        <w:t>Industry Expertise on Monitoring the Financial Reporting Process.” </w:t>
      </w:r>
      <w:r>
        <w:rPr>
          <w:i/>
          <w:color w:val="231F20"/>
          <w:sz w:val="16"/>
        </w:rPr>
        <w:t>The Accounting Review</w:t>
      </w:r>
    </w:p>
    <w:p>
      <w:pPr>
        <w:spacing w:before="1"/>
        <w:ind w:left="692" w:right="0" w:firstLine="0"/>
        <w:jc w:val="both"/>
        <w:rPr>
          <w:sz w:val="16"/>
        </w:rPr>
      </w:pPr>
      <w:r>
        <w:rPr>
          <w:color w:val="231F20"/>
          <w:w w:val="105"/>
          <w:sz w:val="16"/>
        </w:rPr>
        <w:t>(2014): 89, 243–73.</w:t>
      </w:r>
    </w:p>
    <w:p>
      <w:pPr>
        <w:spacing w:before="0"/>
        <w:ind w:left="532" w:right="0" w:firstLine="0"/>
        <w:jc w:val="left"/>
        <w:rPr>
          <w:sz w:val="16"/>
        </w:rPr>
      </w:pPr>
      <w:r>
        <w:rPr>
          <w:i/>
          <w:color w:val="231F20"/>
          <w:w w:val="95"/>
          <w:sz w:val="16"/>
        </w:rPr>
        <w:t>C</w:t>
      </w:r>
      <w:r>
        <w:rPr>
          <w:i/>
          <w:color w:val="231F20"/>
          <w:w w:val="95"/>
          <w:sz w:val="12"/>
        </w:rPr>
        <w:t>REDIT </w:t>
      </w:r>
      <w:r>
        <w:rPr>
          <w:i/>
          <w:color w:val="231F20"/>
          <w:w w:val="95"/>
          <w:sz w:val="16"/>
        </w:rPr>
        <w:t>L</w:t>
      </w:r>
      <w:r>
        <w:rPr>
          <w:i/>
          <w:color w:val="231F20"/>
          <w:w w:val="95"/>
          <w:sz w:val="12"/>
        </w:rPr>
        <w:t>YONNAIS </w:t>
      </w:r>
      <w:r>
        <w:rPr>
          <w:i/>
          <w:color w:val="231F20"/>
          <w:w w:val="95"/>
          <w:sz w:val="16"/>
        </w:rPr>
        <w:t>B</w:t>
      </w:r>
      <w:r>
        <w:rPr>
          <w:i/>
          <w:color w:val="231F20"/>
          <w:w w:val="95"/>
          <w:sz w:val="12"/>
        </w:rPr>
        <w:t>ANK </w:t>
      </w:r>
      <w:r>
        <w:rPr>
          <w:i/>
          <w:color w:val="231F20"/>
          <w:w w:val="95"/>
          <w:sz w:val="16"/>
        </w:rPr>
        <w:t>N</w:t>
      </w:r>
      <w:r>
        <w:rPr>
          <w:i/>
          <w:color w:val="231F20"/>
          <w:w w:val="95"/>
          <w:sz w:val="12"/>
        </w:rPr>
        <w:t>EDERLAND </w:t>
      </w:r>
      <w:r>
        <w:rPr>
          <w:i/>
          <w:color w:val="231F20"/>
          <w:w w:val="95"/>
          <w:sz w:val="16"/>
        </w:rPr>
        <w:t>N.V. V. P</w:t>
      </w:r>
      <w:r>
        <w:rPr>
          <w:i/>
          <w:color w:val="231F20"/>
          <w:w w:val="95"/>
          <w:sz w:val="12"/>
        </w:rPr>
        <w:t>ATHE </w:t>
      </w:r>
      <w:r>
        <w:rPr>
          <w:i/>
          <w:color w:val="231F20"/>
          <w:w w:val="95"/>
          <w:sz w:val="16"/>
        </w:rPr>
        <w:t>C</w:t>
      </w:r>
      <w:r>
        <w:rPr>
          <w:i/>
          <w:color w:val="231F20"/>
          <w:w w:val="95"/>
          <w:sz w:val="12"/>
        </w:rPr>
        <w:t>OMMUNICATIONS </w:t>
      </w:r>
      <w:r>
        <w:rPr>
          <w:i/>
          <w:color w:val="231F20"/>
          <w:w w:val="95"/>
          <w:sz w:val="16"/>
        </w:rPr>
        <w:t>C</w:t>
      </w:r>
      <w:r>
        <w:rPr>
          <w:i/>
          <w:color w:val="231F20"/>
          <w:w w:val="95"/>
          <w:sz w:val="12"/>
        </w:rPr>
        <w:t>ORPORATION</w:t>
      </w:r>
      <w:r>
        <w:rPr>
          <w:color w:val="231F20"/>
          <w:w w:val="95"/>
          <w:sz w:val="16"/>
        </w:rPr>
        <w:t>. Civ. A. No. 12150.</w:t>
      </w:r>
    </w:p>
    <w:p>
      <w:pPr>
        <w:spacing w:before="0"/>
        <w:ind w:left="692" w:right="0" w:firstLine="0"/>
        <w:jc w:val="both"/>
        <w:rPr>
          <w:sz w:val="16"/>
        </w:rPr>
      </w:pPr>
      <w:r>
        <w:rPr>
          <w:color w:val="231F20"/>
          <w:sz w:val="16"/>
        </w:rPr>
        <w:t>1991. Court of Chancery of Delaware, New Castle County.</w:t>
      </w:r>
    </w:p>
    <w:p>
      <w:pPr>
        <w:spacing w:before="1"/>
        <w:ind w:left="692" w:right="149" w:hanging="160"/>
        <w:jc w:val="both"/>
        <w:rPr>
          <w:sz w:val="16"/>
        </w:rPr>
      </w:pPr>
      <w:r>
        <w:rPr>
          <w:color w:val="231F20"/>
          <w:sz w:val="16"/>
        </w:rPr>
        <w:t>D</w:t>
      </w:r>
      <w:r>
        <w:rPr>
          <w:color w:val="231F20"/>
          <w:sz w:val="16"/>
          <w:vertAlign w:val="subscript"/>
        </w:rPr>
        <w:t>AINES</w:t>
      </w:r>
      <w:r>
        <w:rPr>
          <w:color w:val="231F20"/>
          <w:sz w:val="16"/>
          <w:vertAlign w:val="baseline"/>
        </w:rPr>
        <w:t>,</w:t>
      </w:r>
      <w:r>
        <w:rPr>
          <w:color w:val="231F20"/>
          <w:spacing w:val="-18"/>
          <w:sz w:val="16"/>
          <w:vertAlign w:val="baseline"/>
        </w:rPr>
        <w:t> </w:t>
      </w:r>
      <w:r>
        <w:rPr>
          <w:color w:val="231F20"/>
          <w:sz w:val="16"/>
          <w:vertAlign w:val="baseline"/>
        </w:rPr>
        <w:t>R.</w:t>
      </w:r>
      <w:r>
        <w:rPr>
          <w:color w:val="231F20"/>
          <w:spacing w:val="-18"/>
          <w:sz w:val="16"/>
          <w:vertAlign w:val="baseline"/>
        </w:rPr>
        <w:t> </w:t>
      </w:r>
      <w:r>
        <w:rPr>
          <w:color w:val="231F20"/>
          <w:sz w:val="16"/>
          <w:vertAlign w:val="baseline"/>
        </w:rPr>
        <w:t>“Does</w:t>
      </w:r>
      <w:r>
        <w:rPr>
          <w:color w:val="231F20"/>
          <w:spacing w:val="-18"/>
          <w:sz w:val="16"/>
          <w:vertAlign w:val="baseline"/>
        </w:rPr>
        <w:t> </w:t>
      </w:r>
      <w:r>
        <w:rPr>
          <w:color w:val="231F20"/>
          <w:sz w:val="16"/>
          <w:vertAlign w:val="baseline"/>
        </w:rPr>
        <w:t>Delaware</w:t>
      </w:r>
      <w:r>
        <w:rPr>
          <w:color w:val="231F20"/>
          <w:spacing w:val="-18"/>
          <w:sz w:val="16"/>
          <w:vertAlign w:val="baseline"/>
        </w:rPr>
        <w:t> </w:t>
      </w:r>
      <w:r>
        <w:rPr>
          <w:color w:val="231F20"/>
          <w:sz w:val="16"/>
          <w:vertAlign w:val="baseline"/>
        </w:rPr>
        <w:t>Law</w:t>
      </w:r>
      <w:r>
        <w:rPr>
          <w:color w:val="231F20"/>
          <w:spacing w:val="-18"/>
          <w:sz w:val="16"/>
          <w:vertAlign w:val="baseline"/>
        </w:rPr>
        <w:t> </w:t>
      </w:r>
      <w:r>
        <w:rPr>
          <w:color w:val="231F20"/>
          <w:sz w:val="16"/>
          <w:vertAlign w:val="baseline"/>
        </w:rPr>
        <w:t>Improve</w:t>
      </w:r>
      <w:r>
        <w:rPr>
          <w:color w:val="231F20"/>
          <w:spacing w:val="-18"/>
          <w:sz w:val="16"/>
          <w:vertAlign w:val="baseline"/>
        </w:rPr>
        <w:t> </w:t>
      </w:r>
      <w:r>
        <w:rPr>
          <w:color w:val="231F20"/>
          <w:sz w:val="16"/>
          <w:vertAlign w:val="baseline"/>
        </w:rPr>
        <w:t>Firm</w:t>
      </w:r>
      <w:r>
        <w:rPr>
          <w:color w:val="231F20"/>
          <w:spacing w:val="-18"/>
          <w:sz w:val="16"/>
          <w:vertAlign w:val="baseline"/>
        </w:rPr>
        <w:t> </w:t>
      </w:r>
      <w:r>
        <w:rPr>
          <w:color w:val="231F20"/>
          <w:sz w:val="16"/>
          <w:vertAlign w:val="baseline"/>
        </w:rPr>
        <w:t>Value?”</w:t>
      </w:r>
      <w:r>
        <w:rPr>
          <w:color w:val="231F20"/>
          <w:spacing w:val="-18"/>
          <w:sz w:val="16"/>
          <w:vertAlign w:val="baseline"/>
        </w:rPr>
        <w:t> </w:t>
      </w:r>
      <w:r>
        <w:rPr>
          <w:i/>
          <w:color w:val="231F20"/>
          <w:sz w:val="16"/>
          <w:vertAlign w:val="baseline"/>
        </w:rPr>
        <w:t>Journal</w:t>
      </w:r>
      <w:r>
        <w:rPr>
          <w:i/>
          <w:color w:val="231F20"/>
          <w:spacing w:val="-18"/>
          <w:sz w:val="16"/>
          <w:vertAlign w:val="baseline"/>
        </w:rPr>
        <w:t> </w:t>
      </w:r>
      <w:r>
        <w:rPr>
          <w:i/>
          <w:color w:val="231F20"/>
          <w:sz w:val="16"/>
          <w:vertAlign w:val="baseline"/>
        </w:rPr>
        <w:t>of</w:t>
      </w:r>
      <w:r>
        <w:rPr>
          <w:i/>
          <w:color w:val="231F20"/>
          <w:spacing w:val="-18"/>
          <w:sz w:val="16"/>
          <w:vertAlign w:val="baseline"/>
        </w:rPr>
        <w:t> </w:t>
      </w:r>
      <w:r>
        <w:rPr>
          <w:i/>
          <w:color w:val="231F20"/>
          <w:sz w:val="16"/>
          <w:vertAlign w:val="baseline"/>
        </w:rPr>
        <w:t>Financial</w:t>
      </w:r>
      <w:r>
        <w:rPr>
          <w:i/>
          <w:color w:val="231F20"/>
          <w:spacing w:val="-18"/>
          <w:sz w:val="16"/>
          <w:vertAlign w:val="baseline"/>
        </w:rPr>
        <w:t> </w:t>
      </w:r>
      <w:r>
        <w:rPr>
          <w:i/>
          <w:color w:val="231F20"/>
          <w:sz w:val="16"/>
          <w:vertAlign w:val="baseline"/>
        </w:rPr>
        <w:t>Economics</w:t>
      </w:r>
      <w:r>
        <w:rPr>
          <w:i/>
          <w:color w:val="231F20"/>
          <w:spacing w:val="-18"/>
          <w:sz w:val="16"/>
          <w:vertAlign w:val="baseline"/>
        </w:rPr>
        <w:t> </w:t>
      </w:r>
      <w:r>
        <w:rPr>
          <w:color w:val="231F20"/>
          <w:sz w:val="16"/>
          <w:vertAlign w:val="baseline"/>
        </w:rPr>
        <w:t>62</w:t>
      </w:r>
      <w:r>
        <w:rPr>
          <w:color w:val="231F20"/>
          <w:spacing w:val="-18"/>
          <w:sz w:val="16"/>
          <w:vertAlign w:val="baseline"/>
        </w:rPr>
        <w:t> </w:t>
      </w:r>
      <w:r>
        <w:rPr>
          <w:color w:val="231F20"/>
          <w:sz w:val="16"/>
          <w:vertAlign w:val="baseline"/>
        </w:rPr>
        <w:t>(2001): 525–58.</w:t>
      </w:r>
    </w:p>
    <w:p>
      <w:pPr>
        <w:spacing w:before="1"/>
        <w:ind w:left="692" w:right="149" w:hanging="160"/>
        <w:jc w:val="both"/>
        <w:rPr>
          <w:sz w:val="16"/>
        </w:rPr>
      </w:pPr>
      <w:r>
        <w:rPr>
          <w:color w:val="231F20"/>
          <w:sz w:val="16"/>
        </w:rPr>
        <w:t>D</w:t>
      </w:r>
      <w:r>
        <w:rPr>
          <w:color w:val="231F20"/>
          <w:sz w:val="16"/>
          <w:vertAlign w:val="subscript"/>
        </w:rPr>
        <w:t>EFOND</w:t>
      </w:r>
      <w:r>
        <w:rPr>
          <w:color w:val="231F20"/>
          <w:sz w:val="16"/>
          <w:vertAlign w:val="baseline"/>
        </w:rPr>
        <w:t>, M. L.; R. N. H</w:t>
      </w:r>
      <w:r>
        <w:rPr>
          <w:color w:val="231F20"/>
          <w:sz w:val="16"/>
          <w:vertAlign w:val="subscript"/>
        </w:rPr>
        <w:t>ANN</w:t>
      </w:r>
      <w:r>
        <w:rPr>
          <w:color w:val="231F20"/>
          <w:sz w:val="16"/>
          <w:vertAlign w:val="baseline"/>
        </w:rPr>
        <w:t>; </w:t>
      </w:r>
      <w:r>
        <w:rPr>
          <w:color w:val="231F20"/>
          <w:sz w:val="16"/>
          <w:vertAlign w:val="subscript"/>
        </w:rPr>
        <w:t>AND</w:t>
      </w:r>
      <w:r>
        <w:rPr>
          <w:color w:val="231F20"/>
          <w:sz w:val="16"/>
          <w:vertAlign w:val="baseline"/>
        </w:rPr>
        <w:t> X. H</w:t>
      </w:r>
      <w:r>
        <w:rPr>
          <w:color w:val="231F20"/>
          <w:sz w:val="16"/>
          <w:vertAlign w:val="subscript"/>
        </w:rPr>
        <w:t>U</w:t>
      </w:r>
      <w:r>
        <w:rPr>
          <w:color w:val="231F20"/>
          <w:sz w:val="16"/>
          <w:vertAlign w:val="baseline"/>
        </w:rPr>
        <w:t>. “Does the Market Value Financial Expertise on Audit Committees of Boards of Directors?” </w:t>
      </w:r>
      <w:r>
        <w:rPr>
          <w:i/>
          <w:color w:val="231F20"/>
          <w:sz w:val="16"/>
          <w:vertAlign w:val="baseline"/>
        </w:rPr>
        <w:t>Journal of Accounting Research </w:t>
      </w:r>
      <w:r>
        <w:rPr>
          <w:color w:val="231F20"/>
          <w:sz w:val="16"/>
          <w:vertAlign w:val="baseline"/>
        </w:rPr>
        <w:t>43 (2005): 153–93.</w:t>
      </w:r>
    </w:p>
    <w:p>
      <w:pPr>
        <w:spacing w:before="0"/>
        <w:ind w:left="692" w:right="149" w:hanging="160"/>
        <w:jc w:val="both"/>
        <w:rPr>
          <w:sz w:val="16"/>
        </w:rPr>
      </w:pPr>
      <w:r>
        <w:rPr>
          <w:color w:val="231F20"/>
          <w:sz w:val="16"/>
        </w:rPr>
        <w:t>D</w:t>
      </w:r>
      <w:r>
        <w:rPr>
          <w:color w:val="231F20"/>
          <w:sz w:val="16"/>
          <w:vertAlign w:val="subscript"/>
        </w:rPr>
        <w:t>ICHEV</w:t>
      </w:r>
      <w:r>
        <w:rPr>
          <w:color w:val="231F20"/>
          <w:sz w:val="16"/>
          <w:vertAlign w:val="baseline"/>
        </w:rPr>
        <w:t>,</w:t>
      </w:r>
      <w:r>
        <w:rPr>
          <w:color w:val="231F20"/>
          <w:spacing w:val="-18"/>
          <w:sz w:val="16"/>
          <w:vertAlign w:val="baseline"/>
        </w:rPr>
        <w:t> </w:t>
      </w:r>
      <w:r>
        <w:rPr>
          <w:color w:val="231F20"/>
          <w:sz w:val="16"/>
          <w:vertAlign w:val="baseline"/>
        </w:rPr>
        <w:t>I.,</w:t>
      </w:r>
      <w:r>
        <w:rPr>
          <w:color w:val="231F20"/>
          <w:spacing w:val="-18"/>
          <w:sz w:val="16"/>
          <w:vertAlign w:val="baseline"/>
        </w:rPr>
        <w:t> </w:t>
      </w:r>
      <w:r>
        <w:rPr>
          <w:color w:val="231F20"/>
          <w:sz w:val="16"/>
          <w:vertAlign w:val="subscript"/>
        </w:rPr>
        <w:t>AND</w:t>
      </w:r>
      <w:r>
        <w:rPr>
          <w:color w:val="231F20"/>
          <w:spacing w:val="-22"/>
          <w:sz w:val="16"/>
          <w:vertAlign w:val="baseline"/>
        </w:rPr>
        <w:t> </w:t>
      </w:r>
      <w:r>
        <w:rPr>
          <w:color w:val="231F20"/>
          <w:sz w:val="16"/>
          <w:vertAlign w:val="baseline"/>
        </w:rPr>
        <w:t>D.</w:t>
      </w:r>
      <w:r>
        <w:rPr>
          <w:color w:val="231F20"/>
          <w:spacing w:val="-18"/>
          <w:sz w:val="16"/>
          <w:vertAlign w:val="baseline"/>
        </w:rPr>
        <w:t> </w:t>
      </w:r>
      <w:r>
        <w:rPr>
          <w:color w:val="231F20"/>
          <w:sz w:val="16"/>
          <w:vertAlign w:val="baseline"/>
        </w:rPr>
        <w:t>S</w:t>
      </w:r>
      <w:r>
        <w:rPr>
          <w:color w:val="231F20"/>
          <w:sz w:val="16"/>
          <w:vertAlign w:val="subscript"/>
        </w:rPr>
        <w:t>KINNER</w:t>
      </w:r>
      <w:r>
        <w:rPr>
          <w:color w:val="231F20"/>
          <w:sz w:val="16"/>
          <w:vertAlign w:val="baseline"/>
        </w:rPr>
        <w:t>.</w:t>
      </w:r>
      <w:r>
        <w:rPr>
          <w:color w:val="231F20"/>
          <w:spacing w:val="-18"/>
          <w:sz w:val="16"/>
          <w:vertAlign w:val="baseline"/>
        </w:rPr>
        <w:t> </w:t>
      </w:r>
      <w:r>
        <w:rPr>
          <w:color w:val="231F20"/>
          <w:sz w:val="16"/>
          <w:vertAlign w:val="baseline"/>
        </w:rPr>
        <w:t>“Large-Sample</w:t>
      </w:r>
      <w:r>
        <w:rPr>
          <w:color w:val="231F20"/>
          <w:spacing w:val="-18"/>
          <w:sz w:val="16"/>
          <w:vertAlign w:val="baseline"/>
        </w:rPr>
        <w:t> </w:t>
      </w:r>
      <w:r>
        <w:rPr>
          <w:color w:val="231F20"/>
          <w:sz w:val="16"/>
          <w:vertAlign w:val="baseline"/>
        </w:rPr>
        <w:t>Evidence</w:t>
      </w:r>
      <w:r>
        <w:rPr>
          <w:color w:val="231F20"/>
          <w:spacing w:val="-18"/>
          <w:sz w:val="16"/>
          <w:vertAlign w:val="baseline"/>
        </w:rPr>
        <w:t> </w:t>
      </w:r>
      <w:r>
        <w:rPr>
          <w:color w:val="231F20"/>
          <w:sz w:val="16"/>
          <w:vertAlign w:val="baseline"/>
        </w:rPr>
        <w:t>on</w:t>
      </w:r>
      <w:r>
        <w:rPr>
          <w:color w:val="231F20"/>
          <w:spacing w:val="-18"/>
          <w:sz w:val="16"/>
          <w:vertAlign w:val="baseline"/>
        </w:rPr>
        <w:t> </w:t>
      </w:r>
      <w:r>
        <w:rPr>
          <w:color w:val="231F20"/>
          <w:sz w:val="16"/>
          <w:vertAlign w:val="baseline"/>
        </w:rPr>
        <w:t>the</w:t>
      </w:r>
      <w:r>
        <w:rPr>
          <w:color w:val="231F20"/>
          <w:spacing w:val="-18"/>
          <w:sz w:val="16"/>
          <w:vertAlign w:val="baseline"/>
        </w:rPr>
        <w:t> </w:t>
      </w:r>
      <w:r>
        <w:rPr>
          <w:color w:val="231F20"/>
          <w:sz w:val="16"/>
          <w:vertAlign w:val="baseline"/>
        </w:rPr>
        <w:t>Debt</w:t>
      </w:r>
      <w:r>
        <w:rPr>
          <w:color w:val="231F20"/>
          <w:spacing w:val="-18"/>
          <w:sz w:val="16"/>
          <w:vertAlign w:val="baseline"/>
        </w:rPr>
        <w:t> </w:t>
      </w:r>
      <w:r>
        <w:rPr>
          <w:color w:val="231F20"/>
          <w:sz w:val="16"/>
          <w:vertAlign w:val="baseline"/>
        </w:rPr>
        <w:t>Covenant</w:t>
      </w:r>
      <w:r>
        <w:rPr>
          <w:color w:val="231F20"/>
          <w:spacing w:val="-18"/>
          <w:sz w:val="16"/>
          <w:vertAlign w:val="baseline"/>
        </w:rPr>
        <w:t> </w:t>
      </w:r>
      <w:r>
        <w:rPr>
          <w:color w:val="231F20"/>
          <w:sz w:val="16"/>
          <w:vertAlign w:val="baseline"/>
        </w:rPr>
        <w:t>Hypothesis.”</w:t>
      </w:r>
      <w:r>
        <w:rPr>
          <w:color w:val="231F20"/>
          <w:spacing w:val="-18"/>
          <w:sz w:val="16"/>
          <w:vertAlign w:val="baseline"/>
        </w:rPr>
        <w:t> </w:t>
      </w:r>
      <w:r>
        <w:rPr>
          <w:i/>
          <w:color w:val="231F20"/>
          <w:sz w:val="16"/>
          <w:vertAlign w:val="baseline"/>
        </w:rPr>
        <w:t>Jour- </w:t>
      </w:r>
      <w:r>
        <w:rPr>
          <w:i/>
          <w:color w:val="231F20"/>
          <w:sz w:val="16"/>
          <w:vertAlign w:val="baseline"/>
        </w:rPr>
        <w:t>nal of Accounting Research </w:t>
      </w:r>
      <w:r>
        <w:rPr>
          <w:color w:val="231F20"/>
          <w:sz w:val="16"/>
          <w:vertAlign w:val="baseline"/>
        </w:rPr>
        <w:t>40 (2002):</w:t>
      </w:r>
      <w:r>
        <w:rPr>
          <w:color w:val="231F20"/>
          <w:spacing w:val="2"/>
          <w:sz w:val="16"/>
          <w:vertAlign w:val="baseline"/>
        </w:rPr>
        <w:t> </w:t>
      </w:r>
      <w:r>
        <w:rPr>
          <w:color w:val="231F20"/>
          <w:sz w:val="16"/>
          <w:vertAlign w:val="baseline"/>
        </w:rPr>
        <w:t>1091–123.</w:t>
      </w:r>
    </w:p>
    <w:p>
      <w:pPr>
        <w:spacing w:before="1"/>
        <w:ind w:left="532" w:right="0" w:firstLine="0"/>
        <w:jc w:val="left"/>
        <w:rPr>
          <w:sz w:val="16"/>
        </w:rPr>
      </w:pPr>
      <w:r>
        <w:rPr>
          <w:color w:val="231F20"/>
          <w:sz w:val="16"/>
        </w:rPr>
        <w:t>D</w:t>
      </w:r>
      <w:r>
        <w:rPr>
          <w:color w:val="231F20"/>
          <w:sz w:val="16"/>
          <w:vertAlign w:val="subscript"/>
        </w:rPr>
        <w:t>ICKEY</w:t>
      </w:r>
      <w:r>
        <w:rPr>
          <w:color w:val="231F20"/>
          <w:sz w:val="16"/>
          <w:vertAlign w:val="baseline"/>
        </w:rPr>
        <w:t>, J.; A. L. G</w:t>
      </w:r>
      <w:r>
        <w:rPr>
          <w:color w:val="231F20"/>
          <w:sz w:val="16"/>
          <w:vertAlign w:val="subscript"/>
        </w:rPr>
        <w:t>OODMAN</w:t>
      </w:r>
      <w:r>
        <w:rPr>
          <w:color w:val="231F20"/>
          <w:sz w:val="16"/>
          <w:vertAlign w:val="baseline"/>
        </w:rPr>
        <w:t>; L. A. F</w:t>
      </w:r>
      <w:r>
        <w:rPr>
          <w:color w:val="231F20"/>
          <w:sz w:val="16"/>
          <w:vertAlign w:val="subscript"/>
        </w:rPr>
        <w:t>ONTENOT</w:t>
      </w:r>
      <w:r>
        <w:rPr>
          <w:color w:val="231F20"/>
          <w:sz w:val="16"/>
          <w:vertAlign w:val="baseline"/>
        </w:rPr>
        <w:t>; J. D. V</w:t>
      </w:r>
      <w:r>
        <w:rPr>
          <w:color w:val="231F20"/>
          <w:sz w:val="16"/>
          <w:vertAlign w:val="subscript"/>
        </w:rPr>
        <w:t>AN</w:t>
      </w:r>
      <w:r>
        <w:rPr>
          <w:color w:val="231F20"/>
          <w:sz w:val="16"/>
          <w:vertAlign w:val="baseline"/>
        </w:rPr>
        <w:t> L</w:t>
      </w:r>
      <w:r>
        <w:rPr>
          <w:color w:val="231F20"/>
          <w:sz w:val="16"/>
          <w:vertAlign w:val="subscript"/>
        </w:rPr>
        <w:t>OBEN</w:t>
      </w:r>
      <w:r>
        <w:rPr>
          <w:color w:val="231F20"/>
          <w:sz w:val="16"/>
          <w:vertAlign w:val="baseline"/>
        </w:rPr>
        <w:t> S</w:t>
      </w:r>
      <w:r>
        <w:rPr>
          <w:color w:val="231F20"/>
          <w:sz w:val="16"/>
          <w:vertAlign w:val="subscript"/>
        </w:rPr>
        <w:t>ELS</w:t>
      </w:r>
      <w:r>
        <w:rPr>
          <w:color w:val="231F20"/>
          <w:sz w:val="16"/>
          <w:vertAlign w:val="baseline"/>
        </w:rPr>
        <w:t>; </w:t>
      </w:r>
      <w:r>
        <w:rPr>
          <w:color w:val="231F20"/>
          <w:sz w:val="16"/>
          <w:vertAlign w:val="subscript"/>
        </w:rPr>
        <w:t>AND</w:t>
      </w:r>
      <w:r>
        <w:rPr>
          <w:color w:val="231F20"/>
          <w:sz w:val="16"/>
          <w:vertAlign w:val="baseline"/>
        </w:rPr>
        <w:t> G. M</w:t>
      </w:r>
      <w:r>
        <w:rPr>
          <w:color w:val="231F20"/>
          <w:sz w:val="16"/>
          <w:vertAlign w:val="subscript"/>
        </w:rPr>
        <w:t>CPHEE</w:t>
      </w:r>
      <w:r>
        <w:rPr>
          <w:color w:val="231F20"/>
          <w:sz w:val="16"/>
          <w:vertAlign w:val="baseline"/>
        </w:rPr>
        <w:t>. “Indemni-</w:t>
      </w:r>
    </w:p>
    <w:p>
      <w:pPr>
        <w:spacing w:before="1"/>
        <w:ind w:left="692" w:right="148" w:firstLine="0"/>
        <w:jc w:val="both"/>
        <w:rPr>
          <w:sz w:val="16"/>
        </w:rPr>
      </w:pPr>
      <w:r>
        <w:rPr>
          <w:color w:val="231F20"/>
          <w:sz w:val="16"/>
        </w:rPr>
        <w:t>fication</w:t>
      </w:r>
      <w:r>
        <w:rPr>
          <w:color w:val="231F20"/>
          <w:spacing w:val="-13"/>
          <w:sz w:val="16"/>
        </w:rPr>
        <w:t> </w:t>
      </w:r>
      <w:r>
        <w:rPr>
          <w:color w:val="231F20"/>
          <w:sz w:val="16"/>
        </w:rPr>
        <w:t>and</w:t>
      </w:r>
      <w:r>
        <w:rPr>
          <w:color w:val="231F20"/>
          <w:spacing w:val="-13"/>
          <w:sz w:val="16"/>
        </w:rPr>
        <w:t> </w:t>
      </w:r>
      <w:r>
        <w:rPr>
          <w:color w:val="231F20"/>
          <w:sz w:val="16"/>
        </w:rPr>
        <w:t>Insurance</w:t>
      </w:r>
      <w:r>
        <w:rPr>
          <w:color w:val="231F20"/>
          <w:spacing w:val="-13"/>
          <w:sz w:val="16"/>
        </w:rPr>
        <w:t> </w:t>
      </w:r>
      <w:r>
        <w:rPr>
          <w:color w:val="231F20"/>
          <w:sz w:val="16"/>
        </w:rPr>
        <w:t>for</w:t>
      </w:r>
      <w:r>
        <w:rPr>
          <w:color w:val="231F20"/>
          <w:spacing w:val="-13"/>
          <w:sz w:val="16"/>
        </w:rPr>
        <w:t> </w:t>
      </w:r>
      <w:r>
        <w:rPr>
          <w:color w:val="231F20"/>
          <w:sz w:val="16"/>
        </w:rPr>
        <w:t>Directors</w:t>
      </w:r>
      <w:r>
        <w:rPr>
          <w:color w:val="231F20"/>
          <w:spacing w:val="-13"/>
          <w:sz w:val="16"/>
        </w:rPr>
        <w:t> </w:t>
      </w:r>
      <w:r>
        <w:rPr>
          <w:color w:val="231F20"/>
          <w:sz w:val="16"/>
        </w:rPr>
        <w:t>and</w:t>
      </w:r>
      <w:r>
        <w:rPr>
          <w:color w:val="231F20"/>
          <w:spacing w:val="-13"/>
          <w:sz w:val="16"/>
        </w:rPr>
        <w:t> </w:t>
      </w:r>
      <w:r>
        <w:rPr>
          <w:color w:val="231F20"/>
          <w:sz w:val="16"/>
        </w:rPr>
        <w:t>Officers</w:t>
      </w:r>
      <w:r>
        <w:rPr>
          <w:color w:val="231F20"/>
          <w:spacing w:val="-13"/>
          <w:sz w:val="16"/>
        </w:rPr>
        <w:t> </w:t>
      </w:r>
      <w:r>
        <w:rPr>
          <w:color w:val="231F20"/>
          <w:sz w:val="16"/>
        </w:rPr>
        <w:t>of</w:t>
      </w:r>
      <w:r>
        <w:rPr>
          <w:color w:val="231F20"/>
          <w:spacing w:val="-13"/>
          <w:sz w:val="16"/>
        </w:rPr>
        <w:t> </w:t>
      </w:r>
      <w:r>
        <w:rPr>
          <w:color w:val="231F20"/>
          <w:sz w:val="16"/>
        </w:rPr>
        <w:t>Public</w:t>
      </w:r>
      <w:r>
        <w:rPr>
          <w:color w:val="231F20"/>
          <w:spacing w:val="-13"/>
          <w:sz w:val="16"/>
        </w:rPr>
        <w:t> </w:t>
      </w:r>
      <w:r>
        <w:rPr>
          <w:color w:val="231F20"/>
          <w:sz w:val="16"/>
        </w:rPr>
        <w:t>Companies:</w:t>
      </w:r>
      <w:r>
        <w:rPr>
          <w:color w:val="231F20"/>
          <w:spacing w:val="-13"/>
          <w:sz w:val="16"/>
        </w:rPr>
        <w:t> </w:t>
      </w:r>
      <w:r>
        <w:rPr>
          <w:color w:val="231F20"/>
          <w:sz w:val="16"/>
        </w:rPr>
        <w:t>What</w:t>
      </w:r>
      <w:r>
        <w:rPr>
          <w:color w:val="231F20"/>
          <w:spacing w:val="-13"/>
          <w:sz w:val="16"/>
        </w:rPr>
        <w:t> </w:t>
      </w:r>
      <w:r>
        <w:rPr>
          <w:color w:val="231F20"/>
          <w:sz w:val="16"/>
        </w:rPr>
        <w:t>Directors</w:t>
      </w:r>
      <w:r>
        <w:rPr>
          <w:color w:val="231F20"/>
          <w:spacing w:val="-13"/>
          <w:sz w:val="16"/>
        </w:rPr>
        <w:t> </w:t>
      </w:r>
      <w:r>
        <w:rPr>
          <w:color w:val="231F20"/>
          <w:sz w:val="16"/>
        </w:rPr>
        <w:t>and Officers</w:t>
      </w:r>
      <w:r>
        <w:rPr>
          <w:color w:val="231F20"/>
          <w:spacing w:val="-10"/>
          <w:sz w:val="16"/>
        </w:rPr>
        <w:t> </w:t>
      </w:r>
      <w:r>
        <w:rPr>
          <w:color w:val="231F20"/>
          <w:sz w:val="16"/>
        </w:rPr>
        <w:t>Need</w:t>
      </w:r>
      <w:r>
        <w:rPr>
          <w:color w:val="231F20"/>
          <w:spacing w:val="-10"/>
          <w:sz w:val="16"/>
        </w:rPr>
        <w:t> </w:t>
      </w:r>
      <w:r>
        <w:rPr>
          <w:color w:val="231F20"/>
          <w:sz w:val="16"/>
        </w:rPr>
        <w:t>to</w:t>
      </w:r>
      <w:r>
        <w:rPr>
          <w:color w:val="231F20"/>
          <w:spacing w:val="-10"/>
          <w:sz w:val="16"/>
        </w:rPr>
        <w:t> </w:t>
      </w:r>
      <w:r>
        <w:rPr>
          <w:color w:val="231F20"/>
          <w:sz w:val="16"/>
        </w:rPr>
        <w:t>Know</w:t>
      </w:r>
      <w:r>
        <w:rPr>
          <w:color w:val="231F20"/>
          <w:spacing w:val="-10"/>
          <w:sz w:val="16"/>
        </w:rPr>
        <w:t> </w:t>
      </w:r>
      <w:r>
        <w:rPr>
          <w:color w:val="231F20"/>
          <w:sz w:val="16"/>
        </w:rPr>
        <w:t>in</w:t>
      </w:r>
      <w:r>
        <w:rPr>
          <w:color w:val="231F20"/>
          <w:spacing w:val="-10"/>
          <w:sz w:val="16"/>
        </w:rPr>
        <w:t> </w:t>
      </w:r>
      <w:r>
        <w:rPr>
          <w:color w:val="231F20"/>
          <w:sz w:val="16"/>
        </w:rPr>
        <w:t>the</w:t>
      </w:r>
      <w:r>
        <w:rPr>
          <w:color w:val="231F20"/>
          <w:spacing w:val="-10"/>
          <w:sz w:val="16"/>
        </w:rPr>
        <w:t> </w:t>
      </w:r>
      <w:r>
        <w:rPr>
          <w:color w:val="231F20"/>
          <w:sz w:val="16"/>
        </w:rPr>
        <w:t>Post-Sarbanes-Oxley</w:t>
      </w:r>
      <w:r>
        <w:rPr>
          <w:color w:val="231F20"/>
          <w:spacing w:val="-10"/>
          <w:sz w:val="16"/>
        </w:rPr>
        <w:t> </w:t>
      </w:r>
      <w:r>
        <w:rPr>
          <w:color w:val="231F20"/>
          <w:sz w:val="16"/>
        </w:rPr>
        <w:t>World.”</w:t>
      </w:r>
      <w:r>
        <w:rPr>
          <w:color w:val="231F20"/>
          <w:spacing w:val="-10"/>
          <w:sz w:val="16"/>
        </w:rPr>
        <w:t> </w:t>
      </w:r>
      <w:r>
        <w:rPr>
          <w:color w:val="231F20"/>
          <w:sz w:val="16"/>
        </w:rPr>
        <w:t>Gibson,</w:t>
      </w:r>
      <w:r>
        <w:rPr>
          <w:color w:val="231F20"/>
          <w:spacing w:val="-10"/>
          <w:sz w:val="16"/>
        </w:rPr>
        <w:t> </w:t>
      </w:r>
      <w:r>
        <w:rPr>
          <w:color w:val="231F20"/>
          <w:sz w:val="16"/>
        </w:rPr>
        <w:t>Dunn</w:t>
      </w:r>
      <w:r>
        <w:rPr>
          <w:color w:val="231F20"/>
          <w:spacing w:val="-10"/>
          <w:sz w:val="16"/>
        </w:rPr>
        <w:t> </w:t>
      </w:r>
      <w:r>
        <w:rPr>
          <w:color w:val="231F20"/>
          <w:sz w:val="16"/>
        </w:rPr>
        <w:t>&amp;</w:t>
      </w:r>
      <w:r>
        <w:rPr>
          <w:color w:val="231F20"/>
          <w:spacing w:val="-10"/>
          <w:sz w:val="16"/>
        </w:rPr>
        <w:t> </w:t>
      </w:r>
      <w:r>
        <w:rPr>
          <w:color w:val="231F20"/>
          <w:sz w:val="16"/>
        </w:rPr>
        <w:t>Crutcher</w:t>
      </w:r>
      <w:r>
        <w:rPr>
          <w:color w:val="231F20"/>
          <w:spacing w:val="-10"/>
          <w:sz w:val="16"/>
        </w:rPr>
        <w:t> </w:t>
      </w:r>
      <w:r>
        <w:rPr>
          <w:color w:val="231F20"/>
          <w:spacing w:val="-5"/>
          <w:sz w:val="16"/>
        </w:rPr>
        <w:t>LLP, </w:t>
      </w:r>
      <w:r>
        <w:rPr>
          <w:color w:val="231F20"/>
          <w:sz w:val="16"/>
        </w:rPr>
        <w:t>2003.</w:t>
      </w:r>
    </w:p>
    <w:p>
      <w:pPr>
        <w:spacing w:before="1"/>
        <w:ind w:left="692" w:right="149" w:hanging="160"/>
        <w:jc w:val="both"/>
        <w:rPr>
          <w:sz w:val="16"/>
        </w:rPr>
      </w:pPr>
      <w:r>
        <w:rPr>
          <w:color w:val="231F20"/>
          <w:sz w:val="16"/>
        </w:rPr>
        <w:t>D</w:t>
      </w:r>
      <w:r>
        <w:rPr>
          <w:color w:val="231F20"/>
          <w:sz w:val="16"/>
          <w:vertAlign w:val="subscript"/>
        </w:rPr>
        <w:t>IONNE</w:t>
      </w:r>
      <w:r>
        <w:rPr>
          <w:color w:val="231F20"/>
          <w:sz w:val="16"/>
          <w:vertAlign w:val="baseline"/>
        </w:rPr>
        <w:t>,</w:t>
      </w:r>
      <w:r>
        <w:rPr>
          <w:color w:val="231F20"/>
          <w:spacing w:val="-10"/>
          <w:sz w:val="16"/>
          <w:vertAlign w:val="baseline"/>
        </w:rPr>
        <w:t> </w:t>
      </w:r>
      <w:r>
        <w:rPr>
          <w:color w:val="231F20"/>
          <w:sz w:val="16"/>
          <w:vertAlign w:val="baseline"/>
        </w:rPr>
        <w:t>A.</w:t>
      </w:r>
      <w:r>
        <w:rPr>
          <w:color w:val="231F20"/>
          <w:spacing w:val="-10"/>
          <w:sz w:val="16"/>
          <w:vertAlign w:val="baseline"/>
        </w:rPr>
        <w:t> </w:t>
      </w:r>
      <w:r>
        <w:rPr>
          <w:color w:val="231F20"/>
          <w:sz w:val="16"/>
          <w:vertAlign w:val="baseline"/>
        </w:rPr>
        <w:t>“Living</w:t>
      </w:r>
      <w:r>
        <w:rPr>
          <w:color w:val="231F20"/>
          <w:spacing w:val="-10"/>
          <w:sz w:val="16"/>
          <w:vertAlign w:val="baseline"/>
        </w:rPr>
        <w:t> </w:t>
      </w:r>
      <w:r>
        <w:rPr>
          <w:color w:val="231F20"/>
          <w:sz w:val="16"/>
          <w:vertAlign w:val="baseline"/>
        </w:rPr>
        <w:t>on</w:t>
      </w:r>
      <w:r>
        <w:rPr>
          <w:color w:val="231F20"/>
          <w:spacing w:val="-10"/>
          <w:sz w:val="16"/>
          <w:vertAlign w:val="baseline"/>
        </w:rPr>
        <w:t> </w:t>
      </w:r>
      <w:r>
        <w:rPr>
          <w:color w:val="231F20"/>
          <w:sz w:val="16"/>
          <w:vertAlign w:val="baseline"/>
        </w:rPr>
        <w:t>the</w:t>
      </w:r>
      <w:r>
        <w:rPr>
          <w:color w:val="231F20"/>
          <w:spacing w:val="-10"/>
          <w:sz w:val="16"/>
          <w:vertAlign w:val="baseline"/>
        </w:rPr>
        <w:t> </w:t>
      </w:r>
      <w:r>
        <w:rPr>
          <w:color w:val="231F20"/>
          <w:sz w:val="16"/>
          <w:vertAlign w:val="baseline"/>
        </w:rPr>
        <w:t>Edge:</w:t>
      </w:r>
      <w:r>
        <w:rPr>
          <w:color w:val="231F20"/>
          <w:spacing w:val="-10"/>
          <w:sz w:val="16"/>
          <w:vertAlign w:val="baseline"/>
        </w:rPr>
        <w:t> </w:t>
      </w:r>
      <w:r>
        <w:rPr>
          <w:color w:val="231F20"/>
          <w:sz w:val="16"/>
          <w:vertAlign w:val="baseline"/>
        </w:rPr>
        <w:t>Fiduciary</w:t>
      </w:r>
      <w:r>
        <w:rPr>
          <w:color w:val="231F20"/>
          <w:spacing w:val="-11"/>
          <w:sz w:val="16"/>
          <w:vertAlign w:val="baseline"/>
        </w:rPr>
        <w:t> </w:t>
      </w:r>
      <w:r>
        <w:rPr>
          <w:color w:val="231F20"/>
          <w:sz w:val="16"/>
          <w:vertAlign w:val="baseline"/>
        </w:rPr>
        <w:t>Duties,</w:t>
      </w:r>
      <w:r>
        <w:rPr>
          <w:color w:val="231F20"/>
          <w:spacing w:val="-10"/>
          <w:sz w:val="16"/>
          <w:vertAlign w:val="baseline"/>
        </w:rPr>
        <w:t> </w:t>
      </w:r>
      <w:r>
        <w:rPr>
          <w:color w:val="231F20"/>
          <w:sz w:val="16"/>
          <w:vertAlign w:val="baseline"/>
        </w:rPr>
        <w:t>Business</w:t>
      </w:r>
      <w:r>
        <w:rPr>
          <w:color w:val="231F20"/>
          <w:spacing w:val="-10"/>
          <w:sz w:val="16"/>
          <w:vertAlign w:val="baseline"/>
        </w:rPr>
        <w:t> </w:t>
      </w:r>
      <w:r>
        <w:rPr>
          <w:color w:val="231F20"/>
          <w:sz w:val="16"/>
          <w:vertAlign w:val="baseline"/>
        </w:rPr>
        <w:t>Judgment</w:t>
      </w:r>
      <w:r>
        <w:rPr>
          <w:color w:val="231F20"/>
          <w:spacing w:val="-11"/>
          <w:sz w:val="16"/>
          <w:vertAlign w:val="baseline"/>
        </w:rPr>
        <w:t> </w:t>
      </w:r>
      <w:r>
        <w:rPr>
          <w:color w:val="231F20"/>
          <w:sz w:val="16"/>
          <w:vertAlign w:val="baseline"/>
        </w:rPr>
        <w:t>and</w:t>
      </w:r>
      <w:r>
        <w:rPr>
          <w:color w:val="231F20"/>
          <w:spacing w:val="-10"/>
          <w:sz w:val="16"/>
          <w:vertAlign w:val="baseline"/>
        </w:rPr>
        <w:t> </w:t>
      </w:r>
      <w:r>
        <w:rPr>
          <w:color w:val="231F20"/>
          <w:sz w:val="16"/>
          <w:vertAlign w:val="baseline"/>
        </w:rPr>
        <w:t>Expensive</w:t>
      </w:r>
      <w:r>
        <w:rPr>
          <w:color w:val="231F20"/>
          <w:spacing w:val="-10"/>
          <w:sz w:val="16"/>
          <w:vertAlign w:val="baseline"/>
        </w:rPr>
        <w:t> </w:t>
      </w:r>
      <w:r>
        <w:rPr>
          <w:color w:val="231F20"/>
          <w:sz w:val="16"/>
          <w:vertAlign w:val="baseline"/>
        </w:rPr>
        <w:t>Uncer- tainty in the Zone of Insolvency.” </w:t>
      </w:r>
      <w:r>
        <w:rPr>
          <w:i/>
          <w:color w:val="231F20"/>
          <w:sz w:val="16"/>
          <w:vertAlign w:val="baseline"/>
        </w:rPr>
        <w:t>Stanford Journal of Law, Business and Finance </w:t>
      </w:r>
      <w:r>
        <w:rPr>
          <w:color w:val="231F20"/>
          <w:sz w:val="16"/>
          <w:vertAlign w:val="baseline"/>
        </w:rPr>
        <w:t>13 (2007): 188–224.</w:t>
      </w:r>
    </w:p>
    <w:p>
      <w:pPr>
        <w:spacing w:after="0"/>
        <w:jc w:val="both"/>
        <w:rPr>
          <w:sz w:val="16"/>
        </w:rPr>
        <w:sectPr>
          <w:pgSz w:w="9720" w:h="14400"/>
          <w:pgMar w:header="1055" w:footer="0" w:top="1300" w:bottom="280" w:left="1280" w:right="1300"/>
        </w:sectPr>
      </w:pPr>
    </w:p>
    <w:p>
      <w:pPr>
        <w:pStyle w:val="BodyText"/>
        <w:spacing w:before="1"/>
        <w:rPr>
          <w:sz w:val="9"/>
        </w:rPr>
      </w:pPr>
    </w:p>
    <w:p>
      <w:pPr>
        <w:spacing w:before="96"/>
        <w:ind w:left="321" w:right="518" w:hanging="160"/>
        <w:jc w:val="both"/>
        <w:rPr>
          <w:sz w:val="16"/>
        </w:rPr>
      </w:pPr>
      <w:r>
        <w:rPr/>
        <w:pict>
          <v:shape style="position:absolute;margin-left:107.020416pt;margin-top:26.064629pt;width:6.25pt;height:13.95pt;mso-position-horizontal-relative:page;mso-position-vertical-relative:paragraph;z-index:-63064"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F</w:t>
      </w:r>
      <w:r>
        <w:rPr>
          <w:color w:val="231F20"/>
          <w:sz w:val="16"/>
          <w:vertAlign w:val="subscript"/>
        </w:rPr>
        <w:t>ALEYE</w:t>
      </w:r>
      <w:r>
        <w:rPr>
          <w:color w:val="231F20"/>
          <w:sz w:val="16"/>
          <w:vertAlign w:val="baseline"/>
        </w:rPr>
        <w:t>, O.; R. H</w:t>
      </w:r>
      <w:r>
        <w:rPr>
          <w:color w:val="231F20"/>
          <w:sz w:val="16"/>
          <w:vertAlign w:val="subscript"/>
        </w:rPr>
        <w:t>OITASH</w:t>
      </w:r>
      <w:r>
        <w:rPr>
          <w:color w:val="231F20"/>
          <w:sz w:val="16"/>
          <w:vertAlign w:val="baseline"/>
        </w:rPr>
        <w:t>; </w:t>
      </w:r>
      <w:r>
        <w:rPr>
          <w:color w:val="231F20"/>
          <w:sz w:val="16"/>
          <w:vertAlign w:val="subscript"/>
        </w:rPr>
        <w:t>AND</w:t>
      </w:r>
      <w:r>
        <w:rPr>
          <w:color w:val="231F20"/>
          <w:sz w:val="16"/>
          <w:vertAlign w:val="baseline"/>
        </w:rPr>
        <w:t> U. H</w:t>
      </w:r>
      <w:r>
        <w:rPr>
          <w:color w:val="231F20"/>
          <w:sz w:val="16"/>
          <w:vertAlign w:val="subscript"/>
        </w:rPr>
        <w:t>OITASH</w:t>
      </w:r>
      <w:r>
        <w:rPr>
          <w:color w:val="231F20"/>
          <w:sz w:val="16"/>
          <w:vertAlign w:val="baseline"/>
        </w:rPr>
        <w:t>. “Industry  Expertise  on  Corporate  Boards.” Working paper, Northeastern University, 2012. Available at </w:t>
      </w:r>
      <w:hyperlink r:id="rId30">
        <w:r>
          <w:rPr>
            <w:color w:val="231F20"/>
            <w:sz w:val="16"/>
            <w:vertAlign w:val="baseline"/>
          </w:rPr>
          <w:t>http://papers.ssrn.com/</w:t>
        </w:r>
      </w:hyperlink>
      <w:r>
        <w:rPr>
          <w:color w:val="231F20"/>
          <w:sz w:val="16"/>
          <w:vertAlign w:val="baseline"/>
        </w:rPr>
        <w:t> abstract 2117104.</w:t>
      </w:r>
    </w:p>
    <w:p>
      <w:pPr>
        <w:spacing w:before="1"/>
        <w:ind w:left="162" w:right="0" w:firstLine="0"/>
        <w:jc w:val="left"/>
        <w:rPr>
          <w:sz w:val="16"/>
        </w:rPr>
      </w:pPr>
      <w:r>
        <w:rPr>
          <w:color w:val="231F20"/>
          <w:sz w:val="16"/>
        </w:rPr>
        <w:t>F</w:t>
      </w:r>
      <w:r>
        <w:rPr>
          <w:color w:val="231F20"/>
          <w:sz w:val="16"/>
          <w:vertAlign w:val="subscript"/>
        </w:rPr>
        <w:t>RANCIS</w:t>
      </w:r>
      <w:r>
        <w:rPr>
          <w:color w:val="231F20"/>
          <w:sz w:val="16"/>
          <w:vertAlign w:val="baseline"/>
        </w:rPr>
        <w:t>, J., </w:t>
      </w:r>
      <w:r>
        <w:rPr>
          <w:color w:val="231F20"/>
          <w:sz w:val="16"/>
          <w:vertAlign w:val="subscript"/>
        </w:rPr>
        <w:t>AND</w:t>
      </w:r>
      <w:r>
        <w:rPr>
          <w:color w:val="231F20"/>
          <w:sz w:val="16"/>
          <w:vertAlign w:val="baseline"/>
        </w:rPr>
        <w:t> J. K</w:t>
      </w:r>
      <w:r>
        <w:rPr>
          <w:color w:val="231F20"/>
          <w:sz w:val="16"/>
          <w:vertAlign w:val="subscript"/>
        </w:rPr>
        <w:t>RISHNAN</w:t>
      </w:r>
      <w:r>
        <w:rPr>
          <w:color w:val="231F20"/>
          <w:sz w:val="16"/>
          <w:vertAlign w:val="baseline"/>
        </w:rPr>
        <w:t>. “Accounting Accruals and Auditor Reporting Conservatism.”</w:t>
      </w:r>
    </w:p>
    <w:p>
      <w:pPr>
        <w:spacing w:before="1"/>
        <w:ind w:left="321" w:right="0" w:firstLine="0"/>
        <w:jc w:val="left"/>
        <w:rPr>
          <w:sz w:val="16"/>
        </w:rPr>
      </w:pPr>
      <w:r>
        <w:rPr>
          <w:i/>
          <w:color w:val="231F20"/>
          <w:sz w:val="16"/>
        </w:rPr>
        <w:t>Contemporary Accounting Research </w:t>
      </w:r>
      <w:r>
        <w:rPr>
          <w:color w:val="231F20"/>
          <w:sz w:val="16"/>
        </w:rPr>
        <w:t>16 (1999): 135–66.</w:t>
      </w:r>
    </w:p>
    <w:p>
      <w:pPr>
        <w:spacing w:before="0"/>
        <w:ind w:left="321" w:right="519" w:hanging="160"/>
        <w:jc w:val="both"/>
        <w:rPr>
          <w:sz w:val="16"/>
        </w:rPr>
      </w:pPr>
      <w:r>
        <w:rPr>
          <w:color w:val="231F20"/>
          <w:sz w:val="16"/>
        </w:rPr>
        <w:t>F</w:t>
      </w:r>
      <w:r>
        <w:rPr>
          <w:color w:val="231F20"/>
          <w:sz w:val="16"/>
          <w:vertAlign w:val="subscript"/>
        </w:rPr>
        <w:t>RANCIS</w:t>
      </w:r>
      <w:r>
        <w:rPr>
          <w:color w:val="231F20"/>
          <w:sz w:val="16"/>
          <w:vertAlign w:val="baseline"/>
        </w:rPr>
        <w:t>,</w:t>
      </w:r>
      <w:r>
        <w:rPr>
          <w:color w:val="231F20"/>
          <w:spacing w:val="-18"/>
          <w:sz w:val="16"/>
          <w:vertAlign w:val="baseline"/>
        </w:rPr>
        <w:t> </w:t>
      </w:r>
      <w:r>
        <w:rPr>
          <w:color w:val="231F20"/>
          <w:sz w:val="16"/>
          <w:vertAlign w:val="baseline"/>
        </w:rPr>
        <w:t>J.,</w:t>
      </w:r>
      <w:r>
        <w:rPr>
          <w:color w:val="231F20"/>
          <w:spacing w:val="-18"/>
          <w:sz w:val="16"/>
          <w:vertAlign w:val="baseline"/>
        </w:rPr>
        <w:t> </w:t>
      </w:r>
      <w:r>
        <w:rPr>
          <w:color w:val="231F20"/>
          <w:sz w:val="16"/>
          <w:vertAlign w:val="subscript"/>
        </w:rPr>
        <w:t>AND</w:t>
      </w:r>
      <w:r>
        <w:rPr>
          <w:color w:val="231F20"/>
          <w:spacing w:val="-23"/>
          <w:sz w:val="16"/>
          <w:vertAlign w:val="baseline"/>
        </w:rPr>
        <w:t> </w:t>
      </w:r>
      <w:r>
        <w:rPr>
          <w:color w:val="231F20"/>
          <w:sz w:val="16"/>
          <w:vertAlign w:val="baseline"/>
        </w:rPr>
        <w:t>X.</w:t>
      </w:r>
      <w:r>
        <w:rPr>
          <w:color w:val="231F20"/>
          <w:spacing w:val="-18"/>
          <w:sz w:val="16"/>
          <w:vertAlign w:val="baseline"/>
        </w:rPr>
        <w:t> </w:t>
      </w:r>
      <w:r>
        <w:rPr>
          <w:color w:val="231F20"/>
          <w:sz w:val="16"/>
          <w:vertAlign w:val="baseline"/>
        </w:rPr>
        <w:t>M</w:t>
      </w:r>
      <w:r>
        <w:rPr>
          <w:color w:val="231F20"/>
          <w:sz w:val="16"/>
          <w:vertAlign w:val="subscript"/>
        </w:rPr>
        <w:t>ARTIN</w:t>
      </w:r>
      <w:r>
        <w:rPr>
          <w:color w:val="231F20"/>
          <w:sz w:val="16"/>
          <w:vertAlign w:val="baseline"/>
        </w:rPr>
        <w:t>.</w:t>
      </w:r>
      <w:r>
        <w:rPr>
          <w:color w:val="231F20"/>
          <w:spacing w:val="-18"/>
          <w:sz w:val="16"/>
          <w:vertAlign w:val="baseline"/>
        </w:rPr>
        <w:t> </w:t>
      </w:r>
      <w:r>
        <w:rPr>
          <w:color w:val="231F20"/>
          <w:sz w:val="16"/>
          <w:vertAlign w:val="baseline"/>
        </w:rPr>
        <w:t>“Acquisition</w:t>
      </w:r>
      <w:r>
        <w:rPr>
          <w:color w:val="231F20"/>
          <w:spacing w:val="-18"/>
          <w:sz w:val="16"/>
          <w:vertAlign w:val="baseline"/>
        </w:rPr>
        <w:t> </w:t>
      </w:r>
      <w:r>
        <w:rPr>
          <w:color w:val="231F20"/>
          <w:sz w:val="16"/>
          <w:vertAlign w:val="baseline"/>
        </w:rPr>
        <w:t>Profitability</w:t>
      </w:r>
      <w:r>
        <w:rPr>
          <w:color w:val="231F20"/>
          <w:spacing w:val="-18"/>
          <w:sz w:val="16"/>
          <w:vertAlign w:val="baseline"/>
        </w:rPr>
        <w:t> </w:t>
      </w:r>
      <w:r>
        <w:rPr>
          <w:color w:val="231F20"/>
          <w:sz w:val="16"/>
          <w:vertAlign w:val="baseline"/>
        </w:rPr>
        <w:t>and</w:t>
      </w:r>
      <w:r>
        <w:rPr>
          <w:color w:val="231F20"/>
          <w:spacing w:val="-18"/>
          <w:sz w:val="16"/>
          <w:vertAlign w:val="baseline"/>
        </w:rPr>
        <w:t> </w:t>
      </w:r>
      <w:r>
        <w:rPr>
          <w:color w:val="231F20"/>
          <w:sz w:val="16"/>
          <w:vertAlign w:val="baseline"/>
        </w:rPr>
        <w:t>Timely</w:t>
      </w:r>
      <w:r>
        <w:rPr>
          <w:color w:val="231F20"/>
          <w:spacing w:val="-18"/>
          <w:sz w:val="16"/>
          <w:vertAlign w:val="baseline"/>
        </w:rPr>
        <w:t> </w:t>
      </w:r>
      <w:r>
        <w:rPr>
          <w:color w:val="231F20"/>
          <w:sz w:val="16"/>
          <w:vertAlign w:val="baseline"/>
        </w:rPr>
        <w:t>Loss</w:t>
      </w:r>
      <w:r>
        <w:rPr>
          <w:color w:val="231F20"/>
          <w:spacing w:val="-18"/>
          <w:sz w:val="16"/>
          <w:vertAlign w:val="baseline"/>
        </w:rPr>
        <w:t> </w:t>
      </w:r>
      <w:r>
        <w:rPr>
          <w:color w:val="231F20"/>
          <w:sz w:val="16"/>
          <w:vertAlign w:val="baseline"/>
        </w:rPr>
        <w:t>Recognition.”</w:t>
      </w:r>
      <w:r>
        <w:rPr>
          <w:color w:val="231F20"/>
          <w:spacing w:val="-18"/>
          <w:sz w:val="16"/>
          <w:vertAlign w:val="baseline"/>
        </w:rPr>
        <w:t> </w:t>
      </w:r>
      <w:r>
        <w:rPr>
          <w:i/>
          <w:color w:val="231F20"/>
          <w:sz w:val="16"/>
          <w:vertAlign w:val="baseline"/>
        </w:rPr>
        <w:t>Journal</w:t>
      </w:r>
      <w:r>
        <w:rPr>
          <w:i/>
          <w:color w:val="231F20"/>
          <w:spacing w:val="-18"/>
          <w:sz w:val="16"/>
          <w:vertAlign w:val="baseline"/>
        </w:rPr>
        <w:t> </w:t>
      </w:r>
      <w:r>
        <w:rPr>
          <w:i/>
          <w:color w:val="231F20"/>
          <w:sz w:val="16"/>
          <w:vertAlign w:val="baseline"/>
        </w:rPr>
        <w:t>of </w:t>
      </w:r>
      <w:r>
        <w:rPr>
          <w:i/>
          <w:color w:val="231F20"/>
          <w:sz w:val="16"/>
          <w:vertAlign w:val="baseline"/>
        </w:rPr>
        <w:t>Accounting and Economics</w:t>
      </w:r>
      <w:r>
        <w:rPr>
          <w:color w:val="231F20"/>
          <w:sz w:val="16"/>
          <w:vertAlign w:val="baseline"/>
        </w:rPr>
        <w:t>, 49 (2010):</w:t>
      </w:r>
      <w:r>
        <w:rPr>
          <w:color w:val="231F20"/>
          <w:spacing w:val="1"/>
          <w:sz w:val="16"/>
          <w:vertAlign w:val="baseline"/>
        </w:rPr>
        <w:t> </w:t>
      </w:r>
      <w:r>
        <w:rPr>
          <w:color w:val="231F20"/>
          <w:sz w:val="16"/>
          <w:vertAlign w:val="baseline"/>
        </w:rPr>
        <w:t>161–78.</w:t>
      </w:r>
    </w:p>
    <w:p>
      <w:pPr>
        <w:spacing w:before="1"/>
        <w:ind w:left="321" w:right="519" w:hanging="160"/>
        <w:jc w:val="both"/>
        <w:rPr>
          <w:sz w:val="16"/>
        </w:rPr>
      </w:pPr>
      <w:r>
        <w:rPr>
          <w:color w:val="231F20"/>
          <w:sz w:val="16"/>
        </w:rPr>
        <w:t>F</w:t>
      </w:r>
      <w:r>
        <w:rPr>
          <w:color w:val="231F20"/>
          <w:sz w:val="16"/>
          <w:vertAlign w:val="subscript"/>
        </w:rPr>
        <w:t>RANCIS</w:t>
      </w:r>
      <w:r>
        <w:rPr>
          <w:color w:val="231F20"/>
          <w:sz w:val="16"/>
          <w:vertAlign w:val="baseline"/>
        </w:rPr>
        <w:t>, J.; E. M</w:t>
      </w:r>
      <w:r>
        <w:rPr>
          <w:color w:val="231F20"/>
          <w:sz w:val="16"/>
          <w:vertAlign w:val="subscript"/>
        </w:rPr>
        <w:t>AYDEW</w:t>
      </w:r>
      <w:r>
        <w:rPr>
          <w:color w:val="231F20"/>
          <w:sz w:val="16"/>
          <w:vertAlign w:val="baseline"/>
        </w:rPr>
        <w:t>; </w:t>
      </w:r>
      <w:r>
        <w:rPr>
          <w:color w:val="231F20"/>
          <w:sz w:val="16"/>
          <w:vertAlign w:val="subscript"/>
        </w:rPr>
        <w:t>AND</w:t>
      </w:r>
      <w:r>
        <w:rPr>
          <w:color w:val="231F20"/>
          <w:sz w:val="16"/>
          <w:vertAlign w:val="baseline"/>
        </w:rPr>
        <w:t> H. S</w:t>
      </w:r>
      <w:r>
        <w:rPr>
          <w:color w:val="231F20"/>
          <w:sz w:val="16"/>
          <w:vertAlign w:val="subscript"/>
        </w:rPr>
        <w:t>PARKS</w:t>
      </w:r>
      <w:r>
        <w:rPr>
          <w:color w:val="231F20"/>
          <w:sz w:val="16"/>
          <w:vertAlign w:val="baseline"/>
        </w:rPr>
        <w:t>. “The Role of Big 6 Auditors in the Credible Reporting of Accruals.” </w:t>
      </w:r>
      <w:r>
        <w:rPr>
          <w:i/>
          <w:color w:val="231F20"/>
          <w:sz w:val="16"/>
          <w:vertAlign w:val="baseline"/>
        </w:rPr>
        <w:t>Auditing: A Journal of Practice &amp; Theory </w:t>
      </w:r>
      <w:r>
        <w:rPr>
          <w:color w:val="231F20"/>
          <w:sz w:val="16"/>
          <w:vertAlign w:val="baseline"/>
        </w:rPr>
        <w:t>18 (1999): 17–34.</w:t>
      </w:r>
    </w:p>
    <w:p>
      <w:pPr>
        <w:spacing w:before="1"/>
        <w:ind w:left="321" w:right="519" w:hanging="160"/>
        <w:jc w:val="both"/>
        <w:rPr>
          <w:sz w:val="16"/>
        </w:rPr>
      </w:pPr>
      <w:r>
        <w:rPr>
          <w:color w:val="231F20"/>
          <w:sz w:val="16"/>
        </w:rPr>
        <w:t>G</w:t>
      </w:r>
      <w:r>
        <w:rPr>
          <w:color w:val="231F20"/>
          <w:sz w:val="16"/>
          <w:vertAlign w:val="subscript"/>
        </w:rPr>
        <w:t>IVOLY</w:t>
      </w:r>
      <w:r>
        <w:rPr>
          <w:color w:val="231F20"/>
          <w:sz w:val="16"/>
          <w:vertAlign w:val="baseline"/>
        </w:rPr>
        <w:t>,</w:t>
      </w:r>
      <w:r>
        <w:rPr>
          <w:color w:val="231F20"/>
          <w:spacing w:val="-16"/>
          <w:sz w:val="16"/>
          <w:vertAlign w:val="baseline"/>
        </w:rPr>
        <w:t> </w:t>
      </w:r>
      <w:r>
        <w:rPr>
          <w:color w:val="231F20"/>
          <w:sz w:val="16"/>
          <w:vertAlign w:val="baseline"/>
        </w:rPr>
        <w:t>D.,</w:t>
      </w:r>
      <w:r>
        <w:rPr>
          <w:color w:val="231F20"/>
          <w:spacing w:val="-16"/>
          <w:sz w:val="16"/>
          <w:vertAlign w:val="baseline"/>
        </w:rPr>
        <w:t> </w:t>
      </w:r>
      <w:r>
        <w:rPr>
          <w:color w:val="231F20"/>
          <w:sz w:val="16"/>
          <w:vertAlign w:val="subscript"/>
        </w:rPr>
        <w:t>AND</w:t>
      </w:r>
      <w:r>
        <w:rPr>
          <w:color w:val="231F20"/>
          <w:spacing w:val="-21"/>
          <w:sz w:val="16"/>
          <w:vertAlign w:val="baseline"/>
        </w:rPr>
        <w:t> </w:t>
      </w:r>
      <w:r>
        <w:rPr>
          <w:color w:val="231F20"/>
          <w:sz w:val="16"/>
          <w:vertAlign w:val="baseline"/>
        </w:rPr>
        <w:t>C.</w:t>
      </w:r>
      <w:r>
        <w:rPr>
          <w:color w:val="231F20"/>
          <w:spacing w:val="-16"/>
          <w:sz w:val="16"/>
          <w:vertAlign w:val="baseline"/>
        </w:rPr>
        <w:t> </w:t>
      </w:r>
      <w:r>
        <w:rPr>
          <w:color w:val="231F20"/>
          <w:sz w:val="16"/>
          <w:vertAlign w:val="baseline"/>
        </w:rPr>
        <w:t>H</w:t>
      </w:r>
      <w:r>
        <w:rPr>
          <w:color w:val="231F20"/>
          <w:sz w:val="16"/>
          <w:vertAlign w:val="subscript"/>
        </w:rPr>
        <w:t>AYN</w:t>
      </w:r>
      <w:r>
        <w:rPr>
          <w:color w:val="231F20"/>
          <w:sz w:val="16"/>
          <w:vertAlign w:val="baseline"/>
        </w:rPr>
        <w:t>.</w:t>
      </w:r>
      <w:r>
        <w:rPr>
          <w:color w:val="231F20"/>
          <w:spacing w:val="-16"/>
          <w:sz w:val="16"/>
          <w:vertAlign w:val="baseline"/>
        </w:rPr>
        <w:t> </w:t>
      </w:r>
      <w:r>
        <w:rPr>
          <w:color w:val="231F20"/>
          <w:sz w:val="16"/>
          <w:vertAlign w:val="baseline"/>
        </w:rPr>
        <w:t>“The</w:t>
      </w:r>
      <w:r>
        <w:rPr>
          <w:color w:val="231F20"/>
          <w:spacing w:val="-16"/>
          <w:sz w:val="16"/>
          <w:vertAlign w:val="baseline"/>
        </w:rPr>
        <w:t> </w:t>
      </w:r>
      <w:r>
        <w:rPr>
          <w:color w:val="231F20"/>
          <w:sz w:val="16"/>
          <w:vertAlign w:val="baseline"/>
        </w:rPr>
        <w:t>Changing</w:t>
      </w:r>
      <w:r>
        <w:rPr>
          <w:color w:val="231F20"/>
          <w:spacing w:val="-16"/>
          <w:sz w:val="16"/>
          <w:vertAlign w:val="baseline"/>
        </w:rPr>
        <w:t> </w:t>
      </w:r>
      <w:r>
        <w:rPr>
          <w:color w:val="231F20"/>
          <w:sz w:val="16"/>
          <w:vertAlign w:val="baseline"/>
        </w:rPr>
        <w:t>Time-Series</w:t>
      </w:r>
      <w:r>
        <w:rPr>
          <w:color w:val="231F20"/>
          <w:spacing w:val="-16"/>
          <w:sz w:val="16"/>
          <w:vertAlign w:val="baseline"/>
        </w:rPr>
        <w:t> </w:t>
      </w:r>
      <w:r>
        <w:rPr>
          <w:color w:val="231F20"/>
          <w:sz w:val="16"/>
          <w:vertAlign w:val="baseline"/>
        </w:rPr>
        <w:t>Properties</w:t>
      </w:r>
      <w:r>
        <w:rPr>
          <w:color w:val="231F20"/>
          <w:spacing w:val="-16"/>
          <w:sz w:val="16"/>
          <w:vertAlign w:val="baseline"/>
        </w:rPr>
        <w:t> </w:t>
      </w:r>
      <w:r>
        <w:rPr>
          <w:color w:val="231F20"/>
          <w:sz w:val="16"/>
          <w:vertAlign w:val="baseline"/>
        </w:rPr>
        <w:t>of</w:t>
      </w:r>
      <w:r>
        <w:rPr>
          <w:color w:val="231F20"/>
          <w:spacing w:val="-16"/>
          <w:sz w:val="16"/>
          <w:vertAlign w:val="baseline"/>
        </w:rPr>
        <w:t> </w:t>
      </w:r>
      <w:r>
        <w:rPr>
          <w:color w:val="231F20"/>
          <w:sz w:val="16"/>
          <w:vertAlign w:val="baseline"/>
        </w:rPr>
        <w:t>Earnings,</w:t>
      </w:r>
      <w:r>
        <w:rPr>
          <w:color w:val="231F20"/>
          <w:spacing w:val="-16"/>
          <w:sz w:val="16"/>
          <w:vertAlign w:val="baseline"/>
        </w:rPr>
        <w:t> </w:t>
      </w:r>
      <w:r>
        <w:rPr>
          <w:color w:val="231F20"/>
          <w:sz w:val="16"/>
          <w:vertAlign w:val="baseline"/>
        </w:rPr>
        <w:t>Cash</w:t>
      </w:r>
      <w:r>
        <w:rPr>
          <w:color w:val="231F20"/>
          <w:spacing w:val="-16"/>
          <w:sz w:val="16"/>
          <w:vertAlign w:val="baseline"/>
        </w:rPr>
        <w:t> </w:t>
      </w:r>
      <w:r>
        <w:rPr>
          <w:color w:val="231F20"/>
          <w:sz w:val="16"/>
          <w:vertAlign w:val="baseline"/>
        </w:rPr>
        <w:t>Flows</w:t>
      </w:r>
      <w:r>
        <w:rPr>
          <w:color w:val="231F20"/>
          <w:spacing w:val="-16"/>
          <w:sz w:val="16"/>
          <w:vertAlign w:val="baseline"/>
        </w:rPr>
        <w:t> </w:t>
      </w:r>
      <w:r>
        <w:rPr>
          <w:color w:val="231F20"/>
          <w:sz w:val="16"/>
          <w:vertAlign w:val="baseline"/>
        </w:rPr>
        <w:t>and Accruals: Has Financial Reporting Become More Conservative?” </w:t>
      </w:r>
      <w:r>
        <w:rPr>
          <w:i/>
          <w:color w:val="231F20"/>
          <w:sz w:val="16"/>
          <w:vertAlign w:val="baseline"/>
        </w:rPr>
        <w:t>Journal of Accounting</w:t>
      </w:r>
      <w:r>
        <w:rPr>
          <w:i/>
          <w:color w:val="231F20"/>
          <w:spacing w:val="-23"/>
          <w:sz w:val="16"/>
          <w:vertAlign w:val="baseline"/>
        </w:rPr>
        <w:t> </w:t>
      </w:r>
      <w:r>
        <w:rPr>
          <w:i/>
          <w:color w:val="231F20"/>
          <w:sz w:val="16"/>
          <w:vertAlign w:val="baseline"/>
        </w:rPr>
        <w:t>and </w:t>
      </w:r>
      <w:r>
        <w:rPr>
          <w:i/>
          <w:color w:val="231F20"/>
          <w:sz w:val="16"/>
          <w:vertAlign w:val="baseline"/>
        </w:rPr>
        <w:t>Economics </w:t>
      </w:r>
      <w:r>
        <w:rPr>
          <w:color w:val="231F20"/>
          <w:sz w:val="16"/>
          <w:vertAlign w:val="baseline"/>
        </w:rPr>
        <w:t>29 (2000):</w:t>
      </w:r>
      <w:r>
        <w:rPr>
          <w:color w:val="231F20"/>
          <w:spacing w:val="2"/>
          <w:sz w:val="16"/>
          <w:vertAlign w:val="baseline"/>
        </w:rPr>
        <w:t> </w:t>
      </w:r>
      <w:r>
        <w:rPr>
          <w:color w:val="231F20"/>
          <w:sz w:val="16"/>
          <w:vertAlign w:val="baseline"/>
        </w:rPr>
        <w:t>287–320.</w:t>
      </w:r>
    </w:p>
    <w:p>
      <w:pPr>
        <w:spacing w:before="1"/>
        <w:ind w:left="321" w:right="519" w:hanging="160"/>
        <w:jc w:val="both"/>
        <w:rPr>
          <w:sz w:val="16"/>
        </w:rPr>
      </w:pPr>
      <w:r>
        <w:rPr>
          <w:color w:val="231F20"/>
          <w:sz w:val="16"/>
        </w:rPr>
        <w:t>G</w:t>
      </w:r>
      <w:r>
        <w:rPr>
          <w:color w:val="231F20"/>
          <w:sz w:val="16"/>
          <w:vertAlign w:val="subscript"/>
        </w:rPr>
        <w:t>ORMLEY</w:t>
      </w:r>
      <w:r>
        <w:rPr>
          <w:color w:val="231F20"/>
          <w:sz w:val="16"/>
          <w:vertAlign w:val="baseline"/>
        </w:rPr>
        <w:t>, </w:t>
      </w:r>
      <w:r>
        <w:rPr>
          <w:color w:val="231F20"/>
          <w:spacing w:val="-9"/>
          <w:sz w:val="16"/>
          <w:vertAlign w:val="baseline"/>
        </w:rPr>
        <w:t>T.  </w:t>
      </w:r>
      <w:r>
        <w:rPr>
          <w:color w:val="231F20"/>
          <w:sz w:val="16"/>
          <w:vertAlign w:val="baseline"/>
        </w:rPr>
        <w:t>A.; B. H. K</w:t>
      </w:r>
      <w:r>
        <w:rPr>
          <w:color w:val="231F20"/>
          <w:sz w:val="16"/>
          <w:vertAlign w:val="subscript"/>
        </w:rPr>
        <w:t>IM</w:t>
      </w:r>
      <w:r>
        <w:rPr>
          <w:color w:val="231F20"/>
          <w:sz w:val="16"/>
          <w:vertAlign w:val="baseline"/>
        </w:rPr>
        <w:t>; </w:t>
      </w:r>
      <w:r>
        <w:rPr>
          <w:color w:val="231F20"/>
          <w:sz w:val="16"/>
          <w:vertAlign w:val="subscript"/>
        </w:rPr>
        <w:t>AND</w:t>
      </w:r>
      <w:r>
        <w:rPr>
          <w:color w:val="231F20"/>
          <w:sz w:val="16"/>
          <w:vertAlign w:val="baseline"/>
        </w:rPr>
        <w:t> X. M</w:t>
      </w:r>
      <w:r>
        <w:rPr>
          <w:color w:val="231F20"/>
          <w:sz w:val="16"/>
          <w:vertAlign w:val="subscript"/>
        </w:rPr>
        <w:t>ARTIN</w:t>
      </w:r>
      <w:r>
        <w:rPr>
          <w:color w:val="231F20"/>
          <w:sz w:val="16"/>
          <w:vertAlign w:val="baseline"/>
        </w:rPr>
        <w:t>. “Do Firms Adjust Their Timely Loss Recognition in</w:t>
      </w:r>
      <w:r>
        <w:rPr>
          <w:color w:val="231F20"/>
          <w:spacing w:val="-7"/>
          <w:sz w:val="16"/>
          <w:vertAlign w:val="baseline"/>
        </w:rPr>
        <w:t> </w:t>
      </w:r>
      <w:r>
        <w:rPr>
          <w:color w:val="231F20"/>
          <w:sz w:val="16"/>
          <w:vertAlign w:val="baseline"/>
        </w:rPr>
        <w:t>Response</w:t>
      </w:r>
      <w:r>
        <w:rPr>
          <w:color w:val="231F20"/>
          <w:spacing w:val="-7"/>
          <w:sz w:val="16"/>
          <w:vertAlign w:val="baseline"/>
        </w:rPr>
        <w:t> </w:t>
      </w:r>
      <w:r>
        <w:rPr>
          <w:color w:val="231F20"/>
          <w:sz w:val="16"/>
          <w:vertAlign w:val="baseline"/>
        </w:rPr>
        <w:t>to</w:t>
      </w:r>
      <w:r>
        <w:rPr>
          <w:color w:val="231F20"/>
          <w:spacing w:val="-7"/>
          <w:sz w:val="16"/>
          <w:vertAlign w:val="baseline"/>
        </w:rPr>
        <w:t> </w:t>
      </w:r>
      <w:r>
        <w:rPr>
          <w:color w:val="231F20"/>
          <w:sz w:val="16"/>
          <w:vertAlign w:val="baseline"/>
        </w:rPr>
        <w:t>Changes</w:t>
      </w:r>
      <w:r>
        <w:rPr>
          <w:color w:val="231F20"/>
          <w:spacing w:val="-7"/>
          <w:sz w:val="16"/>
          <w:vertAlign w:val="baseline"/>
        </w:rPr>
        <w:t> </w:t>
      </w:r>
      <w:r>
        <w:rPr>
          <w:color w:val="231F20"/>
          <w:sz w:val="16"/>
          <w:vertAlign w:val="baseline"/>
        </w:rPr>
        <w:t>in</w:t>
      </w:r>
      <w:r>
        <w:rPr>
          <w:color w:val="231F20"/>
          <w:spacing w:val="-7"/>
          <w:sz w:val="16"/>
          <w:vertAlign w:val="baseline"/>
        </w:rPr>
        <w:t> </w:t>
      </w:r>
      <w:r>
        <w:rPr>
          <w:color w:val="231F20"/>
          <w:sz w:val="16"/>
          <w:vertAlign w:val="baseline"/>
        </w:rPr>
        <w:t>the</w:t>
      </w:r>
      <w:r>
        <w:rPr>
          <w:color w:val="231F20"/>
          <w:spacing w:val="-7"/>
          <w:sz w:val="16"/>
          <w:vertAlign w:val="baseline"/>
        </w:rPr>
        <w:t> </w:t>
      </w:r>
      <w:r>
        <w:rPr>
          <w:color w:val="231F20"/>
          <w:sz w:val="16"/>
          <w:vertAlign w:val="baseline"/>
        </w:rPr>
        <w:t>Banking</w:t>
      </w:r>
      <w:r>
        <w:rPr>
          <w:color w:val="231F20"/>
          <w:spacing w:val="-7"/>
          <w:sz w:val="16"/>
          <w:vertAlign w:val="baseline"/>
        </w:rPr>
        <w:t> </w:t>
      </w:r>
      <w:r>
        <w:rPr>
          <w:color w:val="231F20"/>
          <w:sz w:val="16"/>
          <w:vertAlign w:val="baseline"/>
        </w:rPr>
        <w:t>Industry?”</w:t>
      </w:r>
      <w:r>
        <w:rPr>
          <w:color w:val="231F20"/>
          <w:spacing w:val="-7"/>
          <w:sz w:val="16"/>
          <w:vertAlign w:val="baseline"/>
        </w:rPr>
        <w:t> </w:t>
      </w:r>
      <w:r>
        <w:rPr>
          <w:i/>
          <w:color w:val="231F20"/>
          <w:sz w:val="16"/>
          <w:vertAlign w:val="baseline"/>
        </w:rPr>
        <w:t>Journal</w:t>
      </w:r>
      <w:r>
        <w:rPr>
          <w:i/>
          <w:color w:val="231F20"/>
          <w:spacing w:val="-7"/>
          <w:sz w:val="16"/>
          <w:vertAlign w:val="baseline"/>
        </w:rPr>
        <w:t> </w:t>
      </w:r>
      <w:r>
        <w:rPr>
          <w:i/>
          <w:color w:val="231F20"/>
          <w:sz w:val="16"/>
          <w:vertAlign w:val="baseline"/>
        </w:rPr>
        <w:t>of</w:t>
      </w:r>
      <w:r>
        <w:rPr>
          <w:i/>
          <w:color w:val="231F20"/>
          <w:spacing w:val="-7"/>
          <w:sz w:val="16"/>
          <w:vertAlign w:val="baseline"/>
        </w:rPr>
        <w:t> </w:t>
      </w:r>
      <w:r>
        <w:rPr>
          <w:i/>
          <w:color w:val="231F20"/>
          <w:sz w:val="16"/>
          <w:vertAlign w:val="baseline"/>
        </w:rPr>
        <w:t>Accounting</w:t>
      </w:r>
      <w:r>
        <w:rPr>
          <w:i/>
          <w:color w:val="231F20"/>
          <w:spacing w:val="-7"/>
          <w:sz w:val="16"/>
          <w:vertAlign w:val="baseline"/>
        </w:rPr>
        <w:t> </w:t>
      </w:r>
      <w:r>
        <w:rPr>
          <w:i/>
          <w:color w:val="231F20"/>
          <w:sz w:val="16"/>
          <w:vertAlign w:val="baseline"/>
        </w:rPr>
        <w:t>Research</w:t>
      </w:r>
      <w:r>
        <w:rPr>
          <w:i/>
          <w:color w:val="231F20"/>
          <w:spacing w:val="-7"/>
          <w:sz w:val="16"/>
          <w:vertAlign w:val="baseline"/>
        </w:rPr>
        <w:t> </w:t>
      </w:r>
      <w:r>
        <w:rPr>
          <w:color w:val="231F20"/>
          <w:sz w:val="16"/>
          <w:vertAlign w:val="baseline"/>
        </w:rPr>
        <w:t>50</w:t>
      </w:r>
      <w:r>
        <w:rPr>
          <w:color w:val="231F20"/>
          <w:spacing w:val="-7"/>
          <w:sz w:val="16"/>
          <w:vertAlign w:val="baseline"/>
        </w:rPr>
        <w:t> </w:t>
      </w:r>
      <w:r>
        <w:rPr>
          <w:color w:val="231F20"/>
          <w:sz w:val="16"/>
          <w:vertAlign w:val="baseline"/>
        </w:rPr>
        <w:t>(2012): 159–96.</w:t>
      </w:r>
    </w:p>
    <w:p>
      <w:pPr>
        <w:spacing w:before="1"/>
        <w:ind w:left="321" w:right="519" w:hanging="160"/>
        <w:jc w:val="both"/>
        <w:rPr>
          <w:sz w:val="16"/>
        </w:rPr>
      </w:pPr>
      <w:r>
        <w:rPr>
          <w:color w:val="231F20"/>
          <w:sz w:val="16"/>
        </w:rPr>
        <w:t>G</w:t>
      </w:r>
      <w:r>
        <w:rPr>
          <w:color w:val="231F20"/>
          <w:sz w:val="16"/>
          <w:vertAlign w:val="subscript"/>
        </w:rPr>
        <w:t>RAHAM</w:t>
      </w:r>
      <w:r>
        <w:rPr>
          <w:color w:val="231F20"/>
          <w:sz w:val="16"/>
          <w:vertAlign w:val="baseline"/>
        </w:rPr>
        <w:t>, J. R., </w:t>
      </w:r>
      <w:r>
        <w:rPr>
          <w:color w:val="231F20"/>
          <w:sz w:val="16"/>
          <w:vertAlign w:val="subscript"/>
        </w:rPr>
        <w:t>AND</w:t>
      </w:r>
      <w:r>
        <w:rPr>
          <w:color w:val="231F20"/>
          <w:sz w:val="16"/>
          <w:vertAlign w:val="baseline"/>
        </w:rPr>
        <w:t> L. M</w:t>
      </w:r>
      <w:r>
        <w:rPr>
          <w:color w:val="231F20"/>
          <w:sz w:val="16"/>
          <w:vertAlign w:val="subscript"/>
        </w:rPr>
        <w:t>ILLS</w:t>
      </w:r>
      <w:r>
        <w:rPr>
          <w:color w:val="231F20"/>
          <w:sz w:val="16"/>
          <w:vertAlign w:val="baseline"/>
        </w:rPr>
        <w:t>. “Using Tax Return Data to Simulate Corporate Marginal Tax Rates.” </w:t>
      </w:r>
      <w:r>
        <w:rPr>
          <w:i/>
          <w:color w:val="231F20"/>
          <w:sz w:val="16"/>
          <w:vertAlign w:val="baseline"/>
        </w:rPr>
        <w:t>Journal of Accounting and Economics </w:t>
      </w:r>
      <w:r>
        <w:rPr>
          <w:color w:val="231F20"/>
          <w:sz w:val="16"/>
          <w:vertAlign w:val="baseline"/>
        </w:rPr>
        <w:t>46 (2008): 366–88.</w:t>
      </w:r>
    </w:p>
    <w:p>
      <w:pPr>
        <w:spacing w:before="1"/>
        <w:ind w:left="321" w:right="519" w:hanging="160"/>
        <w:jc w:val="both"/>
        <w:rPr>
          <w:sz w:val="16"/>
        </w:rPr>
      </w:pPr>
      <w:r>
        <w:rPr>
          <w:color w:val="231F20"/>
          <w:sz w:val="16"/>
        </w:rPr>
        <w:t>H</w:t>
      </w:r>
      <w:r>
        <w:rPr>
          <w:color w:val="231F20"/>
          <w:sz w:val="16"/>
          <w:vertAlign w:val="subscript"/>
        </w:rPr>
        <w:t>U</w:t>
      </w:r>
      <w:r>
        <w:rPr>
          <w:color w:val="231F20"/>
          <w:sz w:val="16"/>
          <w:vertAlign w:val="baseline"/>
        </w:rPr>
        <w:t>, H., </w:t>
      </w:r>
      <w:r>
        <w:rPr>
          <w:color w:val="231F20"/>
          <w:sz w:val="16"/>
          <w:vertAlign w:val="subscript"/>
        </w:rPr>
        <w:t>AND</w:t>
      </w:r>
      <w:r>
        <w:rPr>
          <w:color w:val="231F20"/>
          <w:sz w:val="16"/>
          <w:vertAlign w:val="baseline"/>
        </w:rPr>
        <w:t> J. W</w:t>
      </w:r>
      <w:r>
        <w:rPr>
          <w:color w:val="231F20"/>
          <w:sz w:val="16"/>
          <w:vertAlign w:val="subscript"/>
        </w:rPr>
        <w:t>ESTBROOK</w:t>
      </w:r>
      <w:r>
        <w:rPr>
          <w:color w:val="231F20"/>
          <w:sz w:val="16"/>
          <w:vertAlign w:val="baseline"/>
        </w:rPr>
        <w:t>. “Abolition of the Corporate Duty to Creditors.” </w:t>
      </w:r>
      <w:r>
        <w:rPr>
          <w:i/>
          <w:color w:val="231F20"/>
          <w:sz w:val="16"/>
          <w:vertAlign w:val="baseline"/>
        </w:rPr>
        <w:t>Columbia Law </w:t>
      </w:r>
      <w:r>
        <w:rPr>
          <w:i/>
          <w:color w:val="231F20"/>
          <w:sz w:val="16"/>
          <w:vertAlign w:val="baseline"/>
        </w:rPr>
        <w:t>Review </w:t>
      </w:r>
      <w:r>
        <w:rPr>
          <w:color w:val="231F20"/>
          <w:sz w:val="16"/>
          <w:vertAlign w:val="baseline"/>
        </w:rPr>
        <w:t>107 (2007): 1321–1403.</w:t>
      </w:r>
    </w:p>
    <w:p>
      <w:pPr>
        <w:spacing w:before="1"/>
        <w:ind w:left="321" w:right="519" w:hanging="160"/>
        <w:jc w:val="both"/>
        <w:rPr>
          <w:sz w:val="16"/>
        </w:rPr>
      </w:pPr>
      <w:r>
        <w:rPr>
          <w:color w:val="231F20"/>
          <w:sz w:val="16"/>
        </w:rPr>
        <w:t>J</w:t>
      </w:r>
      <w:r>
        <w:rPr>
          <w:color w:val="231F20"/>
          <w:sz w:val="16"/>
          <w:vertAlign w:val="subscript"/>
        </w:rPr>
        <w:t>AYARAMAN</w:t>
      </w:r>
      <w:r>
        <w:rPr>
          <w:color w:val="231F20"/>
          <w:sz w:val="16"/>
          <w:vertAlign w:val="baseline"/>
        </w:rPr>
        <w:t>, S., </w:t>
      </w:r>
      <w:r>
        <w:rPr>
          <w:color w:val="231F20"/>
          <w:sz w:val="16"/>
          <w:vertAlign w:val="subscript"/>
        </w:rPr>
        <w:t>AND</w:t>
      </w:r>
      <w:r>
        <w:rPr>
          <w:color w:val="231F20"/>
          <w:sz w:val="16"/>
          <w:vertAlign w:val="baseline"/>
        </w:rPr>
        <w:t> L. S</w:t>
      </w:r>
      <w:r>
        <w:rPr>
          <w:color w:val="231F20"/>
          <w:sz w:val="16"/>
          <w:vertAlign w:val="subscript"/>
        </w:rPr>
        <w:t>HIVAKUMAR</w:t>
      </w:r>
      <w:r>
        <w:rPr>
          <w:color w:val="231F20"/>
          <w:sz w:val="16"/>
          <w:vertAlign w:val="baseline"/>
        </w:rPr>
        <w:t>. “Agency-Based Demand for Conservatism: Evidence from State Adoption of Antitakeover Laws.” </w:t>
      </w:r>
      <w:r>
        <w:rPr>
          <w:i/>
          <w:color w:val="231F20"/>
          <w:sz w:val="16"/>
          <w:vertAlign w:val="baseline"/>
        </w:rPr>
        <w:t>Review of Accounting Studies </w:t>
      </w:r>
      <w:r>
        <w:rPr>
          <w:color w:val="231F20"/>
          <w:sz w:val="16"/>
          <w:vertAlign w:val="baseline"/>
        </w:rPr>
        <w:t>18 (2013): 95–134.</w:t>
      </w:r>
    </w:p>
    <w:p>
      <w:pPr>
        <w:spacing w:before="1"/>
        <w:ind w:left="321" w:right="519" w:hanging="160"/>
        <w:jc w:val="both"/>
        <w:rPr>
          <w:sz w:val="16"/>
        </w:rPr>
      </w:pPr>
      <w:r>
        <w:rPr>
          <w:color w:val="231F20"/>
          <w:sz w:val="16"/>
        </w:rPr>
        <w:t>J</w:t>
      </w:r>
      <w:r>
        <w:rPr>
          <w:color w:val="231F20"/>
          <w:sz w:val="16"/>
          <w:vertAlign w:val="subscript"/>
        </w:rPr>
        <w:t>ONES</w:t>
      </w:r>
      <w:r>
        <w:rPr>
          <w:color w:val="231F20"/>
          <w:sz w:val="16"/>
          <w:vertAlign w:val="baseline"/>
        </w:rPr>
        <w:t>, S., </w:t>
      </w:r>
      <w:r>
        <w:rPr>
          <w:color w:val="231F20"/>
          <w:sz w:val="16"/>
          <w:vertAlign w:val="subscript"/>
        </w:rPr>
        <w:t>AND</w:t>
      </w:r>
      <w:r>
        <w:rPr>
          <w:color w:val="231F20"/>
          <w:sz w:val="16"/>
          <w:vertAlign w:val="baseline"/>
        </w:rPr>
        <w:t> D. A. H</w:t>
      </w:r>
      <w:r>
        <w:rPr>
          <w:color w:val="231F20"/>
          <w:sz w:val="16"/>
          <w:vertAlign w:val="subscript"/>
        </w:rPr>
        <w:t>ENSHER</w:t>
      </w:r>
      <w:r>
        <w:rPr>
          <w:color w:val="231F20"/>
          <w:sz w:val="16"/>
          <w:vertAlign w:val="baseline"/>
        </w:rPr>
        <w:t>. “Predicting Firm Financial Distress: A Mixed Logit Model.” </w:t>
      </w:r>
      <w:r>
        <w:rPr>
          <w:i/>
          <w:color w:val="231F20"/>
          <w:sz w:val="16"/>
          <w:vertAlign w:val="baseline"/>
        </w:rPr>
        <w:t>The </w:t>
      </w:r>
      <w:r>
        <w:rPr>
          <w:i/>
          <w:color w:val="231F20"/>
          <w:sz w:val="16"/>
          <w:vertAlign w:val="baseline"/>
        </w:rPr>
        <w:t>Accounting Review </w:t>
      </w:r>
      <w:r>
        <w:rPr>
          <w:color w:val="231F20"/>
          <w:sz w:val="16"/>
          <w:vertAlign w:val="baseline"/>
        </w:rPr>
        <w:t>79 (2004): 1011–38.</w:t>
      </w:r>
    </w:p>
    <w:p>
      <w:pPr>
        <w:spacing w:before="1"/>
        <w:ind w:left="321" w:right="519" w:hanging="160"/>
        <w:jc w:val="both"/>
        <w:rPr>
          <w:sz w:val="16"/>
        </w:rPr>
      </w:pPr>
      <w:r>
        <w:rPr>
          <w:color w:val="231F20"/>
          <w:sz w:val="16"/>
        </w:rPr>
        <w:t>K</w:t>
      </w:r>
      <w:r>
        <w:rPr>
          <w:color w:val="231F20"/>
          <w:sz w:val="16"/>
          <w:vertAlign w:val="subscript"/>
        </w:rPr>
        <w:t>HAN</w:t>
      </w:r>
      <w:r>
        <w:rPr>
          <w:color w:val="231F20"/>
          <w:sz w:val="16"/>
          <w:vertAlign w:val="baseline"/>
        </w:rPr>
        <w:t>, M., </w:t>
      </w:r>
      <w:r>
        <w:rPr>
          <w:color w:val="231F20"/>
          <w:sz w:val="16"/>
          <w:vertAlign w:val="subscript"/>
        </w:rPr>
        <w:t>AND</w:t>
      </w:r>
      <w:r>
        <w:rPr>
          <w:color w:val="231F20"/>
          <w:sz w:val="16"/>
          <w:vertAlign w:val="baseline"/>
        </w:rPr>
        <w:t> R. W</w:t>
      </w:r>
      <w:r>
        <w:rPr>
          <w:color w:val="231F20"/>
          <w:sz w:val="16"/>
          <w:vertAlign w:val="subscript"/>
        </w:rPr>
        <w:t>ATTS</w:t>
      </w:r>
      <w:r>
        <w:rPr>
          <w:color w:val="231F20"/>
          <w:sz w:val="16"/>
          <w:vertAlign w:val="baseline"/>
        </w:rPr>
        <w:t>. “Estimation and Empirical Properties of a Firm-Year Measure of Accounting Conservatism.” </w:t>
      </w:r>
      <w:r>
        <w:rPr>
          <w:i/>
          <w:color w:val="231F20"/>
          <w:sz w:val="16"/>
          <w:vertAlign w:val="baseline"/>
        </w:rPr>
        <w:t>Journal of Accounting and Economics </w:t>
      </w:r>
      <w:r>
        <w:rPr>
          <w:color w:val="231F20"/>
          <w:sz w:val="16"/>
          <w:vertAlign w:val="baseline"/>
        </w:rPr>
        <w:t>48 (2009): 132–50.</w:t>
      </w:r>
    </w:p>
    <w:p>
      <w:pPr>
        <w:spacing w:before="0"/>
        <w:ind w:left="321" w:right="519" w:hanging="160"/>
        <w:jc w:val="both"/>
        <w:rPr>
          <w:sz w:val="16"/>
        </w:rPr>
      </w:pPr>
      <w:r>
        <w:rPr>
          <w:color w:val="231F20"/>
          <w:sz w:val="16"/>
        </w:rPr>
        <w:t>K</w:t>
      </w:r>
      <w:r>
        <w:rPr>
          <w:color w:val="231F20"/>
          <w:sz w:val="16"/>
          <w:vertAlign w:val="subscript"/>
        </w:rPr>
        <w:t>RISHNAN</w:t>
      </w:r>
      <w:r>
        <w:rPr>
          <w:color w:val="231F20"/>
          <w:sz w:val="16"/>
          <w:vertAlign w:val="baseline"/>
        </w:rPr>
        <w:t>, G., </w:t>
      </w:r>
      <w:r>
        <w:rPr>
          <w:color w:val="231F20"/>
          <w:sz w:val="16"/>
          <w:vertAlign w:val="subscript"/>
        </w:rPr>
        <w:t>AND</w:t>
      </w:r>
      <w:r>
        <w:rPr>
          <w:color w:val="231F20"/>
          <w:sz w:val="16"/>
          <w:vertAlign w:val="baseline"/>
        </w:rPr>
        <w:t> G. V</w:t>
      </w:r>
      <w:r>
        <w:rPr>
          <w:color w:val="231F20"/>
          <w:sz w:val="16"/>
          <w:vertAlign w:val="subscript"/>
        </w:rPr>
        <w:t>ISVANATHAN</w:t>
      </w:r>
      <w:r>
        <w:rPr>
          <w:color w:val="231F20"/>
          <w:sz w:val="16"/>
          <w:vertAlign w:val="baseline"/>
        </w:rPr>
        <w:t>. “Does the SOX Definition of an Accounting Expert Mat- ter? The Association Between Audit Committee Directors’ Accounting Expertise and Ac- counting Conservatism.” </w:t>
      </w:r>
      <w:r>
        <w:rPr>
          <w:i/>
          <w:color w:val="231F20"/>
          <w:sz w:val="16"/>
          <w:vertAlign w:val="baseline"/>
        </w:rPr>
        <w:t>Contemporary Accounting Research </w:t>
      </w:r>
      <w:r>
        <w:rPr>
          <w:color w:val="231F20"/>
          <w:sz w:val="16"/>
          <w:vertAlign w:val="baseline"/>
        </w:rPr>
        <w:t>25 (2008): 827–57.</w:t>
      </w:r>
    </w:p>
    <w:p>
      <w:pPr>
        <w:spacing w:before="2"/>
        <w:ind w:left="162" w:right="0" w:firstLine="0"/>
        <w:jc w:val="left"/>
        <w:rPr>
          <w:sz w:val="16"/>
        </w:rPr>
      </w:pPr>
      <w:r>
        <w:rPr>
          <w:color w:val="231F20"/>
          <w:sz w:val="16"/>
        </w:rPr>
        <w:t>L</w:t>
      </w:r>
      <w:r>
        <w:rPr>
          <w:color w:val="231F20"/>
          <w:sz w:val="16"/>
          <w:vertAlign w:val="subscript"/>
        </w:rPr>
        <w:t>AFOND</w:t>
      </w:r>
      <w:r>
        <w:rPr>
          <w:color w:val="231F20"/>
          <w:sz w:val="16"/>
          <w:vertAlign w:val="baseline"/>
        </w:rPr>
        <w:t>, R., </w:t>
      </w:r>
      <w:r>
        <w:rPr>
          <w:color w:val="231F20"/>
          <w:sz w:val="16"/>
          <w:vertAlign w:val="subscript"/>
        </w:rPr>
        <w:t>AND</w:t>
      </w:r>
      <w:r>
        <w:rPr>
          <w:color w:val="231F20"/>
          <w:sz w:val="16"/>
          <w:vertAlign w:val="baseline"/>
        </w:rPr>
        <w:t> S. R</w:t>
      </w:r>
      <w:r>
        <w:rPr>
          <w:color w:val="231F20"/>
          <w:sz w:val="16"/>
          <w:vertAlign w:val="subscript"/>
        </w:rPr>
        <w:t>OYCHOWDHURY</w:t>
      </w:r>
      <w:r>
        <w:rPr>
          <w:color w:val="231F20"/>
          <w:sz w:val="16"/>
          <w:vertAlign w:val="baseline"/>
        </w:rPr>
        <w:t>. “Managerial Ownership and Accounting Conservatism.”</w:t>
      </w:r>
    </w:p>
    <w:p>
      <w:pPr>
        <w:spacing w:before="0"/>
        <w:ind w:left="321" w:right="0" w:firstLine="0"/>
        <w:jc w:val="left"/>
        <w:rPr>
          <w:sz w:val="16"/>
        </w:rPr>
      </w:pPr>
      <w:r>
        <w:rPr>
          <w:i/>
          <w:color w:val="231F20"/>
          <w:sz w:val="16"/>
        </w:rPr>
        <w:t>Journal of Accounting Research </w:t>
      </w:r>
      <w:r>
        <w:rPr>
          <w:color w:val="231F20"/>
          <w:sz w:val="16"/>
        </w:rPr>
        <w:t>46 (2008): 101–35.</w:t>
      </w:r>
    </w:p>
    <w:p>
      <w:pPr>
        <w:spacing w:before="1"/>
        <w:ind w:left="321" w:right="519" w:hanging="160"/>
        <w:jc w:val="both"/>
        <w:rPr>
          <w:sz w:val="16"/>
        </w:rPr>
      </w:pPr>
      <w:r>
        <w:rPr>
          <w:color w:val="231F20"/>
          <w:sz w:val="16"/>
        </w:rPr>
        <w:t>L</w:t>
      </w:r>
      <w:r>
        <w:rPr>
          <w:color w:val="231F20"/>
          <w:sz w:val="16"/>
          <w:vertAlign w:val="subscript"/>
        </w:rPr>
        <w:t>A</w:t>
      </w:r>
      <w:r>
        <w:rPr>
          <w:color w:val="231F20"/>
          <w:sz w:val="16"/>
          <w:vertAlign w:val="baseline"/>
        </w:rPr>
        <w:t>F</w:t>
      </w:r>
      <w:r>
        <w:rPr>
          <w:color w:val="231F20"/>
          <w:sz w:val="16"/>
          <w:vertAlign w:val="subscript"/>
        </w:rPr>
        <w:t>OND</w:t>
      </w:r>
      <w:r>
        <w:rPr>
          <w:color w:val="231F20"/>
          <w:sz w:val="16"/>
          <w:vertAlign w:val="baseline"/>
        </w:rPr>
        <w:t>,</w:t>
      </w:r>
      <w:r>
        <w:rPr>
          <w:color w:val="231F20"/>
          <w:spacing w:val="-18"/>
          <w:sz w:val="16"/>
          <w:vertAlign w:val="baseline"/>
        </w:rPr>
        <w:t> </w:t>
      </w:r>
      <w:r>
        <w:rPr>
          <w:color w:val="231F20"/>
          <w:sz w:val="16"/>
          <w:vertAlign w:val="baseline"/>
        </w:rPr>
        <w:t>R.,</w:t>
      </w:r>
      <w:r>
        <w:rPr>
          <w:color w:val="231F20"/>
          <w:spacing w:val="-18"/>
          <w:sz w:val="16"/>
          <w:vertAlign w:val="baseline"/>
        </w:rPr>
        <w:t> </w:t>
      </w:r>
      <w:r>
        <w:rPr>
          <w:color w:val="231F20"/>
          <w:sz w:val="16"/>
          <w:vertAlign w:val="subscript"/>
        </w:rPr>
        <w:t>AND</w:t>
      </w:r>
      <w:r>
        <w:rPr>
          <w:color w:val="231F20"/>
          <w:spacing w:val="-23"/>
          <w:sz w:val="16"/>
          <w:vertAlign w:val="baseline"/>
        </w:rPr>
        <w:t> </w:t>
      </w:r>
      <w:r>
        <w:rPr>
          <w:color w:val="231F20"/>
          <w:sz w:val="16"/>
          <w:vertAlign w:val="baseline"/>
        </w:rPr>
        <w:t>R.</w:t>
      </w:r>
      <w:r>
        <w:rPr>
          <w:color w:val="231F20"/>
          <w:spacing w:val="-18"/>
          <w:sz w:val="16"/>
          <w:vertAlign w:val="baseline"/>
        </w:rPr>
        <w:t> </w:t>
      </w:r>
      <w:r>
        <w:rPr>
          <w:color w:val="231F20"/>
          <w:sz w:val="16"/>
          <w:vertAlign w:val="baseline"/>
        </w:rPr>
        <w:t>W</w:t>
      </w:r>
      <w:r>
        <w:rPr>
          <w:color w:val="231F20"/>
          <w:sz w:val="16"/>
          <w:vertAlign w:val="subscript"/>
        </w:rPr>
        <w:t>ATTS</w:t>
      </w:r>
      <w:r>
        <w:rPr>
          <w:color w:val="231F20"/>
          <w:sz w:val="16"/>
          <w:vertAlign w:val="baseline"/>
        </w:rPr>
        <w:t>.</w:t>
      </w:r>
      <w:r>
        <w:rPr>
          <w:color w:val="231F20"/>
          <w:spacing w:val="-18"/>
          <w:sz w:val="16"/>
          <w:vertAlign w:val="baseline"/>
        </w:rPr>
        <w:t> </w:t>
      </w:r>
      <w:r>
        <w:rPr>
          <w:color w:val="231F20"/>
          <w:sz w:val="16"/>
          <w:vertAlign w:val="baseline"/>
        </w:rPr>
        <w:t>“The</w:t>
      </w:r>
      <w:r>
        <w:rPr>
          <w:color w:val="231F20"/>
          <w:spacing w:val="-18"/>
          <w:sz w:val="16"/>
          <w:vertAlign w:val="baseline"/>
        </w:rPr>
        <w:t> </w:t>
      </w:r>
      <w:r>
        <w:rPr>
          <w:color w:val="231F20"/>
          <w:sz w:val="16"/>
          <w:vertAlign w:val="baseline"/>
        </w:rPr>
        <w:t>Information</w:t>
      </w:r>
      <w:r>
        <w:rPr>
          <w:color w:val="231F20"/>
          <w:spacing w:val="-18"/>
          <w:sz w:val="16"/>
          <w:vertAlign w:val="baseline"/>
        </w:rPr>
        <w:t> </w:t>
      </w:r>
      <w:r>
        <w:rPr>
          <w:color w:val="231F20"/>
          <w:sz w:val="16"/>
          <w:vertAlign w:val="baseline"/>
        </w:rPr>
        <w:t>Role</w:t>
      </w:r>
      <w:r>
        <w:rPr>
          <w:color w:val="231F20"/>
          <w:spacing w:val="-18"/>
          <w:sz w:val="16"/>
          <w:vertAlign w:val="baseline"/>
        </w:rPr>
        <w:t> </w:t>
      </w:r>
      <w:r>
        <w:rPr>
          <w:color w:val="231F20"/>
          <w:sz w:val="16"/>
          <w:vertAlign w:val="baseline"/>
        </w:rPr>
        <w:t>of</w:t>
      </w:r>
      <w:r>
        <w:rPr>
          <w:color w:val="231F20"/>
          <w:spacing w:val="-18"/>
          <w:sz w:val="16"/>
          <w:vertAlign w:val="baseline"/>
        </w:rPr>
        <w:t> </w:t>
      </w:r>
      <w:r>
        <w:rPr>
          <w:color w:val="231F20"/>
          <w:sz w:val="16"/>
          <w:vertAlign w:val="baseline"/>
        </w:rPr>
        <w:t>Conservatism.”</w:t>
      </w:r>
      <w:r>
        <w:rPr>
          <w:color w:val="231F20"/>
          <w:spacing w:val="-18"/>
          <w:sz w:val="16"/>
          <w:vertAlign w:val="baseline"/>
        </w:rPr>
        <w:t> </w:t>
      </w:r>
      <w:r>
        <w:rPr>
          <w:i/>
          <w:color w:val="231F20"/>
          <w:sz w:val="16"/>
          <w:vertAlign w:val="baseline"/>
        </w:rPr>
        <w:t>The</w:t>
      </w:r>
      <w:r>
        <w:rPr>
          <w:i/>
          <w:color w:val="231F20"/>
          <w:spacing w:val="-18"/>
          <w:sz w:val="16"/>
          <w:vertAlign w:val="baseline"/>
        </w:rPr>
        <w:t> </w:t>
      </w:r>
      <w:r>
        <w:rPr>
          <w:i/>
          <w:color w:val="231F20"/>
          <w:sz w:val="16"/>
          <w:vertAlign w:val="baseline"/>
        </w:rPr>
        <w:t>Accounting</w:t>
      </w:r>
      <w:r>
        <w:rPr>
          <w:i/>
          <w:color w:val="231F20"/>
          <w:spacing w:val="-18"/>
          <w:sz w:val="16"/>
          <w:vertAlign w:val="baseline"/>
        </w:rPr>
        <w:t> </w:t>
      </w:r>
      <w:r>
        <w:rPr>
          <w:i/>
          <w:color w:val="231F20"/>
          <w:sz w:val="16"/>
          <w:vertAlign w:val="baseline"/>
        </w:rPr>
        <w:t>Review</w:t>
      </w:r>
      <w:r>
        <w:rPr>
          <w:i/>
          <w:color w:val="231F20"/>
          <w:spacing w:val="-18"/>
          <w:sz w:val="16"/>
          <w:vertAlign w:val="baseline"/>
        </w:rPr>
        <w:t> </w:t>
      </w:r>
      <w:r>
        <w:rPr>
          <w:color w:val="231F20"/>
          <w:sz w:val="16"/>
          <w:vertAlign w:val="baseline"/>
        </w:rPr>
        <w:t>83 (2008):</w:t>
      </w:r>
      <w:r>
        <w:rPr>
          <w:color w:val="231F20"/>
          <w:spacing w:val="0"/>
          <w:sz w:val="16"/>
          <w:vertAlign w:val="baseline"/>
        </w:rPr>
        <w:t> </w:t>
      </w:r>
      <w:r>
        <w:rPr>
          <w:color w:val="231F20"/>
          <w:sz w:val="16"/>
          <w:vertAlign w:val="baseline"/>
        </w:rPr>
        <w:t>447–78.</w:t>
      </w:r>
    </w:p>
    <w:p>
      <w:pPr>
        <w:spacing w:before="0"/>
        <w:ind w:left="321" w:right="519" w:hanging="160"/>
        <w:jc w:val="both"/>
        <w:rPr>
          <w:sz w:val="16"/>
        </w:rPr>
      </w:pPr>
      <w:r>
        <w:rPr>
          <w:color w:val="231F20"/>
          <w:sz w:val="16"/>
        </w:rPr>
        <w:t>L</w:t>
      </w:r>
      <w:r>
        <w:rPr>
          <w:color w:val="231F20"/>
          <w:sz w:val="16"/>
          <w:vertAlign w:val="subscript"/>
        </w:rPr>
        <w:t>EUZ</w:t>
      </w:r>
      <w:r>
        <w:rPr>
          <w:color w:val="231F20"/>
          <w:sz w:val="16"/>
          <w:vertAlign w:val="baseline"/>
        </w:rPr>
        <w:t>,</w:t>
      </w:r>
      <w:r>
        <w:rPr>
          <w:color w:val="231F20"/>
          <w:spacing w:val="-21"/>
          <w:sz w:val="16"/>
          <w:vertAlign w:val="baseline"/>
        </w:rPr>
        <w:t> </w:t>
      </w:r>
      <w:r>
        <w:rPr>
          <w:color w:val="231F20"/>
          <w:sz w:val="16"/>
          <w:vertAlign w:val="baseline"/>
        </w:rPr>
        <w:t>C.</w:t>
      </w:r>
      <w:r>
        <w:rPr>
          <w:color w:val="231F20"/>
          <w:spacing w:val="-21"/>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Role</w:t>
      </w:r>
      <w:r>
        <w:rPr>
          <w:color w:val="231F20"/>
          <w:spacing w:val="-20"/>
          <w:sz w:val="16"/>
          <w:vertAlign w:val="baseline"/>
        </w:rPr>
        <w:t> </w:t>
      </w:r>
      <w:r>
        <w:rPr>
          <w:color w:val="231F20"/>
          <w:sz w:val="16"/>
          <w:vertAlign w:val="baseline"/>
        </w:rPr>
        <w:t>of</w:t>
      </w:r>
      <w:r>
        <w:rPr>
          <w:color w:val="231F20"/>
          <w:spacing w:val="-21"/>
          <w:sz w:val="16"/>
          <w:vertAlign w:val="baseline"/>
        </w:rPr>
        <w:t> </w:t>
      </w:r>
      <w:r>
        <w:rPr>
          <w:color w:val="231F20"/>
          <w:sz w:val="16"/>
          <w:vertAlign w:val="baseline"/>
        </w:rPr>
        <w:t>Accrual</w:t>
      </w:r>
      <w:r>
        <w:rPr>
          <w:color w:val="231F20"/>
          <w:spacing w:val="-20"/>
          <w:sz w:val="16"/>
          <w:vertAlign w:val="baseline"/>
        </w:rPr>
        <w:t> </w:t>
      </w:r>
      <w:r>
        <w:rPr>
          <w:color w:val="231F20"/>
          <w:sz w:val="16"/>
          <w:vertAlign w:val="baseline"/>
        </w:rPr>
        <w:t>Accounting</w:t>
      </w:r>
      <w:r>
        <w:rPr>
          <w:color w:val="231F20"/>
          <w:spacing w:val="-20"/>
          <w:sz w:val="16"/>
          <w:vertAlign w:val="baseline"/>
        </w:rPr>
        <w:t> </w:t>
      </w:r>
      <w:r>
        <w:rPr>
          <w:color w:val="231F20"/>
          <w:sz w:val="16"/>
          <w:vertAlign w:val="baseline"/>
        </w:rPr>
        <w:t>in</w:t>
      </w:r>
      <w:r>
        <w:rPr>
          <w:color w:val="231F20"/>
          <w:spacing w:val="-21"/>
          <w:sz w:val="16"/>
          <w:vertAlign w:val="baseline"/>
        </w:rPr>
        <w:t> </w:t>
      </w:r>
      <w:r>
        <w:rPr>
          <w:color w:val="231F20"/>
          <w:sz w:val="16"/>
          <w:vertAlign w:val="baseline"/>
        </w:rPr>
        <w:t>Restricting</w:t>
      </w:r>
      <w:r>
        <w:rPr>
          <w:color w:val="231F20"/>
          <w:spacing w:val="-20"/>
          <w:sz w:val="16"/>
          <w:vertAlign w:val="baseline"/>
        </w:rPr>
        <w:t> </w:t>
      </w:r>
      <w:r>
        <w:rPr>
          <w:color w:val="231F20"/>
          <w:sz w:val="16"/>
          <w:vertAlign w:val="baseline"/>
        </w:rPr>
        <w:t>Dividends</w:t>
      </w:r>
      <w:r>
        <w:rPr>
          <w:color w:val="231F20"/>
          <w:spacing w:val="-21"/>
          <w:sz w:val="16"/>
          <w:vertAlign w:val="baseline"/>
        </w:rPr>
        <w:t> </w:t>
      </w:r>
      <w:r>
        <w:rPr>
          <w:color w:val="231F20"/>
          <w:sz w:val="16"/>
          <w:vertAlign w:val="baseline"/>
        </w:rPr>
        <w:t>to</w:t>
      </w:r>
      <w:r>
        <w:rPr>
          <w:color w:val="231F20"/>
          <w:spacing w:val="-21"/>
          <w:sz w:val="16"/>
          <w:vertAlign w:val="baseline"/>
        </w:rPr>
        <w:t> </w:t>
      </w:r>
      <w:r>
        <w:rPr>
          <w:color w:val="231F20"/>
          <w:sz w:val="16"/>
          <w:vertAlign w:val="baseline"/>
        </w:rPr>
        <w:t>Shareholders.”</w:t>
      </w:r>
      <w:r>
        <w:rPr>
          <w:color w:val="231F20"/>
          <w:spacing w:val="-20"/>
          <w:sz w:val="16"/>
          <w:vertAlign w:val="baseline"/>
        </w:rPr>
        <w:t> </w:t>
      </w:r>
      <w:r>
        <w:rPr>
          <w:i/>
          <w:color w:val="231F20"/>
          <w:sz w:val="16"/>
          <w:vertAlign w:val="baseline"/>
        </w:rPr>
        <w:t>European </w:t>
      </w:r>
      <w:r>
        <w:rPr>
          <w:i/>
          <w:color w:val="231F20"/>
          <w:sz w:val="16"/>
          <w:vertAlign w:val="baseline"/>
        </w:rPr>
        <w:t>Accounting Review </w:t>
      </w:r>
      <w:r>
        <w:rPr>
          <w:color w:val="231F20"/>
          <w:sz w:val="16"/>
          <w:vertAlign w:val="baseline"/>
        </w:rPr>
        <w:t>7 (1998):</w:t>
      </w:r>
      <w:r>
        <w:rPr>
          <w:color w:val="231F20"/>
          <w:spacing w:val="1"/>
          <w:sz w:val="16"/>
          <w:vertAlign w:val="baseline"/>
        </w:rPr>
        <w:t> </w:t>
      </w:r>
      <w:r>
        <w:rPr>
          <w:color w:val="231F20"/>
          <w:sz w:val="16"/>
          <w:vertAlign w:val="baseline"/>
        </w:rPr>
        <w:t>579–604.</w:t>
      </w:r>
    </w:p>
    <w:p>
      <w:pPr>
        <w:spacing w:before="1"/>
        <w:ind w:left="153" w:right="519" w:firstLine="0"/>
        <w:jc w:val="right"/>
        <w:rPr>
          <w:sz w:val="16"/>
        </w:rPr>
      </w:pPr>
      <w:r>
        <w:rPr>
          <w:color w:val="231F20"/>
          <w:sz w:val="16"/>
        </w:rPr>
        <w:t>L</w:t>
      </w:r>
      <w:r>
        <w:rPr>
          <w:color w:val="231F20"/>
          <w:sz w:val="16"/>
          <w:vertAlign w:val="subscript"/>
        </w:rPr>
        <w:t>EUZ</w:t>
      </w:r>
      <w:r>
        <w:rPr>
          <w:color w:val="231F20"/>
          <w:sz w:val="16"/>
          <w:vertAlign w:val="baseline"/>
        </w:rPr>
        <w:t>,</w:t>
      </w:r>
      <w:r>
        <w:rPr>
          <w:color w:val="231F20"/>
          <w:spacing w:val="-9"/>
          <w:sz w:val="16"/>
          <w:vertAlign w:val="baseline"/>
        </w:rPr>
        <w:t> </w:t>
      </w:r>
      <w:r>
        <w:rPr>
          <w:color w:val="231F20"/>
          <w:sz w:val="16"/>
          <w:vertAlign w:val="baseline"/>
        </w:rPr>
        <w:t>C.</w:t>
      </w:r>
      <w:r>
        <w:rPr>
          <w:color w:val="231F20"/>
          <w:spacing w:val="-9"/>
          <w:sz w:val="16"/>
          <w:vertAlign w:val="baseline"/>
        </w:rPr>
        <w:t> </w:t>
      </w:r>
      <w:r>
        <w:rPr>
          <w:color w:val="231F20"/>
          <w:sz w:val="16"/>
          <w:vertAlign w:val="baseline"/>
        </w:rPr>
        <w:t>“Comment</w:t>
      </w:r>
      <w:r>
        <w:rPr>
          <w:color w:val="231F20"/>
          <w:spacing w:val="-9"/>
          <w:sz w:val="16"/>
          <w:vertAlign w:val="baseline"/>
        </w:rPr>
        <w:t> </w:t>
      </w:r>
      <w:r>
        <w:rPr>
          <w:color w:val="231F20"/>
          <w:sz w:val="16"/>
          <w:vertAlign w:val="baseline"/>
        </w:rPr>
        <w:t>on</w:t>
      </w:r>
      <w:r>
        <w:rPr>
          <w:color w:val="231F20"/>
          <w:spacing w:val="-9"/>
          <w:sz w:val="16"/>
          <w:vertAlign w:val="baseline"/>
        </w:rPr>
        <w:t> </w:t>
      </w:r>
      <w:r>
        <w:rPr>
          <w:color w:val="231F20"/>
          <w:sz w:val="16"/>
          <w:vertAlign w:val="baseline"/>
        </w:rPr>
        <w:t>Infrastructure</w:t>
      </w:r>
      <w:r>
        <w:rPr>
          <w:color w:val="231F20"/>
          <w:spacing w:val="-8"/>
          <w:sz w:val="16"/>
          <w:vertAlign w:val="baseline"/>
        </w:rPr>
        <w:t> </w:t>
      </w:r>
      <w:r>
        <w:rPr>
          <w:color w:val="231F20"/>
          <w:sz w:val="16"/>
          <w:vertAlign w:val="baseline"/>
        </w:rPr>
        <w:t>Requirements</w:t>
      </w:r>
      <w:r>
        <w:rPr>
          <w:color w:val="231F20"/>
          <w:spacing w:val="-9"/>
          <w:sz w:val="16"/>
          <w:vertAlign w:val="baseline"/>
        </w:rPr>
        <w:t> </w:t>
      </w:r>
      <w:r>
        <w:rPr>
          <w:color w:val="231F20"/>
          <w:sz w:val="16"/>
          <w:vertAlign w:val="baseline"/>
        </w:rPr>
        <w:t>for</w:t>
      </w:r>
      <w:r>
        <w:rPr>
          <w:color w:val="231F20"/>
          <w:spacing w:val="-9"/>
          <w:sz w:val="16"/>
          <w:vertAlign w:val="baseline"/>
        </w:rPr>
        <w:t> </w:t>
      </w:r>
      <w:r>
        <w:rPr>
          <w:color w:val="231F20"/>
          <w:sz w:val="16"/>
          <w:vertAlign w:val="baseline"/>
        </w:rPr>
        <w:t>an</w:t>
      </w:r>
      <w:r>
        <w:rPr>
          <w:color w:val="231F20"/>
          <w:spacing w:val="-9"/>
          <w:sz w:val="16"/>
          <w:vertAlign w:val="baseline"/>
        </w:rPr>
        <w:t> </w:t>
      </w:r>
      <w:r>
        <w:rPr>
          <w:color w:val="231F20"/>
          <w:sz w:val="16"/>
          <w:vertAlign w:val="baseline"/>
        </w:rPr>
        <w:t>Economically</w:t>
      </w:r>
      <w:r>
        <w:rPr>
          <w:color w:val="231F20"/>
          <w:spacing w:val="-9"/>
          <w:sz w:val="16"/>
          <w:vertAlign w:val="baseline"/>
        </w:rPr>
        <w:t> </w:t>
      </w:r>
      <w:r>
        <w:rPr>
          <w:color w:val="231F20"/>
          <w:sz w:val="16"/>
          <w:vertAlign w:val="baseline"/>
        </w:rPr>
        <w:t>Efficient</w:t>
      </w:r>
      <w:r>
        <w:rPr>
          <w:color w:val="231F20"/>
          <w:spacing w:val="-9"/>
          <w:sz w:val="16"/>
          <w:vertAlign w:val="baseline"/>
        </w:rPr>
        <w:t> </w:t>
      </w:r>
      <w:r>
        <w:rPr>
          <w:color w:val="231F20"/>
          <w:sz w:val="16"/>
          <w:vertAlign w:val="baseline"/>
        </w:rPr>
        <w:t>System</w:t>
      </w:r>
      <w:r>
        <w:rPr>
          <w:color w:val="231F20"/>
          <w:spacing w:val="-9"/>
          <w:sz w:val="16"/>
          <w:vertAlign w:val="baseline"/>
        </w:rPr>
        <w:t> </w:t>
      </w:r>
      <w:r>
        <w:rPr>
          <w:color w:val="231F20"/>
          <w:sz w:val="16"/>
          <w:vertAlign w:val="baseline"/>
        </w:rPr>
        <w:t>of</w:t>
      </w:r>
      <w:r>
        <w:rPr>
          <w:color w:val="231F20"/>
          <w:w w:val="99"/>
          <w:sz w:val="16"/>
          <w:vertAlign w:val="baseline"/>
        </w:rPr>
        <w:t> </w:t>
      </w:r>
      <w:r>
        <w:rPr>
          <w:color w:val="231F20"/>
          <w:sz w:val="16"/>
          <w:vertAlign w:val="baseline"/>
        </w:rPr>
        <w:t>Public</w:t>
      </w:r>
      <w:r>
        <w:rPr>
          <w:color w:val="231F20"/>
          <w:spacing w:val="-25"/>
          <w:sz w:val="16"/>
          <w:vertAlign w:val="baseline"/>
        </w:rPr>
        <w:t> </w:t>
      </w:r>
      <w:r>
        <w:rPr>
          <w:color w:val="231F20"/>
          <w:sz w:val="16"/>
          <w:vertAlign w:val="baseline"/>
        </w:rPr>
        <w:t>Financial</w:t>
      </w:r>
      <w:r>
        <w:rPr>
          <w:color w:val="231F20"/>
          <w:spacing w:val="-25"/>
          <w:sz w:val="16"/>
          <w:vertAlign w:val="baseline"/>
        </w:rPr>
        <w:t> </w:t>
      </w:r>
      <w:r>
        <w:rPr>
          <w:color w:val="231F20"/>
          <w:sz w:val="16"/>
          <w:vertAlign w:val="baseline"/>
        </w:rPr>
        <w:t>Reporting</w:t>
      </w:r>
      <w:r>
        <w:rPr>
          <w:color w:val="231F20"/>
          <w:spacing w:val="-25"/>
          <w:sz w:val="16"/>
          <w:vertAlign w:val="baseline"/>
        </w:rPr>
        <w:t> </w:t>
      </w:r>
      <w:r>
        <w:rPr>
          <w:color w:val="231F20"/>
          <w:sz w:val="16"/>
          <w:vertAlign w:val="baseline"/>
        </w:rPr>
        <w:t>and</w:t>
      </w:r>
      <w:r>
        <w:rPr>
          <w:color w:val="231F20"/>
          <w:spacing w:val="-25"/>
          <w:sz w:val="16"/>
          <w:vertAlign w:val="baseline"/>
        </w:rPr>
        <w:t> </w:t>
      </w:r>
      <w:r>
        <w:rPr>
          <w:color w:val="231F20"/>
          <w:sz w:val="16"/>
          <w:vertAlign w:val="baseline"/>
        </w:rPr>
        <w:t>Disclosure,”</w:t>
      </w:r>
      <w:r>
        <w:rPr>
          <w:color w:val="231F20"/>
          <w:spacing w:val="-25"/>
          <w:sz w:val="16"/>
          <w:vertAlign w:val="baseline"/>
        </w:rPr>
        <w:t> </w:t>
      </w:r>
      <w:r>
        <w:rPr>
          <w:color w:val="231F20"/>
          <w:sz w:val="16"/>
          <w:vertAlign w:val="baseline"/>
        </w:rPr>
        <w:t>in</w:t>
      </w:r>
      <w:r>
        <w:rPr>
          <w:color w:val="231F20"/>
          <w:spacing w:val="-25"/>
          <w:sz w:val="16"/>
          <w:vertAlign w:val="baseline"/>
        </w:rPr>
        <w:t> </w:t>
      </w:r>
      <w:r>
        <w:rPr>
          <w:i/>
          <w:color w:val="231F20"/>
          <w:sz w:val="16"/>
          <w:vertAlign w:val="baseline"/>
        </w:rPr>
        <w:t>Brookings-Wharton</w:t>
      </w:r>
      <w:r>
        <w:rPr>
          <w:i/>
          <w:color w:val="231F20"/>
          <w:spacing w:val="-25"/>
          <w:sz w:val="16"/>
          <w:vertAlign w:val="baseline"/>
        </w:rPr>
        <w:t> </w:t>
      </w:r>
      <w:r>
        <w:rPr>
          <w:i/>
          <w:color w:val="231F20"/>
          <w:sz w:val="16"/>
          <w:vertAlign w:val="baseline"/>
        </w:rPr>
        <w:t>Papers</w:t>
      </w:r>
      <w:r>
        <w:rPr>
          <w:i/>
          <w:color w:val="231F20"/>
          <w:spacing w:val="-25"/>
          <w:sz w:val="16"/>
          <w:vertAlign w:val="baseline"/>
        </w:rPr>
        <w:t> </w:t>
      </w:r>
      <w:r>
        <w:rPr>
          <w:i/>
          <w:color w:val="231F20"/>
          <w:sz w:val="16"/>
          <w:vertAlign w:val="baseline"/>
        </w:rPr>
        <w:t>on</w:t>
      </w:r>
      <w:r>
        <w:rPr>
          <w:i/>
          <w:color w:val="231F20"/>
          <w:spacing w:val="-25"/>
          <w:sz w:val="16"/>
          <w:vertAlign w:val="baseline"/>
        </w:rPr>
        <w:t> </w:t>
      </w:r>
      <w:r>
        <w:rPr>
          <w:i/>
          <w:color w:val="231F20"/>
          <w:sz w:val="16"/>
          <w:vertAlign w:val="baseline"/>
        </w:rPr>
        <w:t>Financial</w:t>
      </w:r>
      <w:r>
        <w:rPr>
          <w:i/>
          <w:color w:val="231F20"/>
          <w:spacing w:val="-25"/>
          <w:sz w:val="16"/>
          <w:vertAlign w:val="baseline"/>
        </w:rPr>
        <w:t> </w:t>
      </w:r>
      <w:r>
        <w:rPr>
          <w:i/>
          <w:color w:val="231F20"/>
          <w:sz w:val="16"/>
          <w:vertAlign w:val="baseline"/>
        </w:rPr>
        <w:t>Services</w:t>
      </w:r>
      <w:r>
        <w:rPr>
          <w:color w:val="231F20"/>
          <w:sz w:val="16"/>
          <w:vertAlign w:val="baseline"/>
        </w:rPr>
        <w:t>,</w:t>
      </w:r>
      <w:r>
        <w:rPr>
          <w:color w:val="231F20"/>
          <w:w w:val="103"/>
          <w:sz w:val="16"/>
          <w:vertAlign w:val="baseline"/>
        </w:rPr>
        <w:t> </w:t>
      </w:r>
      <w:r>
        <w:rPr>
          <w:color w:val="231F20"/>
          <w:sz w:val="16"/>
          <w:vertAlign w:val="baseline"/>
        </w:rPr>
        <w:t>edited</w:t>
      </w:r>
      <w:r>
        <w:rPr>
          <w:color w:val="231F20"/>
          <w:spacing w:val="-13"/>
          <w:sz w:val="16"/>
          <w:vertAlign w:val="baseline"/>
        </w:rPr>
        <w:t> </w:t>
      </w:r>
      <w:r>
        <w:rPr>
          <w:color w:val="231F20"/>
          <w:sz w:val="16"/>
          <w:vertAlign w:val="baseline"/>
        </w:rPr>
        <w:t>by</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Litan</w:t>
      </w:r>
      <w:r>
        <w:rPr>
          <w:color w:val="231F20"/>
          <w:spacing w:val="-13"/>
          <w:sz w:val="16"/>
          <w:vertAlign w:val="baseline"/>
        </w:rPr>
        <w:t> </w:t>
      </w:r>
      <w:r>
        <w:rPr>
          <w:color w:val="231F20"/>
          <w:sz w:val="16"/>
          <w:vertAlign w:val="baseline"/>
        </w:rPr>
        <w:t>and</w:t>
      </w:r>
      <w:r>
        <w:rPr>
          <w:color w:val="231F20"/>
          <w:spacing w:val="-13"/>
          <w:sz w:val="16"/>
          <w:vertAlign w:val="baseline"/>
        </w:rPr>
        <w:t> </w:t>
      </w:r>
      <w:r>
        <w:rPr>
          <w:color w:val="231F20"/>
          <w:sz w:val="16"/>
          <w:vertAlign w:val="baseline"/>
        </w:rPr>
        <w:t>R.</w:t>
      </w:r>
      <w:r>
        <w:rPr>
          <w:color w:val="231F20"/>
          <w:spacing w:val="-13"/>
          <w:sz w:val="16"/>
          <w:vertAlign w:val="baseline"/>
        </w:rPr>
        <w:t> </w:t>
      </w:r>
      <w:r>
        <w:rPr>
          <w:color w:val="231F20"/>
          <w:sz w:val="16"/>
          <w:vertAlign w:val="baseline"/>
        </w:rPr>
        <w:t>Herring.</w:t>
      </w:r>
      <w:r>
        <w:rPr>
          <w:color w:val="231F20"/>
          <w:spacing w:val="-13"/>
          <w:sz w:val="16"/>
          <w:vertAlign w:val="baseline"/>
        </w:rPr>
        <w:t> </w:t>
      </w:r>
      <w:r>
        <w:rPr>
          <w:color w:val="231F20"/>
          <w:sz w:val="16"/>
          <w:vertAlign w:val="baseline"/>
        </w:rPr>
        <w:t>Washington:</w:t>
      </w:r>
      <w:r>
        <w:rPr>
          <w:color w:val="231F20"/>
          <w:spacing w:val="-13"/>
          <w:sz w:val="16"/>
          <w:vertAlign w:val="baseline"/>
        </w:rPr>
        <w:t> </w:t>
      </w:r>
      <w:r>
        <w:rPr>
          <w:color w:val="231F20"/>
          <w:sz w:val="16"/>
          <w:vertAlign w:val="baseline"/>
        </w:rPr>
        <w:t>Brookings</w:t>
      </w:r>
      <w:r>
        <w:rPr>
          <w:color w:val="231F20"/>
          <w:spacing w:val="-13"/>
          <w:sz w:val="16"/>
          <w:vertAlign w:val="baseline"/>
        </w:rPr>
        <w:t> </w:t>
      </w:r>
      <w:r>
        <w:rPr>
          <w:color w:val="231F20"/>
          <w:sz w:val="16"/>
          <w:vertAlign w:val="baseline"/>
        </w:rPr>
        <w:t>Institution</w:t>
      </w:r>
      <w:r>
        <w:rPr>
          <w:color w:val="231F20"/>
          <w:spacing w:val="-13"/>
          <w:sz w:val="16"/>
          <w:vertAlign w:val="baseline"/>
        </w:rPr>
        <w:t> </w:t>
      </w:r>
      <w:r>
        <w:rPr>
          <w:color w:val="231F20"/>
          <w:sz w:val="16"/>
          <w:vertAlign w:val="baseline"/>
        </w:rPr>
        <w:t>Press,</w:t>
      </w:r>
      <w:r>
        <w:rPr>
          <w:color w:val="231F20"/>
          <w:spacing w:val="-13"/>
          <w:sz w:val="16"/>
          <w:vertAlign w:val="baseline"/>
        </w:rPr>
        <w:t> </w:t>
      </w:r>
      <w:r>
        <w:rPr>
          <w:color w:val="231F20"/>
          <w:sz w:val="16"/>
          <w:vertAlign w:val="baseline"/>
        </w:rPr>
        <w:t>2001:</w:t>
      </w:r>
      <w:r>
        <w:rPr>
          <w:color w:val="231F20"/>
          <w:spacing w:val="-13"/>
          <w:sz w:val="16"/>
          <w:vertAlign w:val="baseline"/>
        </w:rPr>
        <w:t> </w:t>
      </w:r>
      <w:r>
        <w:rPr>
          <w:color w:val="231F20"/>
          <w:sz w:val="16"/>
          <w:vertAlign w:val="baseline"/>
        </w:rPr>
        <w:t>170–178.</w:t>
      </w:r>
      <w:r>
        <w:rPr>
          <w:color w:val="231F20"/>
          <w:spacing w:val="-1"/>
          <w:w w:val="103"/>
          <w:sz w:val="16"/>
          <w:vertAlign w:val="baseline"/>
        </w:rPr>
        <w:t> </w:t>
      </w:r>
      <w:r>
        <w:rPr>
          <w:color w:val="231F20"/>
          <w:w w:val="95"/>
          <w:sz w:val="16"/>
          <w:vertAlign w:val="baseline"/>
        </w:rPr>
        <w:t>L</w:t>
      </w:r>
      <w:r>
        <w:rPr>
          <w:color w:val="231F20"/>
          <w:w w:val="95"/>
          <w:sz w:val="16"/>
          <w:vertAlign w:val="subscript"/>
        </w:rPr>
        <w:t>EV</w:t>
      </w:r>
      <w:r>
        <w:rPr>
          <w:color w:val="231F20"/>
          <w:w w:val="95"/>
          <w:sz w:val="16"/>
          <w:vertAlign w:val="baseline"/>
        </w:rPr>
        <w:t>,</w:t>
      </w:r>
      <w:r>
        <w:rPr>
          <w:color w:val="231F20"/>
          <w:spacing w:val="-6"/>
          <w:w w:val="95"/>
          <w:sz w:val="16"/>
          <w:vertAlign w:val="baseline"/>
        </w:rPr>
        <w:t> </w:t>
      </w:r>
      <w:r>
        <w:rPr>
          <w:color w:val="231F20"/>
          <w:w w:val="95"/>
          <w:sz w:val="16"/>
          <w:vertAlign w:val="baseline"/>
        </w:rPr>
        <w:t>B.,</w:t>
      </w:r>
      <w:r>
        <w:rPr>
          <w:color w:val="231F20"/>
          <w:spacing w:val="-6"/>
          <w:w w:val="95"/>
          <w:sz w:val="16"/>
          <w:vertAlign w:val="baseline"/>
        </w:rPr>
        <w:t> </w:t>
      </w:r>
      <w:r>
        <w:rPr>
          <w:color w:val="231F20"/>
          <w:w w:val="95"/>
          <w:sz w:val="16"/>
          <w:vertAlign w:val="subscript"/>
        </w:rPr>
        <w:t>AND</w:t>
      </w:r>
      <w:r>
        <w:rPr>
          <w:color w:val="231F20"/>
          <w:spacing w:val="-13"/>
          <w:w w:val="95"/>
          <w:sz w:val="16"/>
          <w:vertAlign w:val="baseline"/>
        </w:rPr>
        <w:t> </w:t>
      </w:r>
      <w:r>
        <w:rPr>
          <w:color w:val="231F20"/>
          <w:spacing w:val="-9"/>
          <w:w w:val="95"/>
          <w:sz w:val="16"/>
          <w:vertAlign w:val="baseline"/>
        </w:rPr>
        <w:t>T.</w:t>
      </w:r>
      <w:r>
        <w:rPr>
          <w:color w:val="231F20"/>
          <w:spacing w:val="-6"/>
          <w:w w:val="95"/>
          <w:sz w:val="16"/>
          <w:vertAlign w:val="baseline"/>
        </w:rPr>
        <w:t> </w:t>
      </w:r>
      <w:r>
        <w:rPr>
          <w:color w:val="231F20"/>
          <w:w w:val="95"/>
          <w:sz w:val="16"/>
          <w:vertAlign w:val="baseline"/>
        </w:rPr>
        <w:t>S</w:t>
      </w:r>
      <w:r>
        <w:rPr>
          <w:color w:val="231F20"/>
          <w:w w:val="95"/>
          <w:sz w:val="16"/>
          <w:vertAlign w:val="subscript"/>
        </w:rPr>
        <w:t>OUGIANNIS</w:t>
      </w:r>
      <w:r>
        <w:rPr>
          <w:color w:val="231F20"/>
          <w:w w:val="95"/>
          <w:sz w:val="16"/>
          <w:vertAlign w:val="baseline"/>
        </w:rPr>
        <w:t>.</w:t>
      </w:r>
      <w:r>
        <w:rPr>
          <w:color w:val="231F20"/>
          <w:spacing w:val="-6"/>
          <w:w w:val="95"/>
          <w:sz w:val="16"/>
          <w:vertAlign w:val="baseline"/>
        </w:rPr>
        <w:t> </w:t>
      </w:r>
      <w:r>
        <w:rPr>
          <w:color w:val="231F20"/>
          <w:w w:val="95"/>
          <w:sz w:val="16"/>
          <w:vertAlign w:val="baseline"/>
        </w:rPr>
        <w:t>“The</w:t>
      </w:r>
      <w:r>
        <w:rPr>
          <w:color w:val="231F20"/>
          <w:spacing w:val="-6"/>
          <w:w w:val="95"/>
          <w:sz w:val="16"/>
          <w:vertAlign w:val="baseline"/>
        </w:rPr>
        <w:t> </w:t>
      </w:r>
      <w:r>
        <w:rPr>
          <w:color w:val="231F20"/>
          <w:w w:val="95"/>
          <w:sz w:val="16"/>
          <w:vertAlign w:val="baseline"/>
        </w:rPr>
        <w:t>Capitalization,</w:t>
      </w:r>
      <w:r>
        <w:rPr>
          <w:color w:val="231F20"/>
          <w:spacing w:val="-6"/>
          <w:w w:val="95"/>
          <w:sz w:val="16"/>
          <w:vertAlign w:val="baseline"/>
        </w:rPr>
        <w:t> </w:t>
      </w:r>
      <w:r>
        <w:rPr>
          <w:color w:val="231F20"/>
          <w:w w:val="95"/>
          <w:sz w:val="16"/>
          <w:vertAlign w:val="baseline"/>
        </w:rPr>
        <w:t>Amortization,</w:t>
      </w:r>
      <w:r>
        <w:rPr>
          <w:color w:val="231F20"/>
          <w:spacing w:val="-6"/>
          <w:w w:val="95"/>
          <w:sz w:val="16"/>
          <w:vertAlign w:val="baseline"/>
        </w:rPr>
        <w:t> </w:t>
      </w:r>
      <w:r>
        <w:rPr>
          <w:color w:val="231F20"/>
          <w:w w:val="95"/>
          <w:sz w:val="16"/>
          <w:vertAlign w:val="baseline"/>
        </w:rPr>
        <w:t>and</w:t>
      </w:r>
      <w:r>
        <w:rPr>
          <w:color w:val="231F20"/>
          <w:spacing w:val="-6"/>
          <w:w w:val="95"/>
          <w:sz w:val="16"/>
          <w:vertAlign w:val="baseline"/>
        </w:rPr>
        <w:t> </w:t>
      </w:r>
      <w:r>
        <w:rPr>
          <w:color w:val="231F20"/>
          <w:spacing w:val="-3"/>
          <w:w w:val="95"/>
          <w:sz w:val="16"/>
          <w:vertAlign w:val="baseline"/>
        </w:rPr>
        <w:t>Value</w:t>
      </w:r>
      <w:r>
        <w:rPr>
          <w:color w:val="231F20"/>
          <w:spacing w:val="-6"/>
          <w:w w:val="95"/>
          <w:sz w:val="16"/>
          <w:vertAlign w:val="baseline"/>
        </w:rPr>
        <w:t> </w:t>
      </w:r>
      <w:r>
        <w:rPr>
          <w:color w:val="231F20"/>
          <w:w w:val="95"/>
          <w:sz w:val="16"/>
          <w:vertAlign w:val="baseline"/>
        </w:rPr>
        <w:t>Relevance</w:t>
      </w:r>
      <w:r>
        <w:rPr>
          <w:color w:val="231F20"/>
          <w:spacing w:val="-6"/>
          <w:w w:val="95"/>
          <w:sz w:val="16"/>
          <w:vertAlign w:val="baseline"/>
        </w:rPr>
        <w:t> </w:t>
      </w:r>
      <w:r>
        <w:rPr>
          <w:color w:val="231F20"/>
          <w:w w:val="95"/>
          <w:sz w:val="16"/>
          <w:vertAlign w:val="baseline"/>
        </w:rPr>
        <w:t>of</w:t>
      </w:r>
      <w:r>
        <w:rPr>
          <w:color w:val="231F20"/>
          <w:spacing w:val="-6"/>
          <w:w w:val="95"/>
          <w:sz w:val="16"/>
          <w:vertAlign w:val="baseline"/>
        </w:rPr>
        <w:t> </w:t>
      </w:r>
      <w:r>
        <w:rPr>
          <w:color w:val="231F20"/>
          <w:w w:val="95"/>
          <w:sz w:val="16"/>
          <w:vertAlign w:val="baseline"/>
        </w:rPr>
        <w:t>R&amp;D.”</w:t>
      </w:r>
    </w:p>
    <w:p>
      <w:pPr>
        <w:spacing w:before="2"/>
        <w:ind w:left="321" w:right="0" w:firstLine="0"/>
        <w:jc w:val="left"/>
        <w:rPr>
          <w:sz w:val="16"/>
        </w:rPr>
      </w:pPr>
      <w:r>
        <w:rPr>
          <w:i/>
          <w:color w:val="231F20"/>
          <w:sz w:val="16"/>
        </w:rPr>
        <w:t>Journal of Accounting and Economics </w:t>
      </w:r>
      <w:r>
        <w:rPr>
          <w:color w:val="231F20"/>
          <w:sz w:val="16"/>
        </w:rPr>
        <w:t>21 (1996): 107–138.</w:t>
      </w:r>
    </w:p>
    <w:p>
      <w:pPr>
        <w:spacing w:before="1"/>
        <w:ind w:left="321" w:right="519" w:hanging="160"/>
        <w:jc w:val="both"/>
        <w:rPr>
          <w:sz w:val="16"/>
        </w:rPr>
      </w:pPr>
      <w:r>
        <w:rPr/>
        <w:pict>
          <v:shape style="position:absolute;margin-left:193.425827pt;margin-top:21.315287pt;width:6.25pt;height:13.95pt;mso-position-horizontal-relative:page;mso-position-vertical-relative:paragraph;z-index:-63040"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L</w:t>
      </w:r>
      <w:r>
        <w:rPr>
          <w:color w:val="231F20"/>
          <w:sz w:val="16"/>
          <w:vertAlign w:val="subscript"/>
        </w:rPr>
        <w:t>ITWAK</w:t>
      </w:r>
      <w:r>
        <w:rPr>
          <w:color w:val="231F20"/>
          <w:sz w:val="16"/>
          <w:vertAlign w:val="baseline"/>
        </w:rPr>
        <w:t>, K. “How Much </w:t>
      </w:r>
      <w:r>
        <w:rPr>
          <w:color w:val="231F20"/>
          <w:spacing w:val="-5"/>
          <w:sz w:val="16"/>
          <w:vertAlign w:val="baseline"/>
        </w:rPr>
        <w:t>We </w:t>
      </w:r>
      <w:r>
        <w:rPr>
          <w:color w:val="231F20"/>
          <w:sz w:val="16"/>
          <w:vertAlign w:val="baseline"/>
        </w:rPr>
        <w:t>Learn by Regressing Corporate Characteristics Against the  State of Incorporation.” Working </w:t>
      </w:r>
      <w:r>
        <w:rPr>
          <w:color w:val="231F20"/>
          <w:spacing w:val="-3"/>
          <w:sz w:val="16"/>
          <w:vertAlign w:val="baseline"/>
        </w:rPr>
        <w:t>paper. </w:t>
      </w:r>
      <w:r>
        <w:rPr>
          <w:color w:val="231F20"/>
          <w:sz w:val="16"/>
          <w:vertAlign w:val="baseline"/>
        </w:rPr>
        <w:t>Northwestern University, 2011. Available at: </w:t>
      </w:r>
      <w:hyperlink r:id="rId31">
        <w:r>
          <w:rPr>
            <w:color w:val="231F20"/>
            <w:sz w:val="16"/>
            <w:vertAlign w:val="baseline"/>
          </w:rPr>
          <w:t>http://papers.ssrn.com/abstract</w:t>
        </w:r>
      </w:hyperlink>
      <w:r>
        <w:rPr>
          <w:color w:val="231F20"/>
          <w:spacing w:val="1"/>
          <w:sz w:val="16"/>
          <w:vertAlign w:val="baseline"/>
        </w:rPr>
        <w:t> </w:t>
      </w:r>
      <w:r>
        <w:rPr>
          <w:color w:val="231F20"/>
          <w:sz w:val="16"/>
          <w:vertAlign w:val="baseline"/>
        </w:rPr>
        <w:t>1884709.</w:t>
      </w:r>
    </w:p>
    <w:p>
      <w:pPr>
        <w:spacing w:before="1"/>
        <w:ind w:left="321" w:right="519" w:hanging="160"/>
        <w:jc w:val="both"/>
        <w:rPr>
          <w:sz w:val="16"/>
        </w:rPr>
      </w:pPr>
      <w:r>
        <w:rPr>
          <w:color w:val="231F20"/>
          <w:sz w:val="16"/>
        </w:rPr>
        <w:t>M</w:t>
      </w:r>
      <w:r>
        <w:rPr>
          <w:color w:val="231F20"/>
          <w:sz w:val="16"/>
          <w:vertAlign w:val="subscript"/>
        </w:rPr>
        <w:t>ERTON</w:t>
      </w:r>
      <w:r>
        <w:rPr>
          <w:color w:val="231F20"/>
          <w:sz w:val="16"/>
          <w:vertAlign w:val="baseline"/>
        </w:rPr>
        <w:t>, R. “On the Pricing of Corporate Debt: The Risk Structure of Interest Rates.” </w:t>
      </w:r>
      <w:r>
        <w:rPr>
          <w:i/>
          <w:color w:val="231F20"/>
          <w:sz w:val="16"/>
          <w:vertAlign w:val="baseline"/>
        </w:rPr>
        <w:t>Journal </w:t>
      </w:r>
      <w:r>
        <w:rPr>
          <w:i/>
          <w:color w:val="231F20"/>
          <w:sz w:val="16"/>
          <w:vertAlign w:val="baseline"/>
        </w:rPr>
        <w:t>of Finance </w:t>
      </w:r>
      <w:r>
        <w:rPr>
          <w:color w:val="231F20"/>
          <w:sz w:val="16"/>
          <w:vertAlign w:val="baseline"/>
        </w:rPr>
        <w:t>29 (1974): 449–70.</w:t>
      </w:r>
    </w:p>
    <w:p>
      <w:pPr>
        <w:spacing w:before="1"/>
        <w:ind w:left="162" w:right="0" w:firstLine="0"/>
        <w:jc w:val="left"/>
        <w:rPr>
          <w:i/>
          <w:sz w:val="16"/>
        </w:rPr>
      </w:pPr>
      <w:r>
        <w:rPr>
          <w:color w:val="231F20"/>
          <w:sz w:val="16"/>
        </w:rPr>
        <w:t>N</w:t>
      </w:r>
      <w:r>
        <w:rPr>
          <w:color w:val="231F20"/>
          <w:sz w:val="16"/>
          <w:vertAlign w:val="subscript"/>
        </w:rPr>
        <w:t>IKOLAEV</w:t>
      </w:r>
      <w:r>
        <w:rPr>
          <w:color w:val="231F20"/>
          <w:sz w:val="16"/>
          <w:vertAlign w:val="baseline"/>
        </w:rPr>
        <w:t>, V. “Debt Covenants and Accounting Conservatism.” </w:t>
      </w:r>
      <w:r>
        <w:rPr>
          <w:i/>
          <w:color w:val="231F20"/>
          <w:sz w:val="16"/>
          <w:vertAlign w:val="baseline"/>
        </w:rPr>
        <w:t>Journal of Accounting Research</w:t>
      </w:r>
    </w:p>
    <w:p>
      <w:pPr>
        <w:spacing w:before="0"/>
        <w:ind w:left="321" w:right="0" w:firstLine="0"/>
        <w:jc w:val="left"/>
        <w:rPr>
          <w:sz w:val="16"/>
        </w:rPr>
      </w:pPr>
      <w:r>
        <w:rPr>
          <w:color w:val="231F20"/>
          <w:w w:val="105"/>
          <w:sz w:val="16"/>
        </w:rPr>
        <w:t>48 (2010): 51–89.</w:t>
      </w:r>
    </w:p>
    <w:p>
      <w:pPr>
        <w:spacing w:before="0"/>
        <w:ind w:left="321" w:right="519" w:hanging="160"/>
        <w:jc w:val="both"/>
        <w:rPr>
          <w:sz w:val="16"/>
        </w:rPr>
      </w:pPr>
      <w:r>
        <w:rPr>
          <w:color w:val="231F20"/>
          <w:sz w:val="16"/>
        </w:rPr>
        <w:t>N</w:t>
      </w:r>
      <w:r>
        <w:rPr>
          <w:color w:val="231F20"/>
          <w:sz w:val="16"/>
          <w:vertAlign w:val="subscript"/>
        </w:rPr>
        <w:t>INI</w:t>
      </w:r>
      <w:r>
        <w:rPr>
          <w:color w:val="231F20"/>
          <w:sz w:val="16"/>
          <w:vertAlign w:val="baseline"/>
        </w:rPr>
        <w:t>, G.; D. S</w:t>
      </w:r>
      <w:r>
        <w:rPr>
          <w:color w:val="231F20"/>
          <w:sz w:val="16"/>
          <w:vertAlign w:val="subscript"/>
        </w:rPr>
        <w:t>MITH</w:t>
      </w:r>
      <w:r>
        <w:rPr>
          <w:color w:val="231F20"/>
          <w:sz w:val="16"/>
          <w:vertAlign w:val="baseline"/>
        </w:rPr>
        <w:t>; </w:t>
      </w:r>
      <w:r>
        <w:rPr>
          <w:color w:val="231F20"/>
          <w:sz w:val="16"/>
          <w:vertAlign w:val="subscript"/>
        </w:rPr>
        <w:t>AND</w:t>
      </w:r>
      <w:r>
        <w:rPr>
          <w:color w:val="231F20"/>
          <w:sz w:val="16"/>
          <w:vertAlign w:val="baseline"/>
        </w:rPr>
        <w:t> A. S</w:t>
      </w:r>
      <w:r>
        <w:rPr>
          <w:color w:val="231F20"/>
          <w:sz w:val="16"/>
          <w:vertAlign w:val="subscript"/>
        </w:rPr>
        <w:t>UFI</w:t>
      </w:r>
      <w:r>
        <w:rPr>
          <w:color w:val="231F20"/>
          <w:sz w:val="16"/>
          <w:vertAlign w:val="baseline"/>
        </w:rPr>
        <w:t>. “Creditor Control Rights, Corporate Governance, and Firm Value.” </w:t>
      </w:r>
      <w:r>
        <w:rPr>
          <w:i/>
          <w:color w:val="231F20"/>
          <w:sz w:val="16"/>
          <w:vertAlign w:val="baseline"/>
        </w:rPr>
        <w:t>Review of Financial Studies </w:t>
      </w:r>
      <w:r>
        <w:rPr>
          <w:color w:val="231F20"/>
          <w:sz w:val="16"/>
          <w:vertAlign w:val="baseline"/>
        </w:rPr>
        <w:t>25 (2012): 1713–61.</w:t>
      </w:r>
    </w:p>
    <w:p>
      <w:pPr>
        <w:spacing w:before="1"/>
        <w:ind w:left="321" w:right="519" w:hanging="160"/>
        <w:jc w:val="both"/>
        <w:rPr>
          <w:sz w:val="16"/>
        </w:rPr>
      </w:pPr>
      <w:r>
        <w:rPr>
          <w:color w:val="231F20"/>
          <w:sz w:val="16"/>
        </w:rPr>
        <w:t>P</w:t>
      </w:r>
      <w:r>
        <w:rPr>
          <w:color w:val="231F20"/>
          <w:sz w:val="16"/>
          <w:vertAlign w:val="subscript"/>
        </w:rPr>
        <w:t>ENMAN</w:t>
      </w:r>
      <w:r>
        <w:rPr>
          <w:color w:val="231F20"/>
          <w:sz w:val="16"/>
          <w:vertAlign w:val="baseline"/>
        </w:rPr>
        <w:t>, S. H., </w:t>
      </w:r>
      <w:r>
        <w:rPr>
          <w:color w:val="231F20"/>
          <w:sz w:val="16"/>
          <w:vertAlign w:val="subscript"/>
        </w:rPr>
        <w:t>AND</w:t>
      </w:r>
      <w:r>
        <w:rPr>
          <w:color w:val="231F20"/>
          <w:sz w:val="16"/>
          <w:vertAlign w:val="baseline"/>
        </w:rPr>
        <w:t> X. Z</w:t>
      </w:r>
      <w:r>
        <w:rPr>
          <w:color w:val="231F20"/>
          <w:sz w:val="16"/>
          <w:vertAlign w:val="subscript"/>
        </w:rPr>
        <w:t>HANG</w:t>
      </w:r>
      <w:r>
        <w:rPr>
          <w:color w:val="231F20"/>
          <w:sz w:val="16"/>
          <w:vertAlign w:val="baseline"/>
        </w:rPr>
        <w:t>. “Accounting Conservatism, the Quality of Earnings, and Stock Returns.” </w:t>
      </w:r>
      <w:r>
        <w:rPr>
          <w:i/>
          <w:color w:val="231F20"/>
          <w:sz w:val="16"/>
          <w:vertAlign w:val="baseline"/>
        </w:rPr>
        <w:t>The Accounting Review </w:t>
      </w:r>
      <w:r>
        <w:rPr>
          <w:color w:val="231F20"/>
          <w:sz w:val="16"/>
          <w:vertAlign w:val="baseline"/>
        </w:rPr>
        <w:t>77 (2002): 237–64.</w:t>
      </w:r>
    </w:p>
    <w:p>
      <w:pPr>
        <w:spacing w:before="1"/>
        <w:ind w:left="321" w:right="519" w:hanging="160"/>
        <w:jc w:val="both"/>
        <w:rPr>
          <w:sz w:val="16"/>
        </w:rPr>
      </w:pPr>
      <w:r>
        <w:rPr>
          <w:color w:val="231F20"/>
          <w:sz w:val="16"/>
        </w:rPr>
        <w:t>Q</w:t>
      </w:r>
      <w:r>
        <w:rPr>
          <w:color w:val="231F20"/>
          <w:sz w:val="16"/>
          <w:vertAlign w:val="subscript"/>
        </w:rPr>
        <w:t>IANG</w:t>
      </w:r>
      <w:r>
        <w:rPr>
          <w:color w:val="231F20"/>
          <w:sz w:val="16"/>
          <w:vertAlign w:val="baseline"/>
        </w:rPr>
        <w:t>, X. “The Effects of Contracting, Litigation, Regulation, and </w:t>
      </w:r>
      <w:r>
        <w:rPr>
          <w:color w:val="231F20"/>
          <w:spacing w:val="-6"/>
          <w:sz w:val="16"/>
          <w:vertAlign w:val="baseline"/>
        </w:rPr>
        <w:t>Tax </w:t>
      </w:r>
      <w:r>
        <w:rPr>
          <w:color w:val="231F20"/>
          <w:sz w:val="16"/>
          <w:vertAlign w:val="baseline"/>
        </w:rPr>
        <w:t>Costs on Conditional and</w:t>
      </w:r>
      <w:r>
        <w:rPr>
          <w:color w:val="231F20"/>
          <w:spacing w:val="-20"/>
          <w:sz w:val="16"/>
          <w:vertAlign w:val="baseline"/>
        </w:rPr>
        <w:t> </w:t>
      </w:r>
      <w:r>
        <w:rPr>
          <w:color w:val="231F20"/>
          <w:sz w:val="16"/>
          <w:vertAlign w:val="baseline"/>
        </w:rPr>
        <w:t>Unconditional</w:t>
      </w:r>
      <w:r>
        <w:rPr>
          <w:color w:val="231F20"/>
          <w:spacing w:val="-20"/>
          <w:sz w:val="16"/>
          <w:vertAlign w:val="baseline"/>
        </w:rPr>
        <w:t> </w:t>
      </w:r>
      <w:r>
        <w:rPr>
          <w:color w:val="231F20"/>
          <w:sz w:val="16"/>
          <w:vertAlign w:val="baseline"/>
        </w:rPr>
        <w:t>Conservatism:</w:t>
      </w:r>
      <w:r>
        <w:rPr>
          <w:color w:val="231F20"/>
          <w:spacing w:val="-20"/>
          <w:sz w:val="16"/>
          <w:vertAlign w:val="baseline"/>
        </w:rPr>
        <w:t> </w:t>
      </w:r>
      <w:r>
        <w:rPr>
          <w:color w:val="231F20"/>
          <w:sz w:val="16"/>
          <w:vertAlign w:val="baseline"/>
        </w:rPr>
        <w:t>Cross-Sectional</w:t>
      </w:r>
      <w:r>
        <w:rPr>
          <w:color w:val="231F20"/>
          <w:spacing w:val="-20"/>
          <w:sz w:val="16"/>
          <w:vertAlign w:val="baseline"/>
        </w:rPr>
        <w:t> </w:t>
      </w:r>
      <w:r>
        <w:rPr>
          <w:color w:val="231F20"/>
          <w:sz w:val="16"/>
          <w:vertAlign w:val="baseline"/>
        </w:rPr>
        <w:t>Evidence</w:t>
      </w:r>
      <w:r>
        <w:rPr>
          <w:color w:val="231F20"/>
          <w:spacing w:val="-20"/>
          <w:sz w:val="16"/>
          <w:vertAlign w:val="baseline"/>
        </w:rPr>
        <w:t> </w:t>
      </w:r>
      <w:r>
        <w:rPr>
          <w:color w:val="231F20"/>
          <w:sz w:val="16"/>
          <w:vertAlign w:val="baseline"/>
        </w:rPr>
        <w:t>at</w:t>
      </w:r>
      <w:r>
        <w:rPr>
          <w:color w:val="231F20"/>
          <w:spacing w:val="-20"/>
          <w:sz w:val="16"/>
          <w:vertAlign w:val="baseline"/>
        </w:rPr>
        <w:t> </w:t>
      </w:r>
      <w:r>
        <w:rPr>
          <w:color w:val="231F20"/>
          <w:sz w:val="16"/>
          <w:vertAlign w:val="baseline"/>
        </w:rPr>
        <w:t>the</w:t>
      </w:r>
      <w:r>
        <w:rPr>
          <w:color w:val="231F20"/>
          <w:spacing w:val="-20"/>
          <w:sz w:val="16"/>
          <w:vertAlign w:val="baseline"/>
        </w:rPr>
        <w:t> </w:t>
      </w:r>
      <w:r>
        <w:rPr>
          <w:color w:val="231F20"/>
          <w:sz w:val="16"/>
          <w:vertAlign w:val="baseline"/>
        </w:rPr>
        <w:t>Firm</w:t>
      </w:r>
      <w:r>
        <w:rPr>
          <w:color w:val="231F20"/>
          <w:spacing w:val="-20"/>
          <w:sz w:val="16"/>
          <w:vertAlign w:val="baseline"/>
        </w:rPr>
        <w:t> </w:t>
      </w:r>
      <w:r>
        <w:rPr>
          <w:color w:val="231F20"/>
          <w:sz w:val="16"/>
          <w:vertAlign w:val="baseline"/>
        </w:rPr>
        <w:t>Level.”</w:t>
      </w:r>
      <w:r>
        <w:rPr>
          <w:color w:val="231F20"/>
          <w:spacing w:val="-20"/>
          <w:sz w:val="16"/>
          <w:vertAlign w:val="baseline"/>
        </w:rPr>
        <w:t> </w:t>
      </w:r>
      <w:r>
        <w:rPr>
          <w:i/>
          <w:color w:val="231F20"/>
          <w:sz w:val="16"/>
          <w:vertAlign w:val="baseline"/>
        </w:rPr>
        <w:t>The</w:t>
      </w:r>
      <w:r>
        <w:rPr>
          <w:i/>
          <w:color w:val="231F20"/>
          <w:spacing w:val="-20"/>
          <w:sz w:val="16"/>
          <w:vertAlign w:val="baseline"/>
        </w:rPr>
        <w:t> </w:t>
      </w:r>
      <w:r>
        <w:rPr>
          <w:i/>
          <w:color w:val="231F20"/>
          <w:sz w:val="16"/>
          <w:vertAlign w:val="baseline"/>
        </w:rPr>
        <w:t>Account- </w:t>
      </w:r>
      <w:r>
        <w:rPr>
          <w:i/>
          <w:color w:val="231F20"/>
          <w:sz w:val="16"/>
          <w:vertAlign w:val="baseline"/>
        </w:rPr>
        <w:t>ing Review </w:t>
      </w:r>
      <w:r>
        <w:rPr>
          <w:color w:val="231F20"/>
          <w:sz w:val="16"/>
          <w:vertAlign w:val="baseline"/>
        </w:rPr>
        <w:t>82 (2007):</w:t>
      </w:r>
      <w:r>
        <w:rPr>
          <w:color w:val="231F20"/>
          <w:spacing w:val="3"/>
          <w:sz w:val="16"/>
          <w:vertAlign w:val="baseline"/>
        </w:rPr>
        <w:t> </w:t>
      </w:r>
      <w:r>
        <w:rPr>
          <w:color w:val="231F20"/>
          <w:sz w:val="16"/>
          <w:vertAlign w:val="baseline"/>
        </w:rPr>
        <w:t>759–96.</w:t>
      </w:r>
    </w:p>
    <w:p>
      <w:pPr>
        <w:spacing w:before="1"/>
        <w:ind w:left="321" w:right="519" w:hanging="160"/>
        <w:jc w:val="both"/>
        <w:rPr>
          <w:sz w:val="16"/>
        </w:rPr>
      </w:pPr>
      <w:r>
        <w:rPr>
          <w:color w:val="231F20"/>
          <w:sz w:val="16"/>
        </w:rPr>
        <w:t>R</w:t>
      </w:r>
      <w:r>
        <w:rPr>
          <w:color w:val="231F20"/>
          <w:sz w:val="16"/>
          <w:vertAlign w:val="subscript"/>
        </w:rPr>
        <w:t>AMALINGEGOWDA</w:t>
      </w:r>
      <w:r>
        <w:rPr>
          <w:color w:val="231F20"/>
          <w:sz w:val="16"/>
          <w:vertAlign w:val="baseline"/>
        </w:rPr>
        <w:t>, S., </w:t>
      </w:r>
      <w:r>
        <w:rPr>
          <w:color w:val="231F20"/>
          <w:sz w:val="16"/>
          <w:vertAlign w:val="subscript"/>
        </w:rPr>
        <w:t>AND</w:t>
      </w:r>
      <w:r>
        <w:rPr>
          <w:color w:val="231F20"/>
          <w:sz w:val="16"/>
          <w:vertAlign w:val="baseline"/>
        </w:rPr>
        <w:t> Y. Y</w:t>
      </w:r>
      <w:r>
        <w:rPr>
          <w:color w:val="231F20"/>
          <w:sz w:val="16"/>
          <w:vertAlign w:val="subscript"/>
        </w:rPr>
        <w:t>U</w:t>
      </w:r>
      <w:r>
        <w:rPr>
          <w:color w:val="231F20"/>
          <w:sz w:val="16"/>
          <w:vertAlign w:val="baseline"/>
        </w:rPr>
        <w:t>. “Institutional Ownership and Conservatism.” </w:t>
      </w:r>
      <w:r>
        <w:rPr>
          <w:i/>
          <w:color w:val="231F20"/>
          <w:sz w:val="16"/>
          <w:vertAlign w:val="baseline"/>
        </w:rPr>
        <w:t>Journal of Ac- </w:t>
      </w:r>
      <w:r>
        <w:rPr>
          <w:i/>
          <w:color w:val="231F20"/>
          <w:sz w:val="16"/>
          <w:vertAlign w:val="baseline"/>
        </w:rPr>
        <w:t>counting and Economics </w:t>
      </w:r>
      <w:r>
        <w:rPr>
          <w:color w:val="231F20"/>
          <w:sz w:val="16"/>
          <w:vertAlign w:val="baseline"/>
        </w:rPr>
        <w:t>53 (2012): 98–114.</w:t>
      </w:r>
    </w:p>
    <w:p>
      <w:pPr>
        <w:spacing w:after="0"/>
        <w:jc w:val="both"/>
        <w:rPr>
          <w:sz w:val="16"/>
        </w:rPr>
        <w:sectPr>
          <w:pgSz w:w="9720" w:h="14400"/>
          <w:pgMar w:header="1055" w:footer="0" w:top="1300" w:bottom="280" w:left="1280" w:right="1300"/>
        </w:sectPr>
      </w:pPr>
    </w:p>
    <w:p>
      <w:pPr>
        <w:pStyle w:val="BodyText"/>
        <w:spacing w:before="3"/>
        <w:rPr>
          <w:sz w:val="8"/>
        </w:rPr>
      </w:pPr>
    </w:p>
    <w:p>
      <w:pPr>
        <w:spacing w:before="95"/>
        <w:ind w:left="532" w:right="0" w:firstLine="0"/>
        <w:jc w:val="left"/>
        <w:rPr>
          <w:sz w:val="16"/>
        </w:rPr>
      </w:pPr>
      <w:r>
        <w:rPr>
          <w:color w:val="231F20"/>
          <w:sz w:val="16"/>
        </w:rPr>
        <w:t>R</w:t>
      </w:r>
      <w:r>
        <w:rPr>
          <w:color w:val="231F20"/>
          <w:sz w:val="16"/>
          <w:vertAlign w:val="subscript"/>
        </w:rPr>
        <w:t>ICHARDSON</w:t>
      </w:r>
      <w:r>
        <w:rPr>
          <w:color w:val="231F20"/>
          <w:sz w:val="16"/>
          <w:vertAlign w:val="baseline"/>
        </w:rPr>
        <w:t>, S. A.; R. G. S</w:t>
      </w:r>
      <w:r>
        <w:rPr>
          <w:color w:val="231F20"/>
          <w:sz w:val="16"/>
          <w:vertAlign w:val="subscript"/>
        </w:rPr>
        <w:t>LOAN</w:t>
      </w:r>
      <w:r>
        <w:rPr>
          <w:color w:val="231F20"/>
          <w:sz w:val="16"/>
          <w:vertAlign w:val="baseline"/>
        </w:rPr>
        <w:t>; M. T. S</w:t>
      </w:r>
      <w:r>
        <w:rPr>
          <w:color w:val="231F20"/>
          <w:sz w:val="16"/>
          <w:vertAlign w:val="subscript"/>
        </w:rPr>
        <w:t>OLIMAN</w:t>
      </w:r>
      <w:r>
        <w:rPr>
          <w:color w:val="231F20"/>
          <w:sz w:val="16"/>
          <w:vertAlign w:val="baseline"/>
        </w:rPr>
        <w:t>; </w:t>
      </w:r>
      <w:r>
        <w:rPr>
          <w:color w:val="231F20"/>
          <w:sz w:val="16"/>
          <w:vertAlign w:val="subscript"/>
        </w:rPr>
        <w:t>AND</w:t>
      </w:r>
      <w:r>
        <w:rPr>
          <w:color w:val="231F20"/>
          <w:sz w:val="16"/>
          <w:vertAlign w:val="baseline"/>
        </w:rPr>
        <w:t> I. A. T</w:t>
      </w:r>
      <w:r>
        <w:rPr>
          <w:color w:val="231F20"/>
          <w:sz w:val="16"/>
          <w:vertAlign w:val="subscript"/>
        </w:rPr>
        <w:t>UNA</w:t>
      </w:r>
      <w:r>
        <w:rPr>
          <w:color w:val="231F20"/>
          <w:sz w:val="16"/>
          <w:vertAlign w:val="baseline"/>
        </w:rPr>
        <w:t>. “Accrual Reliability, Earnings</w:t>
      </w:r>
    </w:p>
    <w:p>
      <w:pPr>
        <w:spacing w:before="1"/>
        <w:ind w:left="532" w:right="139" w:firstLine="159"/>
        <w:jc w:val="left"/>
        <w:rPr>
          <w:i/>
          <w:sz w:val="16"/>
        </w:rPr>
      </w:pPr>
      <w:r>
        <w:rPr>
          <w:color w:val="231F20"/>
          <w:sz w:val="16"/>
        </w:rPr>
        <w:t>Persistence and Stock Prices.” </w:t>
      </w:r>
      <w:r>
        <w:rPr>
          <w:i/>
          <w:color w:val="231F20"/>
          <w:sz w:val="16"/>
        </w:rPr>
        <w:t>Journal of Accounting and Economics </w:t>
      </w:r>
      <w:r>
        <w:rPr>
          <w:color w:val="231F20"/>
          <w:sz w:val="16"/>
        </w:rPr>
        <w:t>39 (2005): 437–85. R</w:t>
      </w:r>
      <w:r>
        <w:rPr>
          <w:color w:val="231F20"/>
          <w:sz w:val="16"/>
          <w:vertAlign w:val="subscript"/>
        </w:rPr>
        <w:t>OYCHOWDHURY</w:t>
      </w:r>
      <w:r>
        <w:rPr>
          <w:color w:val="231F20"/>
          <w:sz w:val="16"/>
          <w:vertAlign w:val="baseline"/>
        </w:rPr>
        <w:t>, S. “Earnings Management Through Real Activities Manipulation.” </w:t>
      </w:r>
      <w:r>
        <w:rPr>
          <w:i/>
          <w:color w:val="231F20"/>
          <w:sz w:val="16"/>
          <w:vertAlign w:val="baseline"/>
        </w:rPr>
        <w:t>Journal of</w:t>
      </w:r>
    </w:p>
    <w:p>
      <w:pPr>
        <w:spacing w:before="0"/>
        <w:ind w:left="692" w:right="0" w:firstLine="0"/>
        <w:jc w:val="left"/>
        <w:rPr>
          <w:sz w:val="16"/>
        </w:rPr>
      </w:pPr>
      <w:r>
        <w:rPr>
          <w:i/>
          <w:color w:val="231F20"/>
          <w:sz w:val="16"/>
        </w:rPr>
        <w:t>Accounting and Economics </w:t>
      </w:r>
      <w:r>
        <w:rPr>
          <w:color w:val="231F20"/>
          <w:sz w:val="16"/>
        </w:rPr>
        <w:t>42 (2006): 335–70.</w:t>
      </w:r>
    </w:p>
    <w:p>
      <w:pPr>
        <w:spacing w:before="1"/>
        <w:ind w:left="495" w:right="112" w:firstLine="0"/>
        <w:jc w:val="center"/>
        <w:rPr>
          <w:sz w:val="16"/>
        </w:rPr>
      </w:pPr>
      <w:r>
        <w:rPr>
          <w:color w:val="231F20"/>
          <w:sz w:val="16"/>
        </w:rPr>
        <w:t>R</w:t>
      </w:r>
      <w:r>
        <w:rPr>
          <w:color w:val="231F20"/>
          <w:sz w:val="16"/>
          <w:vertAlign w:val="subscript"/>
        </w:rPr>
        <w:t>OYCHOWDHURY</w:t>
      </w:r>
      <w:r>
        <w:rPr>
          <w:color w:val="231F20"/>
          <w:sz w:val="16"/>
          <w:vertAlign w:val="baseline"/>
        </w:rPr>
        <w:t>, S., </w:t>
      </w:r>
      <w:r>
        <w:rPr>
          <w:color w:val="231F20"/>
          <w:sz w:val="16"/>
          <w:vertAlign w:val="subscript"/>
        </w:rPr>
        <w:t>AND</w:t>
      </w:r>
      <w:r>
        <w:rPr>
          <w:color w:val="231F20"/>
          <w:sz w:val="16"/>
          <w:vertAlign w:val="baseline"/>
        </w:rPr>
        <w:t> R. W</w:t>
      </w:r>
      <w:r>
        <w:rPr>
          <w:color w:val="231F20"/>
          <w:sz w:val="16"/>
          <w:vertAlign w:val="subscript"/>
        </w:rPr>
        <w:t>ATTS</w:t>
      </w:r>
      <w:r>
        <w:rPr>
          <w:color w:val="231F20"/>
          <w:sz w:val="16"/>
          <w:vertAlign w:val="baseline"/>
        </w:rPr>
        <w:t>. “Asymmetric Timeliness of Earnings, Market-to-Book and Conservatism in Financial Reporting.” </w:t>
      </w:r>
      <w:r>
        <w:rPr>
          <w:i/>
          <w:color w:val="231F20"/>
          <w:sz w:val="16"/>
          <w:vertAlign w:val="baseline"/>
        </w:rPr>
        <w:t>Journal of Accounting and Economics </w:t>
      </w:r>
      <w:r>
        <w:rPr>
          <w:color w:val="231F20"/>
          <w:sz w:val="16"/>
          <w:vertAlign w:val="baseline"/>
        </w:rPr>
        <w:t>44 (2007): 2–31. R</w:t>
      </w:r>
      <w:r>
        <w:rPr>
          <w:color w:val="231F20"/>
          <w:sz w:val="16"/>
          <w:vertAlign w:val="subscript"/>
        </w:rPr>
        <w:t>YAN</w:t>
      </w:r>
      <w:r>
        <w:rPr>
          <w:color w:val="231F20"/>
          <w:sz w:val="16"/>
          <w:vertAlign w:val="baseline"/>
        </w:rPr>
        <w:t>, S. “Identifying Conditional Conservatism.” </w:t>
      </w:r>
      <w:r>
        <w:rPr>
          <w:i/>
          <w:color w:val="231F20"/>
          <w:sz w:val="16"/>
          <w:vertAlign w:val="baseline"/>
        </w:rPr>
        <w:t>European Accounting Review </w:t>
      </w:r>
      <w:r>
        <w:rPr>
          <w:color w:val="231F20"/>
          <w:sz w:val="16"/>
          <w:vertAlign w:val="baseline"/>
        </w:rPr>
        <w:t>15 (2006): 511–</w:t>
      </w:r>
    </w:p>
    <w:p>
      <w:pPr>
        <w:spacing w:before="1"/>
        <w:ind w:left="692" w:right="0" w:firstLine="0"/>
        <w:jc w:val="left"/>
        <w:rPr>
          <w:sz w:val="16"/>
        </w:rPr>
      </w:pPr>
      <w:r>
        <w:rPr>
          <w:color w:val="231F20"/>
          <w:w w:val="105"/>
          <w:sz w:val="16"/>
        </w:rPr>
        <w:t>25.</w:t>
      </w:r>
    </w:p>
    <w:p>
      <w:pPr>
        <w:spacing w:before="1"/>
        <w:ind w:left="532" w:right="428" w:hanging="1"/>
        <w:jc w:val="left"/>
        <w:rPr>
          <w:sz w:val="16"/>
        </w:rPr>
      </w:pPr>
      <w:r>
        <w:rPr>
          <w:color w:val="231F20"/>
          <w:sz w:val="16"/>
        </w:rPr>
        <w:t>S</w:t>
      </w:r>
      <w:r>
        <w:rPr>
          <w:color w:val="231F20"/>
          <w:sz w:val="16"/>
          <w:vertAlign w:val="subscript"/>
        </w:rPr>
        <w:t>HUMWAY</w:t>
      </w:r>
      <w:r>
        <w:rPr>
          <w:color w:val="231F20"/>
          <w:sz w:val="16"/>
          <w:vertAlign w:val="baseline"/>
        </w:rPr>
        <w:t>, T. “The Delisting Bias in CRSP Data.” </w:t>
      </w:r>
      <w:r>
        <w:rPr>
          <w:i/>
          <w:color w:val="231F20"/>
          <w:sz w:val="16"/>
          <w:vertAlign w:val="baseline"/>
        </w:rPr>
        <w:t>Journal of Finance </w:t>
      </w:r>
      <w:r>
        <w:rPr>
          <w:color w:val="231F20"/>
          <w:sz w:val="16"/>
          <w:vertAlign w:val="baseline"/>
        </w:rPr>
        <w:t>52 (1997): 327–40. S</w:t>
      </w:r>
      <w:r>
        <w:rPr>
          <w:color w:val="231F20"/>
          <w:sz w:val="16"/>
          <w:vertAlign w:val="subscript"/>
        </w:rPr>
        <w:t>RIVASTAVA</w:t>
      </w:r>
      <w:r>
        <w:rPr>
          <w:color w:val="231F20"/>
          <w:sz w:val="16"/>
          <w:vertAlign w:val="baseline"/>
        </w:rPr>
        <w:t>, A.; S. T</w:t>
      </w:r>
      <w:r>
        <w:rPr>
          <w:color w:val="231F20"/>
          <w:sz w:val="16"/>
          <w:vertAlign w:val="subscript"/>
        </w:rPr>
        <w:t>SE</w:t>
      </w:r>
      <w:r>
        <w:rPr>
          <w:color w:val="231F20"/>
          <w:sz w:val="16"/>
          <w:vertAlign w:val="baseline"/>
        </w:rPr>
        <w:t>; </w:t>
      </w:r>
      <w:r>
        <w:rPr>
          <w:color w:val="231F20"/>
          <w:sz w:val="16"/>
          <w:vertAlign w:val="subscript"/>
        </w:rPr>
        <w:t>AND</w:t>
      </w:r>
      <w:r>
        <w:rPr>
          <w:color w:val="231F20"/>
          <w:sz w:val="16"/>
          <w:vertAlign w:val="baseline"/>
        </w:rPr>
        <w:t> S. S</w:t>
      </w:r>
      <w:r>
        <w:rPr>
          <w:color w:val="231F20"/>
          <w:sz w:val="16"/>
          <w:vertAlign w:val="subscript"/>
        </w:rPr>
        <w:t>UNDER</w:t>
      </w:r>
      <w:r>
        <w:rPr>
          <w:color w:val="231F20"/>
          <w:sz w:val="16"/>
          <w:vertAlign w:val="baseline"/>
        </w:rPr>
        <w:t>. “Timely Loss Recognition and the Early Termina-</w:t>
      </w:r>
    </w:p>
    <w:p>
      <w:pPr>
        <w:spacing w:before="0"/>
        <w:ind w:left="692" w:right="0" w:firstLine="0"/>
        <w:jc w:val="left"/>
        <w:rPr>
          <w:sz w:val="16"/>
        </w:rPr>
      </w:pPr>
      <w:r>
        <w:rPr/>
        <w:pict>
          <v:shape style="position:absolute;margin-left:208.402267pt;margin-top:11.302012pt;width:6.25pt;height:13.95pt;mso-position-horizontal-relative:page;mso-position-vertical-relative:paragraph;z-index:-63016"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tion</w:t>
      </w:r>
      <w:r>
        <w:rPr>
          <w:color w:val="231F20"/>
          <w:spacing w:val="-19"/>
          <w:sz w:val="16"/>
        </w:rPr>
        <w:t> </w:t>
      </w:r>
      <w:r>
        <w:rPr>
          <w:color w:val="231F20"/>
          <w:sz w:val="16"/>
        </w:rPr>
        <w:t>of</w:t>
      </w:r>
      <w:r>
        <w:rPr>
          <w:color w:val="231F20"/>
          <w:spacing w:val="-19"/>
          <w:sz w:val="16"/>
        </w:rPr>
        <w:t> </w:t>
      </w:r>
      <w:r>
        <w:rPr>
          <w:color w:val="231F20"/>
          <w:sz w:val="16"/>
        </w:rPr>
        <w:t>Unprofitable</w:t>
      </w:r>
      <w:r>
        <w:rPr>
          <w:color w:val="231F20"/>
          <w:spacing w:val="-19"/>
          <w:sz w:val="16"/>
        </w:rPr>
        <w:t> </w:t>
      </w:r>
      <w:r>
        <w:rPr>
          <w:color w:val="231F20"/>
          <w:sz w:val="16"/>
        </w:rPr>
        <w:t>Projects”.</w:t>
      </w:r>
      <w:r>
        <w:rPr>
          <w:color w:val="231F20"/>
          <w:spacing w:val="-19"/>
          <w:sz w:val="16"/>
        </w:rPr>
        <w:t> </w:t>
      </w:r>
      <w:r>
        <w:rPr>
          <w:color w:val="231F20"/>
          <w:sz w:val="16"/>
        </w:rPr>
        <w:t>Working</w:t>
      </w:r>
      <w:r>
        <w:rPr>
          <w:color w:val="231F20"/>
          <w:spacing w:val="-19"/>
          <w:sz w:val="16"/>
        </w:rPr>
        <w:t> </w:t>
      </w:r>
      <w:r>
        <w:rPr>
          <w:color w:val="231F20"/>
          <w:spacing w:val="-3"/>
          <w:sz w:val="16"/>
        </w:rPr>
        <w:t>paper,</w:t>
      </w:r>
      <w:r>
        <w:rPr>
          <w:color w:val="231F20"/>
          <w:spacing w:val="-20"/>
          <w:sz w:val="16"/>
        </w:rPr>
        <w:t> </w:t>
      </w:r>
      <w:r>
        <w:rPr>
          <w:color w:val="231F20"/>
          <w:sz w:val="16"/>
        </w:rPr>
        <w:t>Northwestern</w:t>
      </w:r>
      <w:r>
        <w:rPr>
          <w:color w:val="231F20"/>
          <w:spacing w:val="-19"/>
          <w:sz w:val="16"/>
        </w:rPr>
        <w:t> </w:t>
      </w:r>
      <w:r>
        <w:rPr>
          <w:color w:val="231F20"/>
          <w:sz w:val="16"/>
        </w:rPr>
        <w:t>University,</w:t>
      </w:r>
      <w:r>
        <w:rPr>
          <w:color w:val="231F20"/>
          <w:spacing w:val="-19"/>
          <w:sz w:val="16"/>
        </w:rPr>
        <w:t> </w:t>
      </w:r>
      <w:r>
        <w:rPr>
          <w:color w:val="231F20"/>
          <w:sz w:val="16"/>
        </w:rPr>
        <w:t>2010.</w:t>
      </w:r>
      <w:r>
        <w:rPr>
          <w:color w:val="231F20"/>
          <w:spacing w:val="-19"/>
          <w:sz w:val="16"/>
        </w:rPr>
        <w:t> </w:t>
      </w:r>
      <w:r>
        <w:rPr>
          <w:color w:val="231F20"/>
          <w:sz w:val="16"/>
        </w:rPr>
        <w:t>Available</w:t>
      </w:r>
      <w:r>
        <w:rPr>
          <w:color w:val="231F20"/>
          <w:spacing w:val="-19"/>
          <w:sz w:val="16"/>
        </w:rPr>
        <w:t> </w:t>
      </w:r>
      <w:r>
        <w:rPr>
          <w:color w:val="231F20"/>
          <w:sz w:val="16"/>
        </w:rPr>
        <w:t>at: </w:t>
      </w:r>
      <w:hyperlink r:id="rId32">
        <w:r>
          <w:rPr>
            <w:color w:val="231F20"/>
            <w:sz w:val="16"/>
          </w:rPr>
          <w:t>http://paper.ssrn.com/abstract</w:t>
        </w:r>
      </w:hyperlink>
      <w:r>
        <w:rPr>
          <w:color w:val="231F20"/>
          <w:spacing w:val="1"/>
          <w:sz w:val="16"/>
        </w:rPr>
        <w:t> </w:t>
      </w:r>
      <w:r>
        <w:rPr>
          <w:color w:val="231F20"/>
          <w:sz w:val="16"/>
        </w:rPr>
        <w:t>1465980.</w:t>
      </w:r>
    </w:p>
    <w:p>
      <w:pPr>
        <w:spacing w:before="1"/>
        <w:ind w:left="692" w:right="149" w:hanging="160"/>
        <w:jc w:val="both"/>
        <w:rPr>
          <w:sz w:val="16"/>
        </w:rPr>
      </w:pPr>
      <w:r>
        <w:rPr>
          <w:color w:val="231F20"/>
          <w:sz w:val="16"/>
        </w:rPr>
        <w:t>T</w:t>
      </w:r>
      <w:r>
        <w:rPr>
          <w:color w:val="231F20"/>
          <w:sz w:val="16"/>
          <w:vertAlign w:val="subscript"/>
        </w:rPr>
        <w:t>AN</w:t>
      </w:r>
      <w:r>
        <w:rPr>
          <w:color w:val="231F20"/>
          <w:sz w:val="16"/>
          <w:vertAlign w:val="baseline"/>
        </w:rPr>
        <w:t>,</w:t>
      </w:r>
      <w:r>
        <w:rPr>
          <w:color w:val="231F20"/>
          <w:spacing w:val="-9"/>
          <w:sz w:val="16"/>
          <w:vertAlign w:val="baseline"/>
        </w:rPr>
        <w:t> </w:t>
      </w:r>
      <w:r>
        <w:rPr>
          <w:color w:val="231F20"/>
          <w:sz w:val="16"/>
          <w:vertAlign w:val="baseline"/>
        </w:rPr>
        <w:t>L.</w:t>
      </w:r>
      <w:r>
        <w:rPr>
          <w:color w:val="231F20"/>
          <w:spacing w:val="-9"/>
          <w:sz w:val="16"/>
          <w:vertAlign w:val="baseline"/>
        </w:rPr>
        <w:t> </w:t>
      </w:r>
      <w:r>
        <w:rPr>
          <w:color w:val="231F20"/>
          <w:sz w:val="16"/>
          <w:vertAlign w:val="baseline"/>
        </w:rPr>
        <w:t>“Creditor</w:t>
      </w:r>
      <w:r>
        <w:rPr>
          <w:color w:val="231F20"/>
          <w:spacing w:val="-9"/>
          <w:sz w:val="16"/>
          <w:vertAlign w:val="baseline"/>
        </w:rPr>
        <w:t> </w:t>
      </w:r>
      <w:r>
        <w:rPr>
          <w:color w:val="231F20"/>
          <w:sz w:val="16"/>
          <w:vertAlign w:val="baseline"/>
        </w:rPr>
        <w:t>Control</w:t>
      </w:r>
      <w:r>
        <w:rPr>
          <w:color w:val="231F20"/>
          <w:spacing w:val="-9"/>
          <w:sz w:val="16"/>
          <w:vertAlign w:val="baseline"/>
        </w:rPr>
        <w:t> </w:t>
      </w:r>
      <w:r>
        <w:rPr>
          <w:color w:val="231F20"/>
          <w:sz w:val="16"/>
          <w:vertAlign w:val="baseline"/>
        </w:rPr>
        <w:t>Rights,</w:t>
      </w:r>
      <w:r>
        <w:rPr>
          <w:color w:val="231F20"/>
          <w:spacing w:val="-9"/>
          <w:sz w:val="16"/>
          <w:vertAlign w:val="baseline"/>
        </w:rPr>
        <w:t> </w:t>
      </w:r>
      <w:r>
        <w:rPr>
          <w:color w:val="231F20"/>
          <w:sz w:val="16"/>
          <w:vertAlign w:val="baseline"/>
        </w:rPr>
        <w:t>State</w:t>
      </w:r>
      <w:r>
        <w:rPr>
          <w:color w:val="231F20"/>
          <w:spacing w:val="-9"/>
          <w:sz w:val="16"/>
          <w:vertAlign w:val="baseline"/>
        </w:rPr>
        <w:t> </w:t>
      </w:r>
      <w:r>
        <w:rPr>
          <w:color w:val="231F20"/>
          <w:sz w:val="16"/>
          <w:vertAlign w:val="baseline"/>
        </w:rPr>
        <w:t>of</w:t>
      </w:r>
      <w:r>
        <w:rPr>
          <w:color w:val="231F20"/>
          <w:spacing w:val="-9"/>
          <w:sz w:val="16"/>
          <w:vertAlign w:val="baseline"/>
        </w:rPr>
        <w:t> </w:t>
      </w:r>
      <w:r>
        <w:rPr>
          <w:color w:val="231F20"/>
          <w:sz w:val="16"/>
          <w:vertAlign w:val="baseline"/>
        </w:rPr>
        <w:t>Nature</w:t>
      </w:r>
      <w:r>
        <w:rPr>
          <w:color w:val="231F20"/>
          <w:spacing w:val="-9"/>
          <w:sz w:val="16"/>
          <w:vertAlign w:val="baseline"/>
        </w:rPr>
        <w:t> </w:t>
      </w:r>
      <w:r>
        <w:rPr>
          <w:color w:val="231F20"/>
          <w:sz w:val="16"/>
          <w:vertAlign w:val="baseline"/>
        </w:rPr>
        <w:t>Verification,</w:t>
      </w:r>
      <w:r>
        <w:rPr>
          <w:color w:val="231F20"/>
          <w:spacing w:val="-9"/>
          <w:sz w:val="16"/>
          <w:vertAlign w:val="baseline"/>
        </w:rPr>
        <w:t> </w:t>
      </w:r>
      <w:r>
        <w:rPr>
          <w:color w:val="231F20"/>
          <w:sz w:val="16"/>
          <w:vertAlign w:val="baseline"/>
        </w:rPr>
        <w:t>and</w:t>
      </w:r>
      <w:r>
        <w:rPr>
          <w:color w:val="231F20"/>
          <w:spacing w:val="-9"/>
          <w:sz w:val="16"/>
          <w:vertAlign w:val="baseline"/>
        </w:rPr>
        <w:t> </w:t>
      </w:r>
      <w:r>
        <w:rPr>
          <w:color w:val="231F20"/>
          <w:sz w:val="16"/>
          <w:vertAlign w:val="baseline"/>
        </w:rPr>
        <w:t>Financial</w:t>
      </w:r>
      <w:r>
        <w:rPr>
          <w:color w:val="231F20"/>
          <w:spacing w:val="-9"/>
          <w:sz w:val="16"/>
          <w:vertAlign w:val="baseline"/>
        </w:rPr>
        <w:t> </w:t>
      </w:r>
      <w:r>
        <w:rPr>
          <w:color w:val="231F20"/>
          <w:sz w:val="16"/>
          <w:vertAlign w:val="baseline"/>
        </w:rPr>
        <w:t>Reporting</w:t>
      </w:r>
      <w:r>
        <w:rPr>
          <w:color w:val="231F20"/>
          <w:spacing w:val="-9"/>
          <w:sz w:val="16"/>
          <w:vertAlign w:val="baseline"/>
        </w:rPr>
        <w:t> </w:t>
      </w:r>
      <w:r>
        <w:rPr>
          <w:color w:val="231F20"/>
          <w:sz w:val="16"/>
          <w:vertAlign w:val="baseline"/>
        </w:rPr>
        <w:t>Con- servatism.” </w:t>
      </w:r>
      <w:r>
        <w:rPr>
          <w:i/>
          <w:color w:val="231F20"/>
          <w:sz w:val="16"/>
          <w:vertAlign w:val="baseline"/>
        </w:rPr>
        <w:t>Journal of Accounting and Economics </w:t>
      </w:r>
      <w:r>
        <w:rPr>
          <w:color w:val="231F20"/>
          <w:sz w:val="16"/>
          <w:vertAlign w:val="baseline"/>
        </w:rPr>
        <w:t>55 (2013):</w:t>
      </w:r>
      <w:r>
        <w:rPr>
          <w:color w:val="231F20"/>
          <w:spacing w:val="-9"/>
          <w:sz w:val="16"/>
          <w:vertAlign w:val="baseline"/>
        </w:rPr>
        <w:t> </w:t>
      </w:r>
      <w:r>
        <w:rPr>
          <w:color w:val="231F20"/>
          <w:sz w:val="16"/>
          <w:vertAlign w:val="baseline"/>
        </w:rPr>
        <w:t>1–22.</w:t>
      </w:r>
    </w:p>
    <w:p>
      <w:pPr>
        <w:spacing w:before="1"/>
        <w:ind w:left="692" w:right="149" w:hanging="160"/>
        <w:jc w:val="both"/>
        <w:rPr>
          <w:sz w:val="16"/>
        </w:rPr>
      </w:pPr>
      <w:r>
        <w:rPr>
          <w:color w:val="231F20"/>
          <w:sz w:val="16"/>
        </w:rPr>
        <w:t>V</w:t>
      </w:r>
      <w:r>
        <w:rPr>
          <w:color w:val="231F20"/>
          <w:sz w:val="16"/>
          <w:vertAlign w:val="subscript"/>
        </w:rPr>
        <w:t>ARALLO</w:t>
      </w:r>
      <w:r>
        <w:rPr>
          <w:color w:val="231F20"/>
          <w:sz w:val="16"/>
          <w:vertAlign w:val="baseline"/>
        </w:rPr>
        <w:t>, G., </w:t>
      </w:r>
      <w:r>
        <w:rPr>
          <w:color w:val="231F20"/>
          <w:sz w:val="16"/>
          <w:vertAlign w:val="subscript"/>
        </w:rPr>
        <w:t>AND</w:t>
      </w:r>
      <w:r>
        <w:rPr>
          <w:color w:val="231F20"/>
          <w:sz w:val="16"/>
          <w:vertAlign w:val="baseline"/>
        </w:rPr>
        <w:t> J. F</w:t>
      </w:r>
      <w:r>
        <w:rPr>
          <w:color w:val="231F20"/>
          <w:sz w:val="16"/>
          <w:vertAlign w:val="subscript"/>
        </w:rPr>
        <w:t>INKELSTEIN</w:t>
      </w:r>
      <w:r>
        <w:rPr>
          <w:color w:val="231F20"/>
          <w:sz w:val="16"/>
          <w:vertAlign w:val="baseline"/>
        </w:rPr>
        <w:t>. “Fiduciary Obligations of Directors of the Financially Trou- bled Company.” </w:t>
      </w:r>
      <w:r>
        <w:rPr>
          <w:i/>
          <w:color w:val="231F20"/>
          <w:sz w:val="16"/>
          <w:vertAlign w:val="baseline"/>
        </w:rPr>
        <w:t>The Business Lawyer </w:t>
      </w:r>
      <w:r>
        <w:rPr>
          <w:color w:val="231F20"/>
          <w:sz w:val="16"/>
          <w:vertAlign w:val="baseline"/>
        </w:rPr>
        <w:t>48 (1992): 239–55.</w:t>
      </w:r>
    </w:p>
    <w:p>
      <w:pPr>
        <w:spacing w:before="1"/>
        <w:ind w:left="692" w:right="149" w:hanging="160"/>
        <w:jc w:val="both"/>
        <w:rPr>
          <w:sz w:val="16"/>
        </w:rPr>
      </w:pPr>
      <w:r>
        <w:rPr/>
        <w:pict>
          <v:shape style="position:absolute;margin-left:125.533524pt;margin-top:21.315493pt;width:6.25pt;height:13.95pt;mso-position-horizontal-relative:page;mso-position-vertical-relative:paragraph;z-index:-62992" type="#_x0000_t202" filled="false" stroked="false">
            <v:textbox inset="0,0,0,0">
              <w:txbxContent>
                <w:p>
                  <w:pPr>
                    <w:spacing w:line="197" w:lineRule="exact" w:before="0"/>
                    <w:ind w:left="0" w:right="0" w:firstLine="0"/>
                    <w:jc w:val="left"/>
                    <w:rPr>
                      <w:rFonts w:ascii="Lucida Sans Unicode"/>
                      <w:sz w:val="16"/>
                    </w:rPr>
                  </w:pPr>
                  <w:r>
                    <w:rPr>
                      <w:rFonts w:ascii="Lucida Sans Unicode"/>
                      <w:color w:val="231F20"/>
                      <w:w w:val="97"/>
                      <w:sz w:val="16"/>
                    </w:rPr>
                    <w:t>=</w:t>
                  </w:r>
                </w:p>
              </w:txbxContent>
            </v:textbox>
            <w10:wrap type="none"/>
          </v:shape>
        </w:pict>
      </w:r>
      <w:r>
        <w:rPr>
          <w:color w:val="231F20"/>
          <w:sz w:val="16"/>
        </w:rPr>
        <w:t>W</w:t>
      </w:r>
      <w:r>
        <w:rPr>
          <w:color w:val="231F20"/>
          <w:sz w:val="16"/>
          <w:vertAlign w:val="subscript"/>
        </w:rPr>
        <w:t>ANG</w:t>
      </w:r>
      <w:r>
        <w:rPr>
          <w:color w:val="231F20"/>
          <w:sz w:val="16"/>
          <w:vertAlign w:val="baseline"/>
        </w:rPr>
        <w:t>, C.; </w:t>
      </w:r>
      <w:r>
        <w:rPr>
          <w:color w:val="231F20"/>
          <w:spacing w:val="-8"/>
          <w:sz w:val="16"/>
          <w:vertAlign w:val="baseline"/>
        </w:rPr>
        <w:t>F. </w:t>
      </w:r>
      <w:r>
        <w:rPr>
          <w:color w:val="231F20"/>
          <w:sz w:val="16"/>
          <w:vertAlign w:val="baseline"/>
        </w:rPr>
        <w:t>X</w:t>
      </w:r>
      <w:r>
        <w:rPr>
          <w:color w:val="231F20"/>
          <w:sz w:val="16"/>
          <w:vertAlign w:val="subscript"/>
        </w:rPr>
        <w:t>IE</w:t>
      </w:r>
      <w:r>
        <w:rPr>
          <w:color w:val="231F20"/>
          <w:sz w:val="16"/>
          <w:vertAlign w:val="baseline"/>
        </w:rPr>
        <w:t>; </w:t>
      </w:r>
      <w:r>
        <w:rPr>
          <w:color w:val="231F20"/>
          <w:sz w:val="16"/>
          <w:vertAlign w:val="subscript"/>
        </w:rPr>
        <w:t>AND</w:t>
      </w:r>
      <w:r>
        <w:rPr>
          <w:color w:val="231F20"/>
          <w:sz w:val="16"/>
          <w:vertAlign w:val="baseline"/>
        </w:rPr>
        <w:t> X. X</w:t>
      </w:r>
      <w:r>
        <w:rPr>
          <w:color w:val="231F20"/>
          <w:sz w:val="16"/>
          <w:vertAlign w:val="subscript"/>
        </w:rPr>
        <w:t>IN</w:t>
      </w:r>
      <w:r>
        <w:rPr>
          <w:color w:val="231F20"/>
          <w:sz w:val="16"/>
          <w:vertAlign w:val="baseline"/>
        </w:rPr>
        <w:t>. “Creditor Control Rights and Financial Reporting Conser- vatism.”</w:t>
      </w:r>
      <w:r>
        <w:rPr>
          <w:color w:val="231F20"/>
          <w:spacing w:val="-7"/>
          <w:sz w:val="16"/>
          <w:vertAlign w:val="baseline"/>
        </w:rPr>
        <w:t> </w:t>
      </w:r>
      <w:r>
        <w:rPr>
          <w:color w:val="231F20"/>
          <w:sz w:val="16"/>
          <w:vertAlign w:val="baseline"/>
        </w:rPr>
        <w:t>Working</w:t>
      </w:r>
      <w:r>
        <w:rPr>
          <w:color w:val="231F20"/>
          <w:spacing w:val="-7"/>
          <w:sz w:val="16"/>
          <w:vertAlign w:val="baseline"/>
        </w:rPr>
        <w:t> </w:t>
      </w:r>
      <w:r>
        <w:rPr>
          <w:color w:val="231F20"/>
          <w:spacing w:val="-3"/>
          <w:sz w:val="16"/>
          <w:vertAlign w:val="baseline"/>
        </w:rPr>
        <w:t>paper,</w:t>
      </w:r>
      <w:r>
        <w:rPr>
          <w:color w:val="231F20"/>
          <w:spacing w:val="-7"/>
          <w:sz w:val="16"/>
          <w:vertAlign w:val="baseline"/>
        </w:rPr>
        <w:t> </w:t>
      </w:r>
      <w:r>
        <w:rPr>
          <w:color w:val="231F20"/>
          <w:sz w:val="16"/>
          <w:vertAlign w:val="baseline"/>
        </w:rPr>
        <w:t>Clemson</w:t>
      </w:r>
      <w:r>
        <w:rPr>
          <w:color w:val="231F20"/>
          <w:spacing w:val="-7"/>
          <w:sz w:val="16"/>
          <w:vertAlign w:val="baseline"/>
        </w:rPr>
        <w:t> </w:t>
      </w:r>
      <w:r>
        <w:rPr>
          <w:color w:val="231F20"/>
          <w:sz w:val="16"/>
          <w:vertAlign w:val="baseline"/>
        </w:rPr>
        <w:t>University,</w:t>
      </w:r>
      <w:r>
        <w:rPr>
          <w:color w:val="231F20"/>
          <w:spacing w:val="-7"/>
          <w:sz w:val="16"/>
          <w:vertAlign w:val="baseline"/>
        </w:rPr>
        <w:t> </w:t>
      </w:r>
      <w:r>
        <w:rPr>
          <w:color w:val="231F20"/>
          <w:sz w:val="16"/>
          <w:vertAlign w:val="baseline"/>
        </w:rPr>
        <w:t>2011.</w:t>
      </w:r>
      <w:r>
        <w:rPr>
          <w:color w:val="231F20"/>
          <w:spacing w:val="-7"/>
          <w:sz w:val="16"/>
          <w:vertAlign w:val="baseline"/>
        </w:rPr>
        <w:t> </w:t>
      </w:r>
      <w:r>
        <w:rPr>
          <w:color w:val="231F20"/>
          <w:sz w:val="16"/>
          <w:vertAlign w:val="baseline"/>
        </w:rPr>
        <w:t>Available</w:t>
      </w:r>
      <w:r>
        <w:rPr>
          <w:color w:val="231F20"/>
          <w:spacing w:val="-7"/>
          <w:sz w:val="16"/>
          <w:vertAlign w:val="baseline"/>
        </w:rPr>
        <w:t> </w:t>
      </w:r>
      <w:r>
        <w:rPr>
          <w:color w:val="231F20"/>
          <w:sz w:val="16"/>
          <w:vertAlign w:val="baseline"/>
        </w:rPr>
        <w:t>at</w:t>
      </w:r>
      <w:r>
        <w:rPr>
          <w:color w:val="231F20"/>
          <w:spacing w:val="-7"/>
          <w:sz w:val="16"/>
          <w:vertAlign w:val="baseline"/>
        </w:rPr>
        <w:t> </w:t>
      </w:r>
      <w:hyperlink r:id="rId30">
        <w:r>
          <w:rPr>
            <w:color w:val="231F20"/>
            <w:sz w:val="16"/>
            <w:vertAlign w:val="baseline"/>
          </w:rPr>
          <w:t>http://papers.ssrn.com/</w:t>
        </w:r>
      </w:hyperlink>
      <w:r>
        <w:rPr>
          <w:color w:val="231F20"/>
          <w:sz w:val="16"/>
          <w:vertAlign w:val="baseline"/>
        </w:rPr>
        <w:t> abstract</w:t>
      </w:r>
      <w:r>
        <w:rPr>
          <w:color w:val="231F20"/>
          <w:spacing w:val="2"/>
          <w:sz w:val="16"/>
          <w:vertAlign w:val="baseline"/>
        </w:rPr>
        <w:t> </w:t>
      </w:r>
      <w:r>
        <w:rPr>
          <w:color w:val="231F20"/>
          <w:sz w:val="16"/>
          <w:vertAlign w:val="baseline"/>
        </w:rPr>
        <w:t>2038363.</w:t>
      </w:r>
    </w:p>
    <w:p>
      <w:pPr>
        <w:spacing w:before="1"/>
        <w:ind w:left="692" w:right="149" w:hanging="160"/>
        <w:jc w:val="both"/>
        <w:rPr>
          <w:sz w:val="16"/>
        </w:rPr>
      </w:pPr>
      <w:r>
        <w:rPr>
          <w:color w:val="231F20"/>
          <w:sz w:val="16"/>
        </w:rPr>
        <w:t>W</w:t>
      </w:r>
      <w:r>
        <w:rPr>
          <w:color w:val="231F20"/>
          <w:sz w:val="16"/>
          <w:vertAlign w:val="subscript"/>
        </w:rPr>
        <w:t>ATTS</w:t>
      </w:r>
      <w:r>
        <w:rPr>
          <w:color w:val="231F20"/>
          <w:sz w:val="16"/>
          <w:vertAlign w:val="baseline"/>
        </w:rPr>
        <w:t>, R. “Conservatism in Accounting Part I: Explanations and Implications.” </w:t>
      </w:r>
      <w:r>
        <w:rPr>
          <w:i/>
          <w:color w:val="231F20"/>
          <w:sz w:val="16"/>
          <w:vertAlign w:val="baseline"/>
        </w:rPr>
        <w:t>Accounting </w:t>
      </w:r>
      <w:r>
        <w:rPr>
          <w:i/>
          <w:color w:val="231F20"/>
          <w:sz w:val="16"/>
          <w:vertAlign w:val="baseline"/>
        </w:rPr>
        <w:t>Horizons </w:t>
      </w:r>
      <w:r>
        <w:rPr>
          <w:color w:val="231F20"/>
          <w:sz w:val="16"/>
          <w:vertAlign w:val="baseline"/>
        </w:rPr>
        <w:t>17 (2003): 207–21.</w:t>
      </w:r>
    </w:p>
    <w:p>
      <w:pPr>
        <w:spacing w:before="1"/>
        <w:ind w:left="532" w:right="0" w:firstLine="0"/>
        <w:jc w:val="left"/>
        <w:rPr>
          <w:sz w:val="16"/>
        </w:rPr>
      </w:pPr>
      <w:r>
        <w:rPr>
          <w:color w:val="231F20"/>
          <w:sz w:val="16"/>
        </w:rPr>
        <w:t>Z</w:t>
      </w:r>
      <w:r>
        <w:rPr>
          <w:color w:val="231F20"/>
          <w:sz w:val="16"/>
          <w:vertAlign w:val="subscript"/>
        </w:rPr>
        <w:t>HANG</w:t>
      </w:r>
      <w:r>
        <w:rPr>
          <w:color w:val="231F20"/>
          <w:sz w:val="16"/>
          <w:vertAlign w:val="baseline"/>
        </w:rPr>
        <w:t>, J. “The Contracting Benefits of Accounting Conservatism to Lenders and Borrowers.”</w:t>
      </w:r>
    </w:p>
    <w:p>
      <w:pPr>
        <w:spacing w:before="0"/>
        <w:ind w:left="692" w:right="0" w:firstLine="0"/>
        <w:jc w:val="left"/>
        <w:rPr>
          <w:sz w:val="16"/>
        </w:rPr>
      </w:pPr>
      <w:r>
        <w:rPr>
          <w:i/>
          <w:color w:val="231F20"/>
          <w:sz w:val="16"/>
        </w:rPr>
        <w:t>Journal of Accounting and Economics </w:t>
      </w:r>
      <w:r>
        <w:rPr>
          <w:color w:val="231F20"/>
          <w:sz w:val="16"/>
        </w:rPr>
        <w:t>45 (2008): 27–54.</w:t>
      </w:r>
    </w:p>
    <w:sectPr>
      <w:pgSz w:w="9720" w:h="14400"/>
      <w:pgMar w:header="1055" w:footer="0" w:top="1300" w:bottom="280" w:left="128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Swis721 BT">
    <w:altName w:val="Swis721 BT"/>
    <w:charset w:val="0"/>
    <w:family w:val="swiss"/>
    <w:pitch w:val="variable"/>
  </w:font>
  <w:font w:name="Arial">
    <w:altName w:val="Arial"/>
    <w:charset w:val="0"/>
    <w:family w:val="swiss"/>
    <w:pitch w:val="variable"/>
  </w:font>
  <w:font w:name="Lucida Sans Unicode">
    <w:altName w:val="Lucida Sans Unicode"/>
    <w:charset w:val="0"/>
    <w:family w:val="swiss"/>
    <w:pitch w:val="variable"/>
  </w:font>
  <w:font w:name="Verdana">
    <w:altName w:val="Verdana"/>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0.125999pt;margin-top:51.880871pt;width:24.75pt;height:14.1pt;mso-position-horizontal-relative:page;mso-position-vertical-relative:page;z-index:-70696" type="#_x0000_t202" filled="false" stroked="false">
          <v:textbox inset="0,0,0,0">
            <w:txbxContent>
              <w:p>
                <w:pPr>
                  <w:pStyle w:val="BodyText"/>
                  <w:spacing w:before="15"/>
                  <w:ind w:left="40"/>
                </w:pPr>
                <w:r>
                  <w:rPr/>
                  <w:fldChar w:fldCharType="begin"/>
                </w:r>
                <w:r>
                  <w:rPr>
                    <w:w w:val="105"/>
                  </w:rPr>
                  <w:instrText> PAGE </w:instrText>
                </w:r>
                <w:r>
                  <w:rPr/>
                  <w:fldChar w:fldCharType="separate"/>
                </w:r>
                <w:r>
                  <w:rPr/>
                  <w:t>1000</w:t>
                </w:r>
                <w:r>
                  <w:rPr/>
                  <w:fldChar w:fldCharType="end"/>
                </w:r>
              </w:p>
            </w:txbxContent>
          </v:textbox>
          <w10:wrap type="none"/>
        </v:shape>
      </w:pict>
    </w:r>
    <w:r>
      <w:rPr/>
      <w:pict>
        <v:shape style="position:absolute;margin-left:112.9673pt;margin-top:51.766525pt;width:152.8pt;height:14.3pt;mso-position-horizontal-relative:page;mso-position-vertical-relative:page;z-index:-7067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16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15pt;mso-position-horizontal-relative:page;mso-position-vertical-relative:page;z-index:-70144" type="#_x0000_t202" filled="false" stroked="false">
          <v:textbox inset="0,0,0,0">
            <w:txbxContent>
              <w:p>
                <w:pPr>
                  <w:pStyle w:val="BodyText"/>
                  <w:spacing w:before="14"/>
                  <w:ind w:left="40"/>
                </w:pPr>
                <w:r>
                  <w:rPr>
                    <w:w w:val="105"/>
                  </w:rPr>
                  <w:t>1013</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70120"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1014</w:t>
                </w:r>
                <w:r>
                  <w:rPr/>
                  <w:fldChar w:fldCharType="end"/>
                </w:r>
              </w:p>
            </w:txbxContent>
          </v:textbox>
          <w10:wrap type="none"/>
        </v:shape>
      </w:pict>
    </w:r>
    <w:r>
      <w:rPr/>
      <w:pict>
        <v:shape style="position:absolute;margin-left:112.9673pt;margin-top:51.766525pt;width:152.8pt;height:14.3pt;mso-position-horizontal-relative:page;mso-position-vertical-relative:page;z-index:-70096"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865524pt;width:189.1pt;height:14.3pt;mso-position-horizontal-relative:page;mso-position-vertical-relative:page;z-index:-70072"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2.051868pt;width:24.75pt;height:14.05pt;mso-position-horizontal-relative:page;mso-position-vertical-relative:page;z-index:-70048"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1015</w:t>
                </w:r>
                <w:r>
                  <w:rPr/>
                  <w:fldChar w:fldCharType="end"/>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024" from="197.694pt,107.263pt" to="200.097pt,107.263pt" stroked="true" strokeweight=".405pt" strokecolor="#000000">
          <v:stroke dashstyle="solid"/>
          <w10:wrap type="none"/>
        </v:line>
      </w:pict>
    </w:r>
    <w:r>
      <w:rPr/>
      <w:pict>
        <v:shape style="position:absolute;margin-left:183.518005pt;margin-top:52.324524pt;width:189.1pt;height:14.3pt;mso-position-horizontal-relative:page;mso-position-vertical-relative:page;z-index:-70000"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2.510868pt;width:22.75pt;height:14.05pt;mso-position-horizontal-relative:page;mso-position-vertical-relative:page;z-index:-69976" type="#_x0000_t202" filled="false" stroked="false">
          <v:textbox inset="0,0,0,0">
            <w:txbxContent>
              <w:p>
                <w:pPr>
                  <w:pStyle w:val="BodyText"/>
                  <w:spacing w:before="14"/>
                  <w:ind w:left="20"/>
                </w:pPr>
                <w:r>
                  <w:rPr>
                    <w:w w:val="105"/>
                  </w:rPr>
                  <w:t>1017</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952" type="#_x0000_t202" filled="false" stroked="false">
          <v:textbox inset="0,0,0,0">
            <w:txbxContent>
              <w:p>
                <w:pPr>
                  <w:pStyle w:val="BodyText"/>
                  <w:spacing w:before="14"/>
                  <w:ind w:left="40"/>
                </w:pPr>
                <w:r>
                  <w:rPr>
                    <w:w w:val="105"/>
                  </w:rPr>
                  <w:t>1018</w:t>
                </w:r>
              </w:p>
            </w:txbxContent>
          </v:textbox>
          <w10:wrap type="none"/>
        </v:shape>
      </w:pict>
    </w:r>
    <w:r>
      <w:rPr/>
      <w:pict>
        <v:shape style="position:absolute;margin-left:112.9673pt;margin-top:51.766525pt;width:152.8pt;height:14.3pt;mso-position-horizontal-relative:page;mso-position-vertical-relative:page;z-index:-69928"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904"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69880" type="#_x0000_t202" filled="false" stroked="false">
          <v:textbox inset="0,0,0,0">
            <w:txbxContent>
              <w:p>
                <w:pPr>
                  <w:pStyle w:val="BodyText"/>
                  <w:spacing w:before="14"/>
                  <w:ind w:left="20"/>
                </w:pPr>
                <w:r>
                  <w:rPr>
                    <w:w w:val="105"/>
                  </w:rPr>
                  <w:t>1019</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125999pt;margin-top:51.952869pt;width:22.75pt;height:14.05pt;mso-position-horizontal-relative:page;mso-position-vertical-relative:page;z-index:-69856" type="#_x0000_t202" filled="false" stroked="false">
          <v:textbox inset="0,0,0,0">
            <w:txbxContent>
              <w:p>
                <w:pPr>
                  <w:pStyle w:val="BodyText"/>
                  <w:spacing w:before="14"/>
                  <w:ind w:left="20"/>
                </w:pPr>
                <w:r>
                  <w:rPr>
                    <w:w w:val="105"/>
                  </w:rPr>
                  <w:t>1020</w:t>
                </w:r>
              </w:p>
            </w:txbxContent>
          </v:textbox>
          <w10:wrap type="none"/>
        </v:shape>
      </w:pict>
    </w:r>
    <w:r>
      <w:rPr/>
      <w:pict>
        <v:shape style="position:absolute;margin-left:112.9673pt;margin-top:51.766525pt;width:152.8pt;height:14.3pt;mso-position-horizontal-relative:page;mso-position-vertical-relative:page;z-index:-6983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80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69784" type="#_x0000_t202" filled="false" stroked="false">
          <v:textbox inset="0,0,0,0">
            <w:txbxContent>
              <w:p>
                <w:pPr>
                  <w:pStyle w:val="BodyText"/>
                  <w:spacing w:before="14"/>
                  <w:ind w:left="20"/>
                </w:pPr>
                <w:r>
                  <w:rPr>
                    <w:w w:val="105"/>
                  </w:rPr>
                  <w:t>1021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760" type="#_x0000_t202" filled="false" stroked="false">
          <v:textbox inset="0,0,0,0">
            <w:txbxContent>
              <w:p>
                <w:pPr>
                  <w:pStyle w:val="BodyText"/>
                  <w:spacing w:before="14"/>
                  <w:ind w:left="40"/>
                </w:pPr>
                <w:r>
                  <w:rPr>
                    <w:w w:val="105"/>
                  </w:rPr>
                  <w:t>1022</w:t>
                </w:r>
              </w:p>
            </w:txbxContent>
          </v:textbox>
          <w10:wrap type="none"/>
        </v:shape>
      </w:pict>
    </w:r>
    <w:r>
      <w:rPr/>
      <w:pict>
        <v:shape style="position:absolute;margin-left:112.9673pt;margin-top:51.766525pt;width:152.8pt;height:14.3pt;mso-position-horizontal-relative:page;mso-position-vertical-relative:page;z-index:-69736"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69712"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6pt;mso-position-horizontal-relative:page;mso-position-vertical-relative:page;z-index:-69688"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1023</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64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6pt;mso-position-horizontal-relative:page;mso-position-vertical-relative:page;z-index:-70624"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1001</w:t>
                </w:r>
                <w:r>
                  <w:rPr/>
                  <w:fldChar w:fldCharType="end"/>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0.125999pt;margin-top:51.952869pt;width:24.75pt;height:14.05pt;mso-position-horizontal-relative:page;mso-position-vertical-relative:page;z-index:-69664" type="#_x0000_t202" filled="false" stroked="false">
          <v:textbox inset="0,0,0,0">
            <w:txbxContent>
              <w:p>
                <w:pPr>
                  <w:pStyle w:val="BodyText"/>
                  <w:spacing w:before="14"/>
                  <w:ind w:left="40"/>
                </w:pPr>
                <w:r>
                  <w:rPr/>
                  <w:fldChar w:fldCharType="begin"/>
                </w:r>
                <w:r>
                  <w:rPr>
                    <w:w w:val="105"/>
                  </w:rPr>
                  <w:instrText> PAGE </w:instrText>
                </w:r>
                <w:r>
                  <w:rPr/>
                  <w:fldChar w:fldCharType="separate"/>
                </w:r>
                <w:r>
                  <w:rPr/>
                  <w:t>1024</w:t>
                </w:r>
                <w:r>
                  <w:rPr/>
                  <w:fldChar w:fldCharType="end"/>
                </w:r>
              </w:p>
            </w:txbxContent>
          </v:textbox>
          <w10:wrap type="none"/>
        </v:shape>
      </w:pict>
    </w:r>
    <w:r>
      <w:rPr/>
      <w:pict>
        <v:shape style="position:absolute;margin-left:112.9673pt;margin-top:51.766525pt;width:152.8pt;height:14.3pt;mso-position-horizontal-relative:page;mso-position-vertical-relative:page;z-index:-69640"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600" from="165.167999pt,157.078003pt" to="167.570999pt,157.07800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576" type="#_x0000_t202" filled="false" stroked="false">
          <v:textbox inset="0,0,0,0">
            <w:txbxContent>
              <w:p>
                <w:pPr>
                  <w:pStyle w:val="BodyText"/>
                  <w:spacing w:before="14"/>
                  <w:ind w:left="20"/>
                </w:pPr>
                <w:r>
                  <w:rPr>
                    <w:w w:val="105"/>
                  </w:rPr>
                  <w:t>1006</w:t>
                </w:r>
              </w:p>
            </w:txbxContent>
          </v:textbox>
          <w10:wrap type="none"/>
        </v:shape>
      </w:pict>
    </w:r>
    <w:r>
      <w:rPr/>
      <w:pict>
        <v:shape style="position:absolute;margin-left:112.9673pt;margin-top:51.766525pt;width:152.8pt;height:14.3pt;mso-position-horizontal-relative:page;mso-position-vertical-relative:page;z-index:-7055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2.324524pt;width:189.1pt;height:14.3pt;mso-position-horizontal-relative:page;mso-position-vertical-relative:page;z-index:-7052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2.510868pt;width:24.75pt;height:14.05pt;mso-position-horizontal-relative:page;mso-position-vertical-relative:page;z-index:-70504" type="#_x0000_t202" filled="false" stroked="false">
          <v:textbox inset="0,0,0,0">
            <w:txbxContent>
              <w:p>
                <w:pPr>
                  <w:pStyle w:val="BodyText"/>
                  <w:spacing w:before="14"/>
                  <w:ind w:left="40"/>
                </w:pPr>
                <w:r>
                  <w:rPr>
                    <w:w w:val="105"/>
                  </w:rPr>
                  <w:t>1007</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480" from="126.629997pt,107.263pt" to="129.032997pt,107.263pt" stroked="true" strokeweight=".405pt" strokecolor="#000000">
          <v:stroke dashstyle="solid"/>
          <w10:wrap type="none"/>
        </v:line>
      </w:pict>
    </w:r>
    <w:r>
      <w:rPr/>
      <w:pict>
        <v:line style="position:absolute;mso-position-horizontal-relative:page;mso-position-vertical-relative:page;z-index:-70456" from="155.511002pt,107.263pt" to="157.914002pt,107.26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432" type="#_x0000_t202" filled="false" stroked="false">
          <v:textbox inset="0,0,0,0">
            <w:txbxContent>
              <w:p>
                <w:pPr>
                  <w:pStyle w:val="BodyText"/>
                  <w:spacing w:before="14"/>
                  <w:ind w:left="20"/>
                </w:pPr>
                <w:r>
                  <w:rPr>
                    <w:w w:val="105"/>
                  </w:rPr>
                  <w:t>1008</w:t>
                </w:r>
              </w:p>
            </w:txbxContent>
          </v:textbox>
          <w10:wrap type="none"/>
        </v:shape>
      </w:pict>
    </w:r>
    <w:r>
      <w:rPr/>
      <w:pict>
        <v:shape style="position:absolute;margin-left:112.9673pt;margin-top:51.766525pt;width:152.8pt;height:14.3pt;mso-position-horizontal-relative:page;mso-position-vertical-relative:page;z-index:-70408"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384"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0.705414pt;margin-top:51.952869pt;width:24.75pt;height:14.05pt;mso-position-horizontal-relative:page;mso-position-vertical-relative:page;z-index:-70360" type="#_x0000_t202" filled="false" stroked="false">
          <v:textbox inset="0,0,0,0">
            <w:txbxContent>
              <w:p>
                <w:pPr>
                  <w:pStyle w:val="BodyText"/>
                  <w:spacing w:before="14"/>
                  <w:ind w:left="40"/>
                </w:pPr>
                <w:r>
                  <w:rPr>
                    <w:w w:val="105"/>
                  </w:rPr>
                  <w:t>1009</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71.125999pt;margin-top:51.952869pt;width:22.75pt;height:14.05pt;mso-position-horizontal-relative:page;mso-position-vertical-relative:page;z-index:-70336" type="#_x0000_t202" filled="false" stroked="false">
          <v:textbox inset="0,0,0,0">
            <w:txbxContent>
              <w:p>
                <w:pPr>
                  <w:pStyle w:val="BodyText"/>
                  <w:spacing w:before="14"/>
                  <w:ind w:left="20"/>
                </w:pPr>
                <w:r>
                  <w:rPr>
                    <w:w w:val="105"/>
                  </w:rPr>
                  <w:t>1010</w:t>
                </w:r>
              </w:p>
            </w:txbxContent>
          </v:textbox>
          <w10:wrap type="none"/>
        </v:shape>
      </w:pict>
    </w:r>
    <w:r>
      <w:rPr/>
      <w:pict>
        <v:shape style="position:absolute;margin-left:112.9673pt;margin-top:51.766525pt;width:152.8pt;height:14.3pt;mso-position-horizontal-relative:page;mso-position-vertical-relative:page;z-index:-7031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83.518005pt;margin-top:51.766525pt;width:189.1pt;height:14.3pt;mso-position-horizontal-relative:page;mso-position-vertical-relative:page;z-index:-70288" type="#_x0000_t202" filled="false" stroked="false">
          <v:textbox inset="0,0,0,0">
            <w:txbxContent>
              <w:p>
                <w:pPr>
                  <w:spacing w:before="18"/>
                  <w:ind w:left="20" w:right="0" w:firstLine="0"/>
                  <w:jc w:val="left"/>
                  <w:rPr>
                    <w:sz w:val="16"/>
                  </w:rPr>
                </w:pPr>
                <w:r>
                  <w:rPr>
                    <w:sz w:val="16"/>
                  </w:rPr>
                  <w:t>DEBTHOLDERS</w:t>
                </w:r>
                <w:r>
                  <w:rPr>
                    <w:sz w:val="20"/>
                  </w:rPr>
                  <w:t>’ </w:t>
                </w:r>
                <w:r>
                  <w:rPr>
                    <w:sz w:val="16"/>
                  </w:rPr>
                  <w:t>DEMAND FOR CONSERVATISM</w:t>
                </w:r>
              </w:p>
            </w:txbxContent>
          </v:textbox>
          <w10:wrap type="none"/>
        </v:shape>
      </w:pict>
    </w:r>
    <w:r>
      <w:rPr/>
      <w:pict>
        <v:shape style="position:absolute;margin-left:391.705414pt;margin-top:51.952869pt;width:22.75pt;height:14.05pt;mso-position-horizontal-relative:page;mso-position-vertical-relative:page;z-index:-70264" type="#_x0000_t202" filled="false" stroked="false">
          <v:textbox inset="0,0,0,0">
            <w:txbxContent>
              <w:p>
                <w:pPr>
                  <w:pStyle w:val="BodyText"/>
                  <w:spacing w:before="14"/>
                  <w:ind w:left="20"/>
                </w:pPr>
                <w:r>
                  <w:rPr>
                    <w:w w:val="105"/>
                  </w:rPr>
                  <w:t>1011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240" from="150.210007pt,107.263pt" to="152.613007pt,107.263pt" stroked="true" strokeweight=".405pt" strokecolor="#000000">
          <v:stroke dashstyle="solid"/>
          <w10:wrap type="none"/>
        </v:line>
      </w:pict>
    </w:r>
    <w:r>
      <w:rPr/>
      <w:pict>
        <v:shape style="position:absolute;margin-left:71.125999pt;margin-top:51.952869pt;width:22.75pt;height:14.05pt;mso-position-horizontal-relative:page;mso-position-vertical-relative:page;z-index:-70216" type="#_x0000_t202" filled="false" stroked="false">
          <v:textbox inset="0,0,0,0">
            <w:txbxContent>
              <w:p>
                <w:pPr>
                  <w:pStyle w:val="BodyText"/>
                  <w:spacing w:before="14"/>
                  <w:ind w:left="20"/>
                </w:pPr>
                <w:r>
                  <w:rPr>
                    <w:w w:val="105"/>
                  </w:rPr>
                  <w:t>1012</w:t>
                </w:r>
              </w:p>
            </w:txbxContent>
          </v:textbox>
          <w10:wrap type="none"/>
        </v:shape>
      </w:pict>
    </w:r>
    <w:r>
      <w:rPr/>
      <w:pict>
        <v:shape style="position:absolute;margin-left:112.9673pt;margin-top:51.766525pt;width:152.8pt;height:14.3pt;mso-position-horizontal-relative:page;mso-position-vertical-relative:page;z-index:-70192" type="#_x0000_t202" filled="false" stroked="false">
          <v:textbox inset="0,0,0,0">
            <w:txbxContent>
              <w:p>
                <w:pPr>
                  <w:spacing w:before="18"/>
                  <w:ind w:left="20" w:right="0" w:firstLine="0"/>
                  <w:jc w:val="left"/>
                  <w:rPr>
                    <w:sz w:val="16"/>
                  </w:rPr>
                </w:pPr>
                <w:r>
                  <w:rPr>
                    <w:sz w:val="16"/>
                  </w:rPr>
                  <w:t>J</w:t>
                </w:r>
                <w:r>
                  <w:rPr>
                    <w:sz w:val="20"/>
                  </w:rPr>
                  <w:t>.</w:t>
                </w:r>
                <w:r>
                  <w:rPr>
                    <w:spacing w:val="-9"/>
                    <w:sz w:val="20"/>
                  </w:rPr>
                  <w:t> </w:t>
                </w:r>
                <w:r>
                  <w:rPr>
                    <w:sz w:val="16"/>
                  </w:rPr>
                  <w:t>K</w:t>
                </w:r>
                <w:r>
                  <w:rPr>
                    <w:sz w:val="20"/>
                  </w:rPr>
                  <w:t>.</w:t>
                </w:r>
                <w:r>
                  <w:rPr>
                    <w:spacing w:val="-9"/>
                    <w:sz w:val="20"/>
                  </w:rPr>
                  <w:t> </w:t>
                </w:r>
                <w:r>
                  <w:rPr>
                    <w:sz w:val="16"/>
                  </w:rPr>
                  <w:t>AIER</w:t>
                </w:r>
                <w:r>
                  <w:rPr>
                    <w:sz w:val="20"/>
                  </w:rPr>
                  <w:t>,</w:t>
                </w:r>
                <w:r>
                  <w:rPr>
                    <w:spacing w:val="-9"/>
                    <w:sz w:val="20"/>
                  </w:rPr>
                  <w:t> </w:t>
                </w:r>
                <w:r>
                  <w:rPr>
                    <w:sz w:val="16"/>
                  </w:rPr>
                  <w:t>L</w:t>
                </w:r>
                <w:r>
                  <w:rPr>
                    <w:sz w:val="20"/>
                  </w:rPr>
                  <w:t>.</w:t>
                </w:r>
                <w:r>
                  <w:rPr>
                    <w:spacing w:val="-9"/>
                    <w:sz w:val="20"/>
                  </w:rPr>
                  <w:t> </w:t>
                </w:r>
                <w:r>
                  <w:rPr>
                    <w:sz w:val="16"/>
                  </w:rPr>
                  <w:t>CHEN</w:t>
                </w:r>
                <w:r>
                  <w:rPr>
                    <w:sz w:val="20"/>
                  </w:rPr>
                  <w:t>,</w:t>
                </w:r>
                <w:r>
                  <w:rPr>
                    <w:spacing w:val="-9"/>
                    <w:sz w:val="20"/>
                  </w:rPr>
                  <w:t> </w:t>
                </w:r>
                <w:r>
                  <w:rPr>
                    <w:sz w:val="16"/>
                  </w:rPr>
                  <w:t>AND</w:t>
                </w:r>
                <w:r>
                  <w:rPr>
                    <w:spacing w:val="0"/>
                    <w:sz w:val="16"/>
                  </w:rPr>
                  <w:t> </w:t>
                </w:r>
                <w:r>
                  <w:rPr>
                    <w:sz w:val="16"/>
                  </w:rPr>
                  <w:t>M</w:t>
                </w:r>
                <w:r>
                  <w:rPr>
                    <w:sz w:val="20"/>
                  </w:rPr>
                  <w:t>.</w:t>
                </w:r>
                <w:r>
                  <w:rPr>
                    <w:spacing w:val="-9"/>
                    <w:sz w:val="20"/>
                  </w:rPr>
                  <w:t> </w:t>
                </w:r>
                <w:r>
                  <w:rPr>
                    <w:sz w:val="16"/>
                  </w:rPr>
                  <w:t>PEVZNER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Roman"/>
      <w:lvlText w:val="(%1)"/>
      <w:lvlJc w:val="left"/>
      <w:pPr>
        <w:ind w:left="1836" w:hanging="227"/>
        <w:jc w:val="left"/>
      </w:pPr>
      <w:rPr>
        <w:rFonts w:hint="default" w:ascii="Book Antiqua" w:hAnsi="Book Antiqua" w:eastAsia="Book Antiqua" w:cs="Book Antiqua"/>
        <w:color w:val="231F20"/>
        <w:spacing w:val="-1"/>
        <w:w w:val="120"/>
        <w:sz w:val="16"/>
        <w:szCs w:val="16"/>
      </w:rPr>
    </w:lvl>
    <w:lvl w:ilvl="1">
      <w:start w:val="0"/>
      <w:numFmt w:val="bullet"/>
      <w:lvlText w:val="•"/>
      <w:lvlJc w:val="left"/>
      <w:pPr>
        <w:ind w:left="2370" w:hanging="227"/>
      </w:pPr>
      <w:rPr>
        <w:rFonts w:hint="default"/>
      </w:rPr>
    </w:lvl>
    <w:lvl w:ilvl="2">
      <w:start w:val="0"/>
      <w:numFmt w:val="bullet"/>
      <w:lvlText w:val="•"/>
      <w:lvlJc w:val="left"/>
      <w:pPr>
        <w:ind w:left="2900" w:hanging="227"/>
      </w:pPr>
      <w:rPr>
        <w:rFonts w:hint="default"/>
      </w:rPr>
    </w:lvl>
    <w:lvl w:ilvl="3">
      <w:start w:val="0"/>
      <w:numFmt w:val="bullet"/>
      <w:lvlText w:val="•"/>
      <w:lvlJc w:val="left"/>
      <w:pPr>
        <w:ind w:left="3430" w:hanging="227"/>
      </w:pPr>
      <w:rPr>
        <w:rFonts w:hint="default"/>
      </w:rPr>
    </w:lvl>
    <w:lvl w:ilvl="4">
      <w:start w:val="0"/>
      <w:numFmt w:val="bullet"/>
      <w:lvlText w:val="•"/>
      <w:lvlJc w:val="left"/>
      <w:pPr>
        <w:ind w:left="3960" w:hanging="227"/>
      </w:pPr>
      <w:rPr>
        <w:rFonts w:hint="default"/>
      </w:rPr>
    </w:lvl>
    <w:lvl w:ilvl="5">
      <w:start w:val="0"/>
      <w:numFmt w:val="bullet"/>
      <w:lvlText w:val="•"/>
      <w:lvlJc w:val="left"/>
      <w:pPr>
        <w:ind w:left="4490" w:hanging="227"/>
      </w:pPr>
      <w:rPr>
        <w:rFonts w:hint="default"/>
      </w:rPr>
    </w:lvl>
    <w:lvl w:ilvl="6">
      <w:start w:val="0"/>
      <w:numFmt w:val="bullet"/>
      <w:lvlText w:val="•"/>
      <w:lvlJc w:val="left"/>
      <w:pPr>
        <w:ind w:left="5020" w:hanging="227"/>
      </w:pPr>
      <w:rPr>
        <w:rFonts w:hint="default"/>
      </w:rPr>
    </w:lvl>
    <w:lvl w:ilvl="7">
      <w:start w:val="0"/>
      <w:numFmt w:val="bullet"/>
      <w:lvlText w:val="•"/>
      <w:lvlJc w:val="left"/>
      <w:pPr>
        <w:ind w:left="5550" w:hanging="227"/>
      </w:pPr>
      <w:rPr>
        <w:rFonts w:hint="default"/>
      </w:rPr>
    </w:lvl>
    <w:lvl w:ilvl="8">
      <w:start w:val="0"/>
      <w:numFmt w:val="bullet"/>
      <w:lvlText w:val="•"/>
      <w:lvlJc w:val="left"/>
      <w:pPr>
        <w:ind w:left="6080" w:hanging="227"/>
      </w:pPr>
      <w:rPr>
        <w:rFonts w:hint="default"/>
      </w:rPr>
    </w:lvl>
  </w:abstractNum>
  <w:abstractNum w:abstractNumId="4">
    <w:multiLevelType w:val="hybridMultilevel"/>
    <w:lvl w:ilvl="0">
      <w:start w:val="6"/>
      <w:numFmt w:val="decimal"/>
      <w:lvlText w:val="%1"/>
      <w:lvlJc w:val="left"/>
      <w:pPr>
        <w:ind w:left="162" w:hanging="578"/>
        <w:jc w:val="left"/>
      </w:pPr>
      <w:rPr>
        <w:rFonts w:hint="default"/>
      </w:rPr>
    </w:lvl>
    <w:lvl w:ilvl="1">
      <w:start w:val="1"/>
      <w:numFmt w:val="decimal"/>
      <w:lvlText w:val="%1.%2"/>
      <w:lvlJc w:val="left"/>
      <w:pPr>
        <w:ind w:left="162" w:hanging="578"/>
        <w:jc w:val="right"/>
      </w:pPr>
      <w:rPr>
        <w:rFonts w:hint="default"/>
      </w:rPr>
    </w:lvl>
    <w:lvl w:ilvl="2">
      <w:start w:val="1"/>
      <w:numFmt w:val="decimal"/>
      <w:lvlText w:val="%1.%2.%3."/>
      <w:lvlJc w:val="left"/>
      <w:pPr>
        <w:ind w:left="162" w:hanging="578"/>
        <w:jc w:val="left"/>
      </w:pPr>
      <w:rPr>
        <w:rFonts w:hint="default" w:ascii="Book Antiqua" w:hAnsi="Book Antiqua" w:eastAsia="Book Antiqua" w:cs="Book Antiqua"/>
        <w:i/>
        <w:w w:val="106"/>
        <w:sz w:val="20"/>
        <w:szCs w:val="20"/>
      </w:rPr>
    </w:lvl>
    <w:lvl w:ilvl="3">
      <w:start w:val="0"/>
      <w:numFmt w:val="bullet"/>
      <w:lvlText w:val="•"/>
      <w:lvlJc w:val="left"/>
      <w:pPr>
        <w:ind w:left="2006" w:hanging="578"/>
      </w:pPr>
      <w:rPr>
        <w:rFonts w:hint="default"/>
      </w:rPr>
    </w:lvl>
    <w:lvl w:ilvl="4">
      <w:start w:val="0"/>
      <w:numFmt w:val="bullet"/>
      <w:lvlText w:val="•"/>
      <w:lvlJc w:val="left"/>
      <w:pPr>
        <w:ind w:left="2740" w:hanging="578"/>
      </w:pPr>
      <w:rPr>
        <w:rFonts w:hint="default"/>
      </w:rPr>
    </w:lvl>
    <w:lvl w:ilvl="5">
      <w:start w:val="0"/>
      <w:numFmt w:val="bullet"/>
      <w:lvlText w:val="•"/>
      <w:lvlJc w:val="left"/>
      <w:pPr>
        <w:ind w:left="3473" w:hanging="578"/>
      </w:pPr>
      <w:rPr>
        <w:rFonts w:hint="default"/>
      </w:rPr>
    </w:lvl>
    <w:lvl w:ilvl="6">
      <w:start w:val="0"/>
      <w:numFmt w:val="bullet"/>
      <w:lvlText w:val="•"/>
      <w:lvlJc w:val="left"/>
      <w:pPr>
        <w:ind w:left="4206" w:hanging="578"/>
      </w:pPr>
      <w:rPr>
        <w:rFonts w:hint="default"/>
      </w:rPr>
    </w:lvl>
    <w:lvl w:ilvl="7">
      <w:start w:val="0"/>
      <w:numFmt w:val="bullet"/>
      <w:lvlText w:val="•"/>
      <w:lvlJc w:val="left"/>
      <w:pPr>
        <w:ind w:left="4940" w:hanging="578"/>
      </w:pPr>
      <w:rPr>
        <w:rFonts w:hint="default"/>
      </w:rPr>
    </w:lvl>
    <w:lvl w:ilvl="8">
      <w:start w:val="0"/>
      <w:numFmt w:val="bullet"/>
      <w:lvlText w:val="•"/>
      <w:lvlJc w:val="left"/>
      <w:pPr>
        <w:ind w:left="5673" w:hanging="578"/>
      </w:pPr>
      <w:rPr>
        <w:rFonts w:hint="default"/>
      </w:rPr>
    </w:lvl>
  </w:abstractNum>
  <w:abstractNum w:abstractNumId="3">
    <w:multiLevelType w:val="hybridMultilevel"/>
    <w:lvl w:ilvl="0">
      <w:start w:val="5"/>
      <w:numFmt w:val="decimal"/>
      <w:lvlText w:val="%1"/>
      <w:lvlJc w:val="left"/>
      <w:pPr>
        <w:ind w:left="162" w:hanging="578"/>
        <w:jc w:val="left"/>
      </w:pPr>
      <w:rPr>
        <w:rFonts w:hint="default"/>
      </w:rPr>
    </w:lvl>
    <w:lvl w:ilvl="1">
      <w:start w:val="3"/>
      <w:numFmt w:val="decimal"/>
      <w:lvlText w:val="%1.%2"/>
      <w:lvlJc w:val="left"/>
      <w:pPr>
        <w:ind w:left="162" w:hanging="578"/>
        <w:jc w:val="left"/>
      </w:pPr>
      <w:rPr>
        <w:rFonts w:hint="default"/>
      </w:rPr>
    </w:lvl>
    <w:lvl w:ilvl="2">
      <w:start w:val="1"/>
      <w:numFmt w:val="decimal"/>
      <w:lvlText w:val="%1.%2.%3."/>
      <w:lvlJc w:val="left"/>
      <w:pPr>
        <w:ind w:left="162" w:hanging="578"/>
        <w:jc w:val="left"/>
      </w:pPr>
      <w:rPr>
        <w:rFonts w:hint="default" w:ascii="Book Antiqua" w:hAnsi="Book Antiqua" w:eastAsia="Book Antiqua" w:cs="Book Antiqua"/>
        <w:i/>
        <w:w w:val="106"/>
        <w:sz w:val="20"/>
        <w:szCs w:val="20"/>
      </w:rPr>
    </w:lvl>
    <w:lvl w:ilvl="3">
      <w:start w:val="0"/>
      <w:numFmt w:val="bullet"/>
      <w:lvlText w:val="•"/>
      <w:lvlJc w:val="left"/>
      <w:pPr>
        <w:ind w:left="2254" w:hanging="578"/>
      </w:pPr>
      <w:rPr>
        <w:rFonts w:hint="default"/>
      </w:rPr>
    </w:lvl>
    <w:lvl w:ilvl="4">
      <w:start w:val="0"/>
      <w:numFmt w:val="bullet"/>
      <w:lvlText w:val="•"/>
      <w:lvlJc w:val="left"/>
      <w:pPr>
        <w:ind w:left="2952" w:hanging="578"/>
      </w:pPr>
      <w:rPr>
        <w:rFonts w:hint="default"/>
      </w:rPr>
    </w:lvl>
    <w:lvl w:ilvl="5">
      <w:start w:val="0"/>
      <w:numFmt w:val="bullet"/>
      <w:lvlText w:val="•"/>
      <w:lvlJc w:val="left"/>
      <w:pPr>
        <w:ind w:left="3650" w:hanging="578"/>
      </w:pPr>
      <w:rPr>
        <w:rFonts w:hint="default"/>
      </w:rPr>
    </w:lvl>
    <w:lvl w:ilvl="6">
      <w:start w:val="0"/>
      <w:numFmt w:val="bullet"/>
      <w:lvlText w:val="•"/>
      <w:lvlJc w:val="left"/>
      <w:pPr>
        <w:ind w:left="4348" w:hanging="578"/>
      </w:pPr>
      <w:rPr>
        <w:rFonts w:hint="default"/>
      </w:rPr>
    </w:lvl>
    <w:lvl w:ilvl="7">
      <w:start w:val="0"/>
      <w:numFmt w:val="bullet"/>
      <w:lvlText w:val="•"/>
      <w:lvlJc w:val="left"/>
      <w:pPr>
        <w:ind w:left="5046" w:hanging="578"/>
      </w:pPr>
      <w:rPr>
        <w:rFonts w:hint="default"/>
      </w:rPr>
    </w:lvl>
    <w:lvl w:ilvl="8">
      <w:start w:val="0"/>
      <w:numFmt w:val="bullet"/>
      <w:lvlText w:val="•"/>
      <w:lvlJc w:val="left"/>
      <w:pPr>
        <w:ind w:left="5744" w:hanging="578"/>
      </w:pPr>
      <w:rPr>
        <w:rFonts w:hint="default"/>
      </w:rPr>
    </w:lvl>
  </w:abstractNum>
  <w:abstractNum w:abstractNumId="2">
    <w:multiLevelType w:val="hybridMultilevel"/>
    <w:lvl w:ilvl="0">
      <w:start w:val="5"/>
      <w:numFmt w:val="decimal"/>
      <w:lvlText w:val="%1."/>
      <w:lvlJc w:val="left"/>
      <w:pPr>
        <w:ind w:left="843" w:hanging="311"/>
        <w:jc w:val="right"/>
      </w:pPr>
      <w:rPr>
        <w:rFonts w:hint="default" w:ascii="Book Antiqua" w:hAnsi="Book Antiqua" w:eastAsia="Book Antiqua" w:cs="Book Antiqua"/>
        <w:i/>
        <w:w w:val="106"/>
        <w:sz w:val="24"/>
        <w:szCs w:val="24"/>
      </w:rPr>
    </w:lvl>
    <w:lvl w:ilvl="1">
      <w:start w:val="1"/>
      <w:numFmt w:val="decimal"/>
      <w:lvlText w:val="%1.%2"/>
      <w:lvlJc w:val="left"/>
      <w:pPr>
        <w:ind w:left="532" w:hanging="377"/>
        <w:jc w:val="right"/>
      </w:pPr>
      <w:rPr>
        <w:rFonts w:hint="default" w:ascii="Book Antiqua" w:hAnsi="Book Antiqua" w:eastAsia="Book Antiqua" w:cs="Book Antiqua"/>
        <w:spacing w:val="-1"/>
        <w:w w:val="103"/>
        <w:sz w:val="21"/>
        <w:szCs w:val="21"/>
      </w:rPr>
    </w:lvl>
    <w:lvl w:ilvl="2">
      <w:start w:val="1"/>
      <w:numFmt w:val="lowerRoman"/>
      <w:lvlText w:val="(%3)"/>
      <w:lvlJc w:val="left"/>
      <w:pPr>
        <w:ind w:left="4329" w:hanging="1507"/>
        <w:jc w:val="left"/>
      </w:pPr>
      <w:rPr>
        <w:rFonts w:hint="default" w:ascii="Book Antiqua" w:hAnsi="Book Antiqua" w:eastAsia="Book Antiqua" w:cs="Book Antiqua"/>
        <w:color w:val="231F20"/>
        <w:w w:val="125"/>
        <w:sz w:val="15"/>
        <w:szCs w:val="15"/>
      </w:rPr>
    </w:lvl>
    <w:lvl w:ilvl="3">
      <w:start w:val="0"/>
      <w:numFmt w:val="bullet"/>
      <w:lvlText w:val="•"/>
      <w:lvlJc w:val="left"/>
      <w:pPr>
        <w:ind w:left="4672" w:hanging="1507"/>
      </w:pPr>
      <w:rPr>
        <w:rFonts w:hint="default"/>
      </w:rPr>
    </w:lvl>
    <w:lvl w:ilvl="4">
      <w:start w:val="0"/>
      <w:numFmt w:val="bullet"/>
      <w:lvlText w:val="•"/>
      <w:lvlJc w:val="left"/>
      <w:pPr>
        <w:ind w:left="5025" w:hanging="1507"/>
      </w:pPr>
      <w:rPr>
        <w:rFonts w:hint="default"/>
      </w:rPr>
    </w:lvl>
    <w:lvl w:ilvl="5">
      <w:start w:val="0"/>
      <w:numFmt w:val="bullet"/>
      <w:lvlText w:val="•"/>
      <w:lvlJc w:val="left"/>
      <w:pPr>
        <w:ind w:left="5377" w:hanging="1507"/>
      </w:pPr>
      <w:rPr>
        <w:rFonts w:hint="default"/>
      </w:rPr>
    </w:lvl>
    <w:lvl w:ilvl="6">
      <w:start w:val="0"/>
      <w:numFmt w:val="bullet"/>
      <w:lvlText w:val="•"/>
      <w:lvlJc w:val="left"/>
      <w:pPr>
        <w:ind w:left="5730" w:hanging="1507"/>
      </w:pPr>
      <w:rPr>
        <w:rFonts w:hint="default"/>
      </w:rPr>
    </w:lvl>
    <w:lvl w:ilvl="7">
      <w:start w:val="0"/>
      <w:numFmt w:val="bullet"/>
      <w:lvlText w:val="•"/>
      <w:lvlJc w:val="left"/>
      <w:pPr>
        <w:ind w:left="6082" w:hanging="1507"/>
      </w:pPr>
      <w:rPr>
        <w:rFonts w:hint="default"/>
      </w:rPr>
    </w:lvl>
    <w:lvl w:ilvl="8">
      <w:start w:val="0"/>
      <w:numFmt w:val="bullet"/>
      <w:lvlText w:val="•"/>
      <w:lvlJc w:val="left"/>
      <w:pPr>
        <w:ind w:left="6435" w:hanging="1507"/>
      </w:pPr>
      <w:rPr>
        <w:rFonts w:hint="default"/>
      </w:rPr>
    </w:lvl>
  </w:abstractNum>
  <w:abstractNum w:abstractNumId="1">
    <w:multiLevelType w:val="hybridMultilevel"/>
    <w:lvl w:ilvl="0">
      <w:start w:val="3"/>
      <w:numFmt w:val="decimal"/>
      <w:lvlText w:val="%1"/>
      <w:lvlJc w:val="left"/>
      <w:pPr>
        <w:ind w:left="162" w:hanging="578"/>
        <w:jc w:val="left"/>
      </w:pPr>
      <w:rPr>
        <w:rFonts w:hint="default"/>
      </w:rPr>
    </w:lvl>
    <w:lvl w:ilvl="1">
      <w:start w:val="3"/>
      <w:numFmt w:val="decimal"/>
      <w:lvlText w:val="%1.%2"/>
      <w:lvlJc w:val="left"/>
      <w:pPr>
        <w:ind w:left="162" w:hanging="578"/>
        <w:jc w:val="left"/>
      </w:pPr>
      <w:rPr>
        <w:rFonts w:hint="default"/>
      </w:rPr>
    </w:lvl>
    <w:lvl w:ilvl="2">
      <w:start w:val="1"/>
      <w:numFmt w:val="decimal"/>
      <w:lvlText w:val="%1.%2.%3."/>
      <w:lvlJc w:val="left"/>
      <w:pPr>
        <w:ind w:left="162" w:hanging="578"/>
        <w:jc w:val="right"/>
      </w:pPr>
      <w:rPr>
        <w:rFonts w:hint="default" w:ascii="Book Antiqua" w:hAnsi="Book Antiqua" w:eastAsia="Book Antiqua" w:cs="Book Antiqua"/>
        <w:i/>
        <w:w w:val="106"/>
        <w:sz w:val="20"/>
        <w:szCs w:val="20"/>
      </w:rPr>
    </w:lvl>
    <w:lvl w:ilvl="3">
      <w:start w:val="0"/>
      <w:numFmt w:val="bullet"/>
      <w:lvlText w:val="•"/>
      <w:lvlJc w:val="left"/>
      <w:pPr>
        <w:ind w:left="2254" w:hanging="578"/>
      </w:pPr>
      <w:rPr>
        <w:rFonts w:hint="default"/>
      </w:rPr>
    </w:lvl>
    <w:lvl w:ilvl="4">
      <w:start w:val="0"/>
      <w:numFmt w:val="bullet"/>
      <w:lvlText w:val="•"/>
      <w:lvlJc w:val="left"/>
      <w:pPr>
        <w:ind w:left="2952" w:hanging="578"/>
      </w:pPr>
      <w:rPr>
        <w:rFonts w:hint="default"/>
      </w:rPr>
    </w:lvl>
    <w:lvl w:ilvl="5">
      <w:start w:val="0"/>
      <w:numFmt w:val="bullet"/>
      <w:lvlText w:val="•"/>
      <w:lvlJc w:val="left"/>
      <w:pPr>
        <w:ind w:left="3650" w:hanging="578"/>
      </w:pPr>
      <w:rPr>
        <w:rFonts w:hint="default"/>
      </w:rPr>
    </w:lvl>
    <w:lvl w:ilvl="6">
      <w:start w:val="0"/>
      <w:numFmt w:val="bullet"/>
      <w:lvlText w:val="•"/>
      <w:lvlJc w:val="left"/>
      <w:pPr>
        <w:ind w:left="4348" w:hanging="578"/>
      </w:pPr>
      <w:rPr>
        <w:rFonts w:hint="default"/>
      </w:rPr>
    </w:lvl>
    <w:lvl w:ilvl="7">
      <w:start w:val="0"/>
      <w:numFmt w:val="bullet"/>
      <w:lvlText w:val="•"/>
      <w:lvlJc w:val="left"/>
      <w:pPr>
        <w:ind w:left="5046" w:hanging="578"/>
      </w:pPr>
      <w:rPr>
        <w:rFonts w:hint="default"/>
      </w:rPr>
    </w:lvl>
    <w:lvl w:ilvl="8">
      <w:start w:val="0"/>
      <w:numFmt w:val="bullet"/>
      <w:lvlText w:val="•"/>
      <w:lvlJc w:val="left"/>
      <w:pPr>
        <w:ind w:left="5744" w:hanging="578"/>
      </w:pPr>
      <w:rPr>
        <w:rFonts w:hint="default"/>
      </w:rPr>
    </w:lvl>
  </w:abstractNum>
  <w:abstractNum w:abstractNumId="0">
    <w:multiLevelType w:val="hybridMultilevel"/>
    <w:lvl w:ilvl="0">
      <w:start w:val="1"/>
      <w:numFmt w:val="decimal"/>
      <w:lvlText w:val="%1."/>
      <w:lvlJc w:val="left"/>
      <w:pPr>
        <w:ind w:left="473" w:hanging="311"/>
        <w:jc w:val="left"/>
      </w:pPr>
      <w:rPr>
        <w:rFonts w:hint="default" w:ascii="Book Antiqua" w:hAnsi="Book Antiqua" w:eastAsia="Book Antiqua" w:cs="Book Antiqua"/>
        <w:i/>
        <w:w w:val="106"/>
        <w:sz w:val="24"/>
        <w:szCs w:val="24"/>
      </w:rPr>
    </w:lvl>
    <w:lvl w:ilvl="1">
      <w:start w:val="1"/>
      <w:numFmt w:val="decimal"/>
      <w:lvlText w:val="%1.%2"/>
      <w:lvlJc w:val="left"/>
      <w:pPr>
        <w:ind w:left="532" w:hanging="377"/>
        <w:jc w:val="right"/>
      </w:pPr>
      <w:rPr>
        <w:rFonts w:hint="default" w:ascii="Book Antiqua" w:hAnsi="Book Antiqua" w:eastAsia="Book Antiqua" w:cs="Book Antiqua"/>
        <w:spacing w:val="-1"/>
        <w:w w:val="103"/>
        <w:sz w:val="21"/>
        <w:szCs w:val="21"/>
      </w:rPr>
    </w:lvl>
    <w:lvl w:ilvl="2">
      <w:start w:val="1"/>
      <w:numFmt w:val="lowerRoman"/>
      <w:lvlText w:val="(%3)"/>
      <w:lvlJc w:val="left"/>
      <w:pPr>
        <w:ind w:left="532" w:hanging="292"/>
        <w:jc w:val="left"/>
      </w:pPr>
      <w:rPr>
        <w:rFonts w:hint="default" w:ascii="Book Antiqua" w:hAnsi="Book Antiqua" w:eastAsia="Book Antiqua" w:cs="Book Antiqua"/>
        <w:w w:val="120"/>
        <w:sz w:val="20"/>
        <w:szCs w:val="20"/>
      </w:rPr>
    </w:lvl>
    <w:lvl w:ilvl="3">
      <w:start w:val="0"/>
      <w:numFmt w:val="bullet"/>
      <w:lvlText w:val="•"/>
      <w:lvlJc w:val="left"/>
      <w:pPr>
        <w:ind w:left="1662" w:hanging="292"/>
      </w:pPr>
      <w:rPr>
        <w:rFonts w:hint="default"/>
      </w:rPr>
    </w:lvl>
    <w:lvl w:ilvl="4">
      <w:start w:val="0"/>
      <w:numFmt w:val="bullet"/>
      <w:lvlText w:val="•"/>
      <w:lvlJc w:val="left"/>
      <w:pPr>
        <w:ind w:left="2445" w:hanging="292"/>
      </w:pPr>
      <w:rPr>
        <w:rFonts w:hint="default"/>
      </w:rPr>
    </w:lvl>
    <w:lvl w:ilvl="5">
      <w:start w:val="0"/>
      <w:numFmt w:val="bullet"/>
      <w:lvlText w:val="•"/>
      <w:lvlJc w:val="left"/>
      <w:pPr>
        <w:ind w:left="3227" w:hanging="292"/>
      </w:pPr>
      <w:rPr>
        <w:rFonts w:hint="default"/>
      </w:rPr>
    </w:lvl>
    <w:lvl w:ilvl="6">
      <w:start w:val="0"/>
      <w:numFmt w:val="bullet"/>
      <w:lvlText w:val="•"/>
      <w:lvlJc w:val="left"/>
      <w:pPr>
        <w:ind w:left="4010" w:hanging="292"/>
      </w:pPr>
      <w:rPr>
        <w:rFonts w:hint="default"/>
      </w:rPr>
    </w:lvl>
    <w:lvl w:ilvl="7">
      <w:start w:val="0"/>
      <w:numFmt w:val="bullet"/>
      <w:lvlText w:val="•"/>
      <w:lvlJc w:val="left"/>
      <w:pPr>
        <w:ind w:left="4792" w:hanging="292"/>
      </w:pPr>
      <w:rPr>
        <w:rFonts w:hint="default"/>
      </w:rPr>
    </w:lvl>
    <w:lvl w:ilvl="8">
      <w:start w:val="0"/>
      <w:numFmt w:val="bullet"/>
      <w:lvlText w:val="•"/>
      <w:lvlJc w:val="left"/>
      <w:pPr>
        <w:ind w:left="5575" w:hanging="292"/>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20"/>
      <w:szCs w:val="20"/>
    </w:rPr>
  </w:style>
  <w:style w:styleId="Heading1" w:type="paragraph">
    <w:name w:val="Heading 1"/>
    <w:basedOn w:val="Normal"/>
    <w:uiPriority w:val="1"/>
    <w:qFormat/>
    <w:pPr>
      <w:ind w:left="473" w:hanging="311"/>
      <w:outlineLvl w:val="1"/>
    </w:pPr>
    <w:rPr>
      <w:rFonts w:ascii="Book Antiqua" w:hAnsi="Book Antiqua" w:eastAsia="Book Antiqua" w:cs="Book Antiqua"/>
      <w:i/>
      <w:sz w:val="24"/>
      <w:szCs w:val="24"/>
    </w:rPr>
  </w:style>
  <w:style w:styleId="ListParagraph" w:type="paragraph">
    <w:name w:val="List Paragraph"/>
    <w:basedOn w:val="Normal"/>
    <w:uiPriority w:val="1"/>
    <w:qFormat/>
    <w:pPr>
      <w:ind w:left="532" w:firstLine="199"/>
    </w:pPr>
    <w:rPr>
      <w:rFonts w:ascii="Book Antiqua" w:hAnsi="Book Antiqua" w:eastAsia="Book Antiqua" w:cs="Book Antiqua"/>
    </w:rPr>
  </w:style>
  <w:style w:styleId="TableParagraph" w:type="paragraph">
    <w:name w:val="Table Paragraph"/>
    <w:basedOn w:val="Normal"/>
    <w:uiPriority w:val="1"/>
    <w:qFormat/>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hyperlink" Target="http://research.chicagobooth.edu/arc/journal-of-accounting-research/online-supplement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yperlink" Target="http://papers.ssrn.com/" TargetMode="External"/><Relationship Id="rId31" Type="http://schemas.openxmlformats.org/officeDocument/2006/relationships/hyperlink" Target="http://papers.ssrn.com/abstract" TargetMode="External"/><Relationship Id="rId32" Type="http://schemas.openxmlformats.org/officeDocument/2006/relationships/hyperlink" Target="http://paper.ssrn.com/abstract"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Journal of Accounting Research 2014.52:993-1027</dc:subject>
  <dc:title>Debtholders’ Demand for Conservatism: Evidence from Changes in Directors’ Fiduciary Duties</dc:title>
  <dcterms:created xsi:type="dcterms:W3CDTF">2018-10-30T14:37:53Z</dcterms:created>
  <dcterms:modified xsi:type="dcterms:W3CDTF">2018-10-30T14:37:53Z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2014-11-06T00:00:00Z</vt:filetime>
  </property>
  <property fmtid="{D5CDD505-2E9C-101B-9397-08002B2CF9AE}" pid="3" name="Creator">
    <vt:lpwstr>LaTeX with hyperref package</vt:lpwstr>
  </property>
  <property fmtid="{D5CDD505-2E9C-101B-9397-08002B2CF9AE}" pid="4" name="LastSaved">
    <vt:filetime>2018-10-30T00:00:00Z</vt:filetime>
  </property>
</Properties>
</file>