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7.png" ContentType="image/png"/>
  <Override PartName="/word/media/rId49.png" ContentType="image/png"/>
  <Override PartName="/word/media/rId43.png" ContentType="image/png"/>
  <Override PartName="/word/media/rId23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Исследование процессов плавления и затвердевания в малых кластерах</w:t>
      </w:r>
    </w:p>
    <w:p>
      <w:pPr>
        <w:pStyle w:val="Subtitle"/>
      </w:pPr>
      <w:r>
        <w:t xml:space="preserve">Этап 3: Комплексы программ</w:t>
      </w:r>
    </w:p>
    <w:p>
      <w:pPr>
        <w:pStyle w:val="Author"/>
      </w:pPr>
      <w:r>
        <w:t xml:space="preserve">Шилоносов Данил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Разработка программного комплекса для моделирования термодинамических свойств и фазовых переходов в малых кластерах.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модуль генерации кластеров с гексагональной структурой</w:t>
      </w:r>
    </w:p>
    <w:p>
      <w:pPr>
        <w:pStyle w:val="Compact"/>
        <w:numPr>
          <w:ilvl w:val="0"/>
          <w:numId w:val="1001"/>
        </w:numPr>
      </w:pPr>
      <w:r>
        <w:t xml:space="preserve">Разработать движок молекулярной динамики с интегрированием по алгоритму Верле</w:t>
      </w:r>
    </w:p>
    <w:p>
      <w:pPr>
        <w:pStyle w:val="Compact"/>
        <w:numPr>
          <w:ilvl w:val="0"/>
          <w:numId w:val="1001"/>
        </w:numPr>
      </w:pPr>
      <w:r>
        <w:t xml:space="preserve">Создать модули расчета термодинамических характеристик и фазовых переходов</w:t>
      </w:r>
    </w:p>
    <w:p>
      <w:pPr>
        <w:pStyle w:val="Compact"/>
        <w:numPr>
          <w:ilvl w:val="0"/>
          <w:numId w:val="1001"/>
        </w:numPr>
      </w:pPr>
      <w:r>
        <w:t xml:space="preserve">Реализовать средства визуализации результатов моделирования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Малые кластеры представляют собой группы частиц (атомов или молекул) размером от нескольких единиц до нескольких тысяч. Они проявляют физические и термодинамические свойства, которые существенно отличаются как от свойств одиночных атомов, так и от свойств объемных материалов.</w:t>
      </w:r>
    </w:p>
    <w:p>
      <w:pPr>
        <w:pStyle w:val="BodyText"/>
      </w:pPr>
      <w:r>
        <w:t xml:space="preserve">В данной работе рассматриваются двумерные кластеры с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 (7, 19, 37, 61), обладающие гексагональной структурой. Такие кластеры характеризуются повышенной стабильностью благодаря своей симметричной структуре.</w:t>
      </w:r>
    </w:p>
    <w:p>
      <w:pPr>
        <w:pStyle w:val="BodyText"/>
      </w:pPr>
      <w:r>
        <w:t xml:space="preserve">Для исследования процессов плавления и затвердевания в кластерах применяются методы молекулярной динамики, позволяющие получить детальное представление о механизмах фазовых переходов на атомном уровне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48" w:name="архитектура-программного-комплекс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Архитектура программного комплекса</w:t>
      </w:r>
    </w:p>
    <w:p>
      <w:pPr>
        <w:pStyle w:val="FirstParagraph"/>
      </w:pPr>
      <w:r>
        <w:t xml:space="preserve">Разработанный программный комплекс имеет модульную архитектуру, состоящую из нескольких взаимосвязанных компонентов (рис. 1).</w:t>
      </w:r>
    </w:p>
    <w:bookmarkStart w:id="26" w:name="fig:program_structure"/>
    <w:p>
      <w:pPr>
        <w:pStyle w:val="CaptionedFigure"/>
      </w:pPr>
      <w:r>
        <w:drawing>
          <wp:inline>
            <wp:extent cx="4533900" cy="1104900"/>
            <wp:effectExtent b="0" l="0" r="0" t="0"/>
            <wp:docPr descr="Рис. 1: Структура программного комплекса" title="" id="24" name="Picture"/>
            <a:graphic>
              <a:graphicData uri="http://schemas.openxmlformats.org/drawingml/2006/picture">
                <pic:pic>
                  <pic:nvPicPr>
                    <pic:cNvPr descr="image/program_structure_final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Структура программного комплекса</w:t>
      </w:r>
    </w:p>
    <w:bookmarkEnd w:id="26"/>
    <w:p>
      <w:pPr>
        <w:pStyle w:val="BodyText"/>
      </w:pPr>
      <w:r>
        <w:t xml:space="preserve">Основные модули программного комплекса: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main</w:t>
      </w:r>
      <w:r>
        <w:t xml:space="preserve"> </w:t>
      </w:r>
      <w:r>
        <w:t xml:space="preserve">- центральный модуль, координирующий работу всей программы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cluster_generator</w:t>
      </w:r>
      <w:r>
        <w:t xml:space="preserve"> </w:t>
      </w:r>
      <w:r>
        <w:t xml:space="preserve">- создание начальных конфигураций кластеров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md_engine</w:t>
      </w:r>
      <w:r>
        <w:t xml:space="preserve"> </w:t>
      </w:r>
      <w:r>
        <w:t xml:space="preserve">- движок молекулярной динамики с алгоритмом Верле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thermodynamics</w:t>
      </w:r>
      <w:r>
        <w:t xml:space="preserve"> </w:t>
      </w:r>
      <w:r>
        <w:t xml:space="preserve">- расчет термодинамических характеристик системы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phase_analyzer</w:t>
      </w:r>
      <w:r>
        <w:t xml:space="preserve"> </w:t>
      </w:r>
      <w:r>
        <w:t xml:space="preserve">- анализ фазовых переходов и параметров плавления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visualization</w:t>
      </w:r>
      <w:r>
        <w:t xml:space="preserve"> </w:t>
      </w:r>
      <w:r>
        <w:t xml:space="preserve">- визуализация результатов моделирования</w:t>
      </w:r>
    </w:p>
    <w:bookmarkStart w:id="31" w:name="модуль-генерации-кластер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Модуль генерации кластеров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cluster_generator.py</w:t>
      </w:r>
      <w:r>
        <w:t xml:space="preserve"> </w:t>
      </w:r>
      <w:r>
        <w:t xml:space="preserve">отвечает за создание двумерных кластеров с гексагональной структурой и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частиц. На рис. 2 показаны кластеры с 7, 19, 37 и 61 частицей, что соответствует 1, 2, 3 и 4 заполненным оболочкам вокруг центральной частицы.</w:t>
      </w:r>
    </w:p>
    <w:bookmarkStart w:id="30" w:name="fig:clusters"/>
    <w:p>
      <w:pPr>
        <w:pStyle w:val="CaptionedFigure"/>
      </w:pPr>
      <w:r>
        <w:drawing>
          <wp:inline>
            <wp:extent cx="4533900" cy="1173495"/>
            <wp:effectExtent b="0" l="0" r="0" t="0"/>
            <wp:docPr descr="Рис. 2: Гексагональные кластеры с “магическими” числами частиц" title="" id="28" name="Picture"/>
            <a:graphic>
              <a:graphicData uri="http://schemas.openxmlformats.org/drawingml/2006/picture">
                <pic:pic>
                  <pic:nvPicPr>
                    <pic:cNvPr descr="image/clusters_final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7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Гексагональные кластеры с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</w:t>
      </w:r>
    </w:p>
    <w:bookmarkEnd w:id="30"/>
    <w:p>
      <w:pPr>
        <w:pStyle w:val="BodyText"/>
      </w:pPr>
      <w:r>
        <w:t xml:space="preserve">“Магическое”</w:t>
      </w:r>
      <w:r>
        <w:t xml:space="preserve"> </w:t>
      </w:r>
      <w:r>
        <w:t xml:space="preserve">число частиц для гексагональной структуры с количеством оболочек n вычисляется по формуле: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t>n</m:t>
          </m:r>
          <m:d>
            <m:dPr>
              <m:begChr m:val="("/>
              <m:sepChr m:val=""/>
              <m:endChr m:val=")"/>
              <m:grow/>
            </m:dPr>
            <m:e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</m:oMath>
      </m:oMathPara>
    </w:p>
    <w:bookmarkEnd w:id="31"/>
    <w:bookmarkStart w:id="36" w:name="движок-молекулярной-динами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Движок молекулярной динамики</w:t>
      </w:r>
    </w:p>
    <w:p>
      <w:pPr>
        <w:pStyle w:val="FirstParagraph"/>
      </w:pPr>
      <w:r>
        <w:t xml:space="preserve">Ключевым компонентом моделирования является модуль</w:t>
      </w:r>
      <w:r>
        <w:t xml:space="preserve"> </w:t>
      </w:r>
      <w:r>
        <w:rPr>
          <w:rStyle w:val="VerbatimChar"/>
        </w:rPr>
        <w:t xml:space="preserve">md_engine.py</w:t>
      </w:r>
      <w:r>
        <w:t xml:space="preserve">, реализующий интегрирование уравнений движения с использованием алгоритма Верле в скоростной форме. Этот алгоритм обеспечивает хорошую точность и сохранение энергии системы.</w:t>
      </w:r>
    </w:p>
    <w:p>
      <w:pPr>
        <w:pStyle w:val="BodyText"/>
      </w:pPr>
      <w:r>
        <w:t xml:space="preserve">Алгоритм Верле состоит из следующих шагов (рис. 3):</w:t>
      </w:r>
    </w:p>
    <w:p>
      <w:pPr>
        <w:numPr>
          <w:ilvl w:val="0"/>
          <w:numId w:val="1003"/>
        </w:numPr>
      </w:pPr>
      <w:r>
        <w:t xml:space="preserve">Обновление скоростей на половину шага: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</m:e>
              </m:d>
              <m:r>
                <m:t>Δ</m:t>
              </m:r>
              <m:r>
                <m:t>t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3"/>
        </w:numPr>
      </w:pPr>
      <w:r>
        <w:t xml:space="preserve">Обновление позиций: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r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r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  <m:r>
            <m:t>Δ</m:t>
          </m:r>
          <m:r>
            <m:t>t</m:t>
          </m:r>
        </m:oMath>
      </m:oMathPara>
    </w:p>
    <w:p>
      <w:pPr>
        <w:numPr>
          <w:ilvl w:val="0"/>
          <w:numId w:val="1003"/>
        </w:numPr>
      </w:pPr>
      <w:r>
        <w:t xml:space="preserve">Расчет новых сил: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F</m:t>
                  </m:r>
                </m:e>
              </m:acc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+</m:t>
                  </m:r>
                  <m:r>
                    <m:t>Δ</m:t>
                  </m:r>
                  <m:r>
                    <m:t>t</m:t>
                  </m:r>
                </m:e>
              </m:d>
            </m:num>
            <m:den>
              <m:r>
                <m:t>m</m:t>
              </m:r>
            </m:den>
          </m:f>
        </m:oMath>
      </m:oMathPara>
    </w:p>
    <w:p>
      <w:pPr>
        <w:numPr>
          <w:ilvl w:val="0"/>
          <w:numId w:val="1003"/>
        </w:numPr>
      </w:pPr>
      <w:r>
        <w:t xml:space="preserve">Обновление скоростей до полного шага: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+</m:t>
                  </m:r>
                  <m:r>
                    <m:t>Δ</m:t>
                  </m:r>
                  <m:r>
                    <m:t>t</m:t>
                  </m:r>
                </m:e>
              </m:d>
              <m:r>
                <m:t>Δ</m:t>
              </m:r>
              <m:r>
                <m:t>t</m:t>
              </m:r>
            </m:num>
            <m:den>
              <m:r>
                <m:t>2</m:t>
              </m:r>
            </m:den>
          </m:f>
        </m:oMath>
      </m:oMathPara>
    </w:p>
    <w:bookmarkStart w:id="35" w:name="fig:verlet"/>
    <w:p>
      <w:pPr>
        <w:pStyle w:val="CaptionedFigure"/>
      </w:pPr>
      <w:r>
        <w:drawing>
          <wp:inline>
            <wp:extent cx="4533900" cy="1859607"/>
            <wp:effectExtent b="0" l="0" r="0" t="0"/>
            <wp:docPr descr="Рис. 3: Алгоритм Верле в скоростной форме" title="" id="33" name="Picture"/>
            <a:graphic>
              <a:graphicData uri="http://schemas.openxmlformats.org/drawingml/2006/picture">
                <pic:pic>
                  <pic:nvPicPr>
                    <pic:cNvPr descr="image/verlet_algorithm_final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Алгоритм Верле в скоростной форме</w:t>
      </w:r>
    </w:p>
    <w:bookmarkEnd w:id="35"/>
    <w:bookmarkEnd w:id="36"/>
    <w:bookmarkStart w:id="41" w:name="потенциал-леннард-джонс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Потенциал Леннард-Джонса</w:t>
      </w:r>
    </w:p>
    <w:p>
      <w:pPr>
        <w:pStyle w:val="FirstParagraph"/>
      </w:pPr>
      <w:r>
        <w:t xml:space="preserve">Для моделирования взаимодействия между частицами используется потенциал Леннард-Джонса: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U</m:t>
              </m:r>
            </m:e>
            <m:sub>
              <m:r>
                <m:t>L</m:t>
              </m:r>
              <m:r>
                <m:t>J</m:t>
              </m:r>
            </m:sub>
          </m:sSub>
          <m:d>
            <m:dPr>
              <m:begChr m:val="("/>
              <m:sepChr m:val=""/>
              <m:endChr m:val=")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=</m:t>
          </m:r>
          <m:r>
            <m:t>ε</m:t>
          </m:r>
          <m:d>
            <m:dPr>
              <m:begChr m:val="["/>
              <m:sepChr m:val=""/>
              <m:endChr m:val="]"/>
              <m:grow/>
            </m:dPr>
            <m:e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12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2</m:t>
              </m:r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6</m:t>
                  </m:r>
                </m:sup>
              </m:sSup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ε</m:t>
        </m:r>
      </m:oMath>
      <w:r>
        <w:t xml:space="preserve"> </w:t>
      </w:r>
      <w:r>
        <w:t xml:space="preserve">- глубина потенциальной ямы,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- равновесное расстояние между частицами,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- расстояние между частицами.</w:t>
      </w:r>
    </w:p>
    <w:p>
      <w:pPr>
        <w:pStyle w:val="BodyText"/>
      </w:pPr>
      <w:r>
        <w:t xml:space="preserve">Сила взаимодействия вычисляется как отрицательный градиент потенциала: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acc>
                <m:accPr>
                  <m:chr m:val="⃗"/>
                </m:accPr>
                <m:e>
                  <m:r>
                    <m:t>F</m:t>
                  </m:r>
                </m:e>
              </m:acc>
            </m:e>
            <m:sub>
              <m:r>
                <m:t>L</m:t>
              </m:r>
              <m:r>
                <m:t>J</m:t>
              </m:r>
            </m:sub>
          </m:sSub>
          <m:d>
            <m:dPr>
              <m:begChr m:val="("/>
              <m:sepChr m:val=""/>
              <m:endChr m:val=")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rPr>
              <m:sty m:val="p"/>
            </m:rPr>
            <m:t>∇</m:t>
          </m:r>
          <m:sSub>
            <m:e>
              <m:r>
                <m:t>U</m:t>
              </m:r>
            </m:e>
            <m:sub>
              <m:r>
                <m:t>L</m:t>
              </m:r>
              <m:r>
                <m:t>J</m:t>
              </m:r>
            </m:sub>
          </m:sSub>
          <m:d>
            <m:dPr>
              <m:begChr m:val="("/>
              <m:sepChr m:val=""/>
              <m:endChr m:val=")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=</m:t>
          </m:r>
          <m:r>
            <m:t>12</m:t>
          </m:r>
          <m:r>
            <m:t>ε</m:t>
          </m:r>
          <m:d>
            <m:dPr>
              <m:begChr m:val="["/>
              <m:sepChr m:val=""/>
              <m:endChr m:val="]"/>
              <m:grow/>
            </m:dPr>
            <m:e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12</m:t>
                  </m:r>
                </m:sup>
              </m:s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6</m:t>
                  </m:r>
                </m:sup>
              </m:sSup>
            </m:e>
          </m:d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r</m:t>
                  </m:r>
                </m:e>
              </m:acc>
            </m:num>
            <m:den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На рис. 4 представлены графики потенциала и силы Леннард-Джонса в зависимости от расстояния между частицами.</w:t>
      </w:r>
    </w:p>
    <w:bookmarkStart w:id="40" w:name="fig:lennard_jones"/>
    <w:p>
      <w:pPr>
        <w:pStyle w:val="CaptionedFigure"/>
      </w:pPr>
      <w:r>
        <w:drawing>
          <wp:inline>
            <wp:extent cx="4000500" cy="1576651"/>
            <wp:effectExtent b="0" l="0" r="0" t="0"/>
            <wp:docPr descr="Рис. 4: Потенциал и сила Леннард-Джонса" title="" id="38" name="Picture"/>
            <a:graphic>
              <a:graphicData uri="http://schemas.openxmlformats.org/drawingml/2006/picture">
                <pic:pic>
                  <pic:nvPicPr>
                    <pic:cNvPr descr="image/lennard_jones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7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Потенциал и сила Леннард-Джонса</w:t>
      </w:r>
    </w:p>
    <w:bookmarkEnd w:id="40"/>
    <w:bookmarkEnd w:id="41"/>
    <w:bookmarkStart w:id="42" w:name="модуль-термодинамики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Модуль термодинамики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thermodynamics.py</w:t>
      </w:r>
      <w:r>
        <w:t xml:space="preserve"> </w:t>
      </w:r>
      <w:r>
        <w:t xml:space="preserve">реализует функции для расчета различных термодинамических характеристик системы:</w:t>
      </w:r>
    </w:p>
    <w:p>
      <w:pPr>
        <w:numPr>
          <w:ilvl w:val="0"/>
          <w:numId w:val="1004"/>
        </w:numPr>
      </w:pPr>
      <w:r>
        <w:t xml:space="preserve">Расчет температуры системы на основе кинетической энергии: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  <m:r>
                <m:t>K</m:t>
              </m:r>
            </m:num>
            <m:den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2</m:t>
                  </m:r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</m:e>
              </m:d>
              <m:sSub>
                <m:e>
                  <m:r>
                    <m:t>k</m:t>
                  </m:r>
                </m:e>
                <m:sub>
                  <m:r>
                    <m:t>B</m:t>
                  </m:r>
                </m:sub>
              </m:sSub>
            </m:den>
          </m:f>
        </m:oMath>
      </m:oMathPara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- кинетическая энергия,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- число частиц,</w:t>
      </w:r>
      <w:r>
        <w:t xml:space="preserve"> </w:t>
      </w:r>
      <m:oMath>
        <m:sSub>
          <m:e>
            <m:r>
              <m:t>k</m:t>
            </m:r>
          </m:e>
          <m:sub>
            <m:r>
              <m:t>B</m:t>
            </m:r>
          </m:sub>
        </m:sSub>
      </m:oMath>
      <w:r>
        <w:t xml:space="preserve"> </w:t>
      </w:r>
      <w:r>
        <w:t xml:space="preserve">- постоянная Больцмана.</w:t>
      </w:r>
    </w:p>
    <w:p>
      <w:pPr>
        <w:numPr>
          <w:ilvl w:val="0"/>
          <w:numId w:val="1004"/>
        </w:numPr>
      </w:pPr>
      <w:r>
        <w:t xml:space="preserve">Вычисление флуктуаций длины связи (критерий Линдеманна):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⟨</m:t>
                  </m:r>
                  <m:sSup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⟩</m:t>
                  </m:r>
                  <m:r>
                    <m:rPr>
                      <m:sty m:val="p"/>
                    </m:rPr>
                    <m:t>−</m:t>
                  </m:r>
                  <m:r>
                    <m:rPr>
                      <m:sty m:val="p"/>
                    </m:rPr>
                    <m:t>⟨</m:t>
                  </m:r>
                  <m:r>
                    <m:t>r</m:t>
                  </m:r>
                  <m:sSup>
                    <m:e>
                      <m:r>
                        <m:rPr>
                          <m:sty m:val="p"/>
                        </m:rPr>
                        <m:t>⟩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⟨</m:t>
                  </m:r>
                  <m:r>
                    <m:t>r</m:t>
                  </m:r>
                  <m:r>
                    <m:rPr>
                      <m:sty m:val="p"/>
                    </m:rPr>
                    <m:t>⟩</m:t>
                  </m:r>
                </m:den>
              </m:f>
            </m:e>
          </m:rad>
        </m:oMath>
      </m:oMathPara>
    </w:p>
    <w:p>
      <w:pPr>
        <w:numPr>
          <w:ilvl w:val="0"/>
          <w:numId w:val="1004"/>
        </w:numPr>
      </w:pPr>
      <w:r>
        <w:t xml:space="preserve">Расчет парной корреляционной функции, характеризующей структуру системы.</w:t>
      </w:r>
    </w:p>
    <w:p>
      <w:pPr>
        <w:numPr>
          <w:ilvl w:val="0"/>
          <w:numId w:val="1004"/>
        </w:numPr>
      </w:pPr>
      <w:r>
        <w:t xml:space="preserve">Вычисление теплоемкости как производной энергии по температуре: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E</m:t>
              </m:r>
            </m:num>
            <m:den>
              <m:r>
                <m:t>d</m:t>
              </m:r>
              <m:r>
                <m:t>T</m:t>
              </m:r>
            </m:den>
          </m:f>
        </m:oMath>
      </m:oMathPara>
    </w:p>
    <w:bookmarkEnd w:id="42"/>
    <w:bookmarkStart w:id="47" w:name="модуль-анализа-фазовых-переходов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Модуль анализа фазовых переходов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phase_analyzer.py</w:t>
      </w:r>
      <w:r>
        <w:t xml:space="preserve"> </w:t>
      </w:r>
      <w:r>
        <w:t xml:space="preserve">отвечает за обнаружение и анализ фазовых переходов. Температура плавления определяется по пику теплоемкости и скачку флуктуаций длины связи (рис. 5).</w:t>
      </w:r>
    </w:p>
    <w:bookmarkStart w:id="46" w:name="fig:phase_transition"/>
    <w:p>
      <w:pPr>
        <w:pStyle w:val="CaptionedFigure"/>
      </w:pPr>
      <w:r>
        <w:drawing>
          <wp:inline>
            <wp:extent cx="4000500" cy="1572926"/>
            <wp:effectExtent b="0" l="0" r="0" t="0"/>
            <wp:docPr descr="Рис. 5: Фазовый переход и теплоемкость" title="" id="44" name="Picture"/>
            <a:graphic>
              <a:graphicData uri="http://schemas.openxmlformats.org/drawingml/2006/picture">
                <pic:pic>
                  <pic:nvPicPr>
                    <pic:cNvPr descr="image/phase_transition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7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Фазовый переход и теплоемкость</w:t>
      </w:r>
    </w:p>
    <w:bookmarkEnd w:id="46"/>
    <w:p>
      <w:pPr>
        <w:pStyle w:val="BodyText"/>
      </w:pPr>
      <w:r>
        <w:t xml:space="preserve">Также реализованы алгоритмы для анализа гистерезиса между нагревом и охлаждением и детектирования оболочечного плавления, характерного для малых кластеров.</w:t>
      </w:r>
    </w:p>
    <w:bookmarkEnd w:id="47"/>
    <w:bookmarkEnd w:id="48"/>
    <w:bookmarkStart w:id="54" w:name="процесс-моделиров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Процесс моделирования</w:t>
      </w:r>
    </w:p>
    <w:p>
      <w:pPr>
        <w:pStyle w:val="FirstParagraph"/>
      </w:pPr>
      <w:r>
        <w:t xml:space="preserve">Моделирование плавления и затвердевания кластеров выполняется в несколько этапов: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Инициализация системы:</w:t>
      </w:r>
    </w:p>
    <w:p>
      <w:pPr>
        <w:pStyle w:val="Compact"/>
        <w:numPr>
          <w:ilvl w:val="1"/>
          <w:numId w:val="1006"/>
        </w:numPr>
      </w:pPr>
      <w:r>
        <w:t xml:space="preserve">Создание кластера с заданным числом частиц</w:t>
      </w:r>
    </w:p>
    <w:p>
      <w:pPr>
        <w:pStyle w:val="Compact"/>
        <w:numPr>
          <w:ilvl w:val="1"/>
          <w:numId w:val="1006"/>
        </w:numPr>
      </w:pPr>
      <w:r>
        <w:t xml:space="preserve">Установка начальных скоростей, соответствующих низкой температуре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Уравновешивание, нагрев и охлаждение системы:</w:t>
      </w:r>
    </w:p>
    <w:p>
      <w:pPr>
        <w:pStyle w:val="Compact"/>
        <w:numPr>
          <w:ilvl w:val="1"/>
          <w:numId w:val="1007"/>
        </w:numPr>
      </w:pPr>
      <w:r>
        <w:t xml:space="preserve">Уравновешивание системы без масштабирования скоростей</w:t>
      </w:r>
    </w:p>
    <w:p>
      <w:pPr>
        <w:pStyle w:val="Compact"/>
        <w:numPr>
          <w:ilvl w:val="1"/>
          <w:numId w:val="1007"/>
        </w:numPr>
      </w:pPr>
      <w:r>
        <w:t xml:space="preserve">Нагрев через постепенное увеличение скоростей частиц</w:t>
      </w:r>
    </w:p>
    <w:p>
      <w:pPr>
        <w:pStyle w:val="Compact"/>
        <w:numPr>
          <w:ilvl w:val="1"/>
          <w:numId w:val="1007"/>
        </w:numPr>
      </w:pPr>
      <w:r>
        <w:t xml:space="preserve">Охлаждение начиная с последнего состояния нагрева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Анализ результатов:</w:t>
      </w:r>
    </w:p>
    <w:p>
      <w:pPr>
        <w:pStyle w:val="Compact"/>
        <w:numPr>
          <w:ilvl w:val="1"/>
          <w:numId w:val="1008"/>
        </w:numPr>
      </w:pPr>
      <w:r>
        <w:t xml:space="preserve">Определение температуры плавления/затвердевания</w:t>
      </w:r>
    </w:p>
    <w:p>
      <w:pPr>
        <w:pStyle w:val="Compact"/>
        <w:numPr>
          <w:ilvl w:val="1"/>
          <w:numId w:val="1008"/>
        </w:numPr>
      </w:pPr>
      <w:r>
        <w:t xml:space="preserve">Расчет термодинамических характеристик</w:t>
      </w:r>
    </w:p>
    <w:p>
      <w:pPr>
        <w:pStyle w:val="Compact"/>
        <w:numPr>
          <w:ilvl w:val="1"/>
          <w:numId w:val="1008"/>
        </w:numPr>
      </w:pPr>
      <w:r>
        <w:t xml:space="preserve">Анализ гистерезиса и оболочечного плавления</w:t>
      </w:r>
    </w:p>
    <w:p>
      <w:pPr>
        <w:pStyle w:val="FirstParagraph"/>
      </w:pPr>
      <w:r>
        <w:t xml:space="preserve">В процессе моделирования использовались следующие параметры: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Параметры алгоритма:</w:t>
      </w:r>
    </w:p>
    <w:p>
      <w:pPr>
        <w:pStyle w:val="Compact"/>
        <w:numPr>
          <w:ilvl w:val="1"/>
          <w:numId w:val="1010"/>
        </w:numPr>
      </w:pPr>
      <w:r>
        <w:t xml:space="preserve">Шаги уравновешивания: 100</w:t>
      </w:r>
    </w:p>
    <w:p>
      <w:pPr>
        <w:pStyle w:val="Compact"/>
        <w:numPr>
          <w:ilvl w:val="1"/>
          <w:numId w:val="1010"/>
        </w:numPr>
      </w:pPr>
      <w:r>
        <w:t xml:space="preserve">Шаги нагрева/охлаждения: 500</w:t>
      </w:r>
    </w:p>
    <w:p>
      <w:pPr>
        <w:pStyle w:val="Compact"/>
        <w:numPr>
          <w:ilvl w:val="1"/>
          <w:numId w:val="1010"/>
        </w:numPr>
      </w:pPr>
      <w:r>
        <w:t xml:space="preserve">Шаг по времени (dt): 0.0005</w:t>
      </w:r>
    </w:p>
    <w:p>
      <w:pPr>
        <w:pStyle w:val="Compact"/>
        <w:numPr>
          <w:ilvl w:val="1"/>
          <w:numId w:val="1010"/>
        </w:numPr>
      </w:pPr>
      <w:r>
        <w:t xml:space="preserve">Коэффициент нагрева: 1.002</w:t>
      </w:r>
    </w:p>
    <w:p>
      <w:pPr>
        <w:pStyle w:val="Compact"/>
        <w:numPr>
          <w:ilvl w:val="1"/>
          <w:numId w:val="1010"/>
        </w:numPr>
      </w:pPr>
      <w:r>
        <w:t xml:space="preserve">Коэффициент охлаждения: 0.998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Параметры потенциала:</w:t>
      </w:r>
    </w:p>
    <w:p>
      <w:pPr>
        <w:pStyle w:val="Compact"/>
        <w:numPr>
          <w:ilvl w:val="1"/>
          <w:numId w:val="1011"/>
        </w:numPr>
      </w:pPr>
      <w:r>
        <w:t xml:space="preserve">Глубина ямы (ε): 1.0</w:t>
      </w:r>
    </w:p>
    <w:p>
      <w:pPr>
        <w:pStyle w:val="Compact"/>
        <w:numPr>
          <w:ilvl w:val="1"/>
          <w:numId w:val="1011"/>
        </w:numPr>
      </w:pPr>
      <w:r>
        <w:t xml:space="preserve">Равновесное расстояние (b): 1.0</w:t>
      </w:r>
    </w:p>
    <w:p>
      <w:pPr>
        <w:pStyle w:val="Compact"/>
        <w:numPr>
          <w:ilvl w:val="1"/>
          <w:numId w:val="1011"/>
        </w:numPr>
      </w:pPr>
      <w:r>
        <w:t xml:space="preserve">Радиус обрезания: 2.5*b</w:t>
      </w:r>
    </w:p>
    <w:bookmarkStart w:id="53" w:name="стадии-плавления-кластера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Стадии плавления кластера</w:t>
      </w:r>
    </w:p>
    <w:p>
      <w:pPr>
        <w:pStyle w:val="FirstParagraph"/>
      </w:pPr>
      <w:r>
        <w:t xml:space="preserve">В процессе моделирования были выявлены следующие стадии плавления кластера из 19 частиц (рис. 6):</w:t>
      </w:r>
    </w:p>
    <w:bookmarkStart w:id="52" w:name="fig:melting"/>
    <w:p>
      <w:pPr>
        <w:pStyle w:val="CaptionedFigure"/>
      </w:pPr>
      <w:r>
        <w:drawing>
          <wp:inline>
            <wp:extent cx="4533900" cy="1391039"/>
            <wp:effectExtent b="0" l="0" r="0" t="0"/>
            <wp:docPr descr="Рис. 6: Стадии плавления кластера из 19 частиц" title="" id="50" name="Picture"/>
            <a:graphic>
              <a:graphicData uri="http://schemas.openxmlformats.org/drawingml/2006/picture">
                <pic:pic>
                  <pic:nvPicPr>
                    <pic:cNvPr descr="image/melting_stages_final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9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Стадии плавления кластера из 19 частиц</w:t>
      </w:r>
    </w:p>
    <w:bookmarkEnd w:id="52"/>
    <w:p>
      <w:pPr>
        <w:numPr>
          <w:ilvl w:val="0"/>
          <w:numId w:val="1012"/>
        </w:numPr>
      </w:pPr>
      <w:r>
        <w:rPr>
          <w:b/>
          <w:bCs/>
        </w:rPr>
        <w:t xml:space="preserve">Стадия 1: Стабильная кристаллическая структура</w:t>
      </w:r>
      <w:r>
        <w:br/>
      </w:r>
      <w:r>
        <w:t xml:space="preserve">Кластер сохраняет идеальную гексагональную структуру с четко различимыми оболочками.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2: Начало дестабилизации</w:t>
      </w:r>
      <w:r>
        <w:br/>
      </w:r>
      <w:r>
        <w:t xml:space="preserve">Появляются первые признаки нарушения идеальной структуры. Частицы во внутренней оболочке начинают совершать более значительные колебания.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3: Активная деформация структуры</w:t>
      </w:r>
      <w:r>
        <w:br/>
      </w:r>
      <w:r>
        <w:t xml:space="preserve">Происходит более выраженное нарушение правильной структуры. Частицы внутренней оболочки смещаются к центру.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4: Выраженное плавление</w:t>
      </w:r>
      <w:r>
        <w:br/>
      </w:r>
      <w:r>
        <w:t xml:space="preserve">Структура кластера существенно нарушена. В центральной области образуется компактное ядро из сблизившихся частиц.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5: Расплавленное состояние</w:t>
      </w:r>
      <w:r>
        <w:br/>
      </w:r>
      <w:r>
        <w:t xml:space="preserve">Кластер полностью расплавлен, его структура кардинально отличается от начальной конфигурации. Частицы распределены неравномерно.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numPr>
          <w:ilvl w:val="0"/>
          <w:numId w:val="1013"/>
        </w:numPr>
      </w:pPr>
      <w:r>
        <w:t xml:space="preserve">Разработан программный комплекс для моделирования термодинамических свойств и фазовых переходов в малых кластерах.</w:t>
      </w:r>
    </w:p>
    <w:p>
      <w:pPr>
        <w:numPr>
          <w:ilvl w:val="0"/>
          <w:numId w:val="1013"/>
        </w:numPr>
      </w:pPr>
      <w:r>
        <w:t xml:space="preserve">Выявлены особенности фазовых переходов в наносистемах:</w:t>
      </w:r>
    </w:p>
    <w:p>
      <w:pPr>
        <w:pStyle w:val="Compact"/>
        <w:numPr>
          <w:ilvl w:val="1"/>
          <w:numId w:val="1014"/>
        </w:numPr>
      </w:pPr>
      <w:r>
        <w:t xml:space="preserve">Зависимость температуры плавления от размера кластера</w:t>
      </w:r>
    </w:p>
    <w:p>
      <w:pPr>
        <w:pStyle w:val="Compact"/>
        <w:numPr>
          <w:ilvl w:val="1"/>
          <w:numId w:val="1014"/>
        </w:numPr>
      </w:pPr>
      <w:r>
        <w:t xml:space="preserve">Наличие гистерезиса между нагревом и охлаждением</w:t>
      </w:r>
    </w:p>
    <w:p>
      <w:pPr>
        <w:pStyle w:val="Compact"/>
        <w:numPr>
          <w:ilvl w:val="1"/>
          <w:numId w:val="1014"/>
        </w:numPr>
      </w:pPr>
      <w:r>
        <w:t xml:space="preserve">Явление оболочечного плавления</w:t>
      </w:r>
    </w:p>
    <w:p>
      <w:pPr>
        <w:numPr>
          <w:ilvl w:val="0"/>
          <w:numId w:val="1013"/>
        </w:numPr>
      </w:pPr>
      <w:r>
        <w:t xml:space="preserve">Модульная архитектура программного комплекса обеспечивает гибкость в использовании и возможность расширения функциональности.</w:t>
      </w:r>
    </w:p>
    <w:p>
      <w:pPr>
        <w:numPr>
          <w:ilvl w:val="0"/>
          <w:numId w:val="1013"/>
        </w:numPr>
      </w:pPr>
      <w:r>
        <w:t xml:space="preserve">Определены перспективы развития программного комплекса:</w:t>
      </w:r>
    </w:p>
    <w:p>
      <w:pPr>
        <w:pStyle w:val="Compact"/>
        <w:numPr>
          <w:ilvl w:val="1"/>
          <w:numId w:val="1015"/>
        </w:numPr>
      </w:pPr>
      <w:r>
        <w:t xml:space="preserve">Трехмерное моделирование</w:t>
      </w:r>
    </w:p>
    <w:p>
      <w:pPr>
        <w:pStyle w:val="Compact"/>
        <w:numPr>
          <w:ilvl w:val="1"/>
          <w:numId w:val="1015"/>
        </w:numPr>
      </w:pPr>
      <w:r>
        <w:t xml:space="preserve">Другие потенциалы взаимодействия</w:t>
      </w:r>
    </w:p>
    <w:p>
      <w:pPr>
        <w:pStyle w:val="Compact"/>
        <w:numPr>
          <w:ilvl w:val="1"/>
          <w:numId w:val="1015"/>
        </w:numPr>
      </w:pPr>
      <w:r>
        <w:t xml:space="preserve">Интеграция методов квантовой химии</w:t>
      </w:r>
    </w:p>
    <w:p>
      <w:pPr>
        <w:pStyle w:val="Compact"/>
        <w:numPr>
          <w:ilvl w:val="1"/>
          <w:numId w:val="1015"/>
        </w:numPr>
      </w:pPr>
      <w:r>
        <w:t xml:space="preserve">Параллелизация вычислений</w:t>
      </w:r>
    </w:p>
    <w:bookmarkEnd w:id="55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Start w:id="56" w:name="ref-medvedev2010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Медведев Д.А. и др. Моделирование физических процессов и явлений на ПК. Новосибирск: Новосибирский государственный университет, 2010. С. 101.</w:t>
      </w:r>
    </w:p>
    <w:bookmarkEnd w:id="56"/>
    <w:bookmarkEnd w:id="57"/>
    <w:bookmarkEnd w:id="5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Исследование процессов плавления и затвердевания в малых кластерах</dc:title>
  <dc:creator>Шилоносов Данил Вячеславович</dc:creator>
  <dc:language>ru-RU</dc:language>
  <cp:keywords/>
  <dcterms:created xsi:type="dcterms:W3CDTF">2025-05-03T21:03:25Z</dcterms:created>
  <dcterms:modified xsi:type="dcterms:W3CDTF">2025-05-03T21:03:25Z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3: Комплексы программ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