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The AgentSpec Base Skeleton</w:t>
      </w:r>
    </w:p>
    <w:p>
      <w:r>
        <w:t xml:space="preserve">The AgentSpec is the surface-agnostic build specification — the invariant structure that every agent archetype and every agent the builder emits is constructed from. It is a hybrid structured spec: a structured </w:t>
      </w:r>
      <w:r>
        <w:rPr>
          <w:i/>
        </w:rPr>
        <w:t>config envelope</w:t>
      </w:r>
      <w:r>
        <w:t xml:space="preserve"> plus a free-text </w:t>
      </w:r>
      <w:r>
        <w:rPr>
          <w:i/>
        </w:rPr>
        <w:t>instruction body</w:t>
      </w:r>
      <w:r>
        <w:t xml:space="preserve">, following Microsoft's proven Markdown pattern. This single source of truth renders either to a </w:t>
      </w:r>
      <w:r>
        <w:rPr>
          <w:rFonts w:ascii="Consolas" w:hAnsi="Consolas"/>
          <w:sz w:val="19"/>
        </w:rPr>
        <w:t>declarativeAgent.json</w:t>
      </w:r>
      <w:r>
        <w:t xml:space="preserve"> for Microsoft 365 (M365) or to click-by-click portal steps for Copilot Studio. Consult this document whenever you need the canonical shape of an agent definition, the field-by-field structure of the config and instruction zones, or the mapping between a maker's answers and the fields they populate.</w:t>
      </w:r>
    </w:p>
    <w:p>
      <w:pPr>
        <w:pStyle w:val="Heading2"/>
      </w:pPr>
      <w:r>
        <w:t>1. The AgentSpec structure (config envelope + instruction body)</w:t>
      </w:r>
    </w:p>
    <w:p>
      <w:r>
        <w:t xml:space="preserve">The AgentSpec (the surface-agnostic build spec) has two zones. The </w:t>
      </w:r>
      <w:r>
        <w:rPr>
          <w:rFonts w:ascii="Consolas" w:hAnsi="Consolas"/>
          <w:sz w:val="19"/>
        </w:rPr>
        <w:t>config</w:t>
      </w:r>
      <w:r>
        <w:t xml:space="preserve"> envelope holds everything that maps to a manifest or portal configuration field. The </w:t>
      </w:r>
      <w:r>
        <w:rPr>
          <w:rFonts w:ascii="Consolas" w:hAnsi="Consolas"/>
          <w:sz w:val="19"/>
        </w:rPr>
        <w:t>instructions</w:t>
      </w:r>
      <w:r>
        <w:t xml:space="preserve"> body holds the free-text Markdown prose. The annotated YAML below is the complete skeleton.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# ── AgentSpec v1 ─────────────────────────────────────────────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meta: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name:            # display name.  M365: manifest name (≤100). CS: agent name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description:     # one-liner. M365: ≤1,000 chars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surface:         # declarative | copilot-studio   (choose via 01-delta rule)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audience:        # (optional) who the agent serves — drives tone/scope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config:            # the "envelope" — maps to manifest/portal config, NOT prose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knowledge:       # [conditional] grounding sources; "less is more"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- type:        # sharepoint | onedrive | graph-connector | web | file | dataverse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ref:         # site / url / connection id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scope:       # folder / KQL filter / channel  (tight scope beats broad)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official:    # (optional, classic orchestration only) trust without verify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capabilities:    # [conditional] declarative only: web_search | code_interpreter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          #   image_generator | ...  (CS: enabled via features/tools instead)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actions:         # [conditional] things the agent can DO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- name:        # exact name (referenced verbatim in instructions)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type:        # api-plugin | connector | flow | mcp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ref:         # plugin/openapi/flow id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consequential: # true for any create/update/delete (M365: isConsequential)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conversationStarters:  # [core] min 3, reflect core capabilities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- title: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text: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instructions: |    # [core] the free-text Markdown body — see section 2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# ROLE ...</w:t>
            </w:r>
          </w:p>
        </w:tc>
      </w:tr>
    </w:tbl>
    <w:p>
      <w:pPr>
        <w:spacing w:after="40"/>
      </w:pPr>
    </w:p>
    <w:p>
      <w:pPr>
        <w:pStyle w:val="Heading3"/>
      </w:pPr>
      <w:r>
        <w:t>The two-zone rule for placing content</w:t>
      </w:r>
    </w:p>
    <w:p>
      <w:r>
        <w:t xml:space="preserve">The AgentSpec enforces one placement rule across its two zones. Anything that is a </w:t>
      </w:r>
      <w:r>
        <w:rPr>
          <w:i/>
        </w:rPr>
        <w:t>manifest or portal field</w:t>
      </w:r>
      <w:r>
        <w:t xml:space="preserve"> — name, description, knowledge, capabilities, actions, conversation starters — lives in </w:t>
      </w:r>
      <w:r>
        <w:rPr>
          <w:rFonts w:ascii="Consolas" w:hAnsi="Consolas"/>
          <w:sz w:val="19"/>
        </w:rPr>
        <w:t>config</w:t>
      </w:r>
      <w:r>
        <w:t xml:space="preserve">. Anything that is </w:t>
      </w:r>
      <w:r>
        <w:rPr>
          <w:i/>
        </w:rPr>
        <w:t>instruction prose</w:t>
      </w:r>
      <w:r>
        <w:t xml:space="preserve"> lives in </w:t>
      </w:r>
      <w:r>
        <w:rPr>
          <w:rFonts w:ascii="Consolas" w:hAnsi="Consolas"/>
          <w:sz w:val="19"/>
        </w:rPr>
        <w:t>instructions</w:t>
      </w:r>
      <w:r>
        <w:t xml:space="preserve">. Items defined in </w:t>
      </w:r>
      <w:r>
        <w:rPr>
          <w:rFonts w:ascii="Consolas" w:hAnsi="Consolas"/>
          <w:sz w:val="19"/>
        </w:rPr>
        <w:t>config</w:t>
      </w:r>
      <w:r>
        <w:t xml:space="preserve"> are then </w:t>
      </w:r>
      <w:r>
        <w:rPr>
          <w:b/>
        </w:rPr>
        <w:t>referenced by their exact name inside</w:t>
      </w:r>
      <w:r>
        <w:t xml:space="preserve"> </w:t>
      </w:r>
      <w:r>
        <w:rPr>
          <w:rFonts w:ascii="Consolas" w:hAnsi="Consolas"/>
          <w:sz w:val="19"/>
        </w:rPr>
        <w:t>instructions</w:t>
      </w:r>
      <w:r>
        <w:t xml:space="preserve"> (for example, "Use </w:t>
      </w:r>
      <w:r>
        <w:rPr>
          <w:rFonts w:ascii="Consolas" w:hAnsi="Consolas"/>
          <w:sz w:val="19"/>
        </w:rPr>
        <w:t>ServiceNow KB</w:t>
      </w:r>
      <w:r>
        <w:t>…").</w:t>
      </w:r>
    </w:p>
    <w:p>
      <w:pPr>
        <w:pStyle w:val="Heading2"/>
      </w:pPr>
      <w:r>
        <w:t>2. The instruction-body template (Markdown headers)</w:t>
      </w:r>
    </w:p>
    <w:p>
      <w:r>
        <w:t xml:space="preserve">The </w:t>
      </w:r>
      <w:r>
        <w:rPr>
          <w:rFonts w:ascii="Consolas" w:hAnsi="Consolas"/>
          <w:sz w:val="19"/>
        </w:rPr>
        <w:t>instructions</w:t>
      </w:r>
      <w:r>
        <w:t xml:space="preserve"> body of the AgentSpec is free-text Markdown organized under a fixed set of headers, following Microsoft's recommended shape. In the template below, </w:t>
      </w:r>
      <w:r>
        <w:rPr>
          <w:b/>
        </w:rPr>
        <w:t>[core]</w:t>
      </w:r>
      <w:r>
        <w:t xml:space="preserve"> marks headers that are essentially always present; </w:t>
      </w:r>
      <w:r>
        <w:rPr>
          <w:b/>
        </w:rPr>
        <w:t>[conditional]</w:t>
      </w:r>
      <w:r>
        <w:t xml:space="preserve"> marks headers to include only when the scenario warrants them (omit them to conserve the 8,000-character M365 instruction budget).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# ROLE                     [core]   — identity + expertise ("You are …")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# OBJECTIVE                [core]   — the single primary job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# SCOPE &amp; GROUNDING        [core]   — in-scope topics; ground ONLY in configured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                             knowledge/actions; "only respond to X"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# RESPONSE RULES           [core]   — behavioral rules: one question at a time,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                             confirm before consequential actions, atomic tasks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# OUTPUT FORMAT            [core]   — Output Contract: tone, verbosity, format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                             (bullets/tables), include/exclude, example shape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# CAPABILITIES &amp; KNOWLEDGE [core]   — when to use each `named` source/action/capability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# WORKFLOW                 [cond.]  — sequential procedures ONLY; each step =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                             **Goal / Action / Transition**; atomic; Markdown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# GUARDRAILS &amp; FALLBACK    [core]   — out-of-scope refusal + route-to-human;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                             injection constraints; (CS: moderation posture +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                             edit the Fallback *topic*, not this text)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# VOCABULARY               [cond.]  — acronyms, formulas, org-specific terms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# EXAMPLES                 [cond.]  — few-shot: valid + invalid, for edge cases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# SELF-CHECK               [cond.]  — "before finalizing, confirm …"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# FOLLOW-UP &amp; CLOSING      [cond.]  — missing-data behavior, next-step suggestions</w:t>
            </w:r>
          </w:p>
        </w:tc>
      </w:tr>
    </w:tbl>
    <w:p>
      <w:pPr>
        <w:spacing w:after="40"/>
      </w:pPr>
    </w:p>
    <w:p>
      <w:pPr>
        <w:pStyle w:val="Heading3"/>
      </w:pPr>
      <w:r>
        <w:t>Guardrails on writing the instruction body</w:t>
      </w:r>
    </w:p>
    <w:p>
      <w:r>
        <w:t>When authoring the instruction body, three constraints protect the agent. Never try to alter the citation format in prose. Never offload instructions into a knowledge document, which invites a cross-prompt injection attack (XPIA). And keep the whole instruction body at or below 8,000 characters for the declarative surface.</w:t>
      </w:r>
    </w:p>
    <w:p>
      <w:pPr>
        <w:pStyle w:val="Heading2"/>
      </w:pPr>
      <w:r>
        <w:t>3. Element to skeleton-zone to surface mapping</w:t>
      </w:r>
    </w:p>
    <w:p>
      <w:r>
        <w:t>This reference table maps each of the 13 agent-design elements to the AgentSpec zone that carries it, and shows how that zone renders on each surface — Microsoft 365 declarative agents and Copilot Studio. Use it to locate where any given element lives and how it appears once deployed.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E8E8E8"/>
          </w:tcPr>
          <w:p>
            <w:r>
              <w:rPr>
                <w:b/>
              </w:rPr>
              <w:t>#</w:t>
            </w:r>
          </w:p>
        </w:tc>
        <w:tc>
          <w:tcPr>
            <w:tcW w:type="dxa" w:w="1728"/>
            <w:shd w:val="clear" w:color="auto" w:fill="E8E8E8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1728"/>
            <w:shd w:val="clear" w:color="auto" w:fill="E8E8E8"/>
          </w:tcPr>
          <w:p>
            <w:r>
              <w:rPr>
                <w:b/>
              </w:rPr>
              <w:t>Zone</w:t>
            </w:r>
          </w:p>
        </w:tc>
        <w:tc>
          <w:tcPr>
            <w:tcW w:type="dxa" w:w="1728"/>
            <w:shd w:val="clear" w:color="auto" w:fill="E8E8E8"/>
          </w:tcPr>
          <w:p>
            <w:r>
              <w:rPr>
                <w:b/>
              </w:rPr>
              <w:t>M365 declarative</w:t>
            </w:r>
          </w:p>
        </w:tc>
        <w:tc>
          <w:tcPr>
            <w:tcW w:type="dxa" w:w="1728"/>
            <w:shd w:val="clear" w:color="auto" w:fill="E8E8E8"/>
          </w:tcPr>
          <w:p>
            <w:r>
              <w:rPr>
                <w:b/>
              </w:rPr>
              <w:t>Copilot Studio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Role / Persona</w:t>
            </w:r>
          </w:p>
        </w:tc>
        <w:tc>
          <w:tcPr>
            <w:tcW w:type="dxa" w:w="1728"/>
          </w:tcPr>
          <w:p>
            <w:r>
              <w:t xml:space="preserve">instructions </w:t>
            </w:r>
            <w:r>
              <w:rPr>
                <w:rFonts w:ascii="Consolas" w:hAnsi="Consolas"/>
                <w:sz w:val="19"/>
              </w:rPr>
              <w:t># ROLE</w:t>
            </w:r>
          </w:p>
        </w:tc>
        <w:tc>
          <w:tcPr>
            <w:tcW w:type="dxa" w:w="1728"/>
          </w:tcPr>
          <w:p>
            <w:r>
              <w:t>Purpose component</w:t>
            </w:r>
          </w:p>
        </w:tc>
        <w:tc>
          <w:tcPr>
            <w:tcW w:type="dxa" w:w="1728"/>
          </w:tcPr>
          <w:p>
            <w:r>
              <w:t>Instructions header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Purpose / Objective</w:t>
            </w:r>
          </w:p>
        </w:tc>
        <w:tc>
          <w:tcPr>
            <w:tcW w:type="dxa" w:w="1728"/>
          </w:tcPr>
          <w:p>
            <w:r>
              <w:t xml:space="preserve">instructions </w:t>
            </w:r>
            <w:r>
              <w:rPr>
                <w:rFonts w:ascii="Consolas" w:hAnsi="Consolas"/>
                <w:sz w:val="19"/>
              </w:rPr>
              <w:t># OBJECTIVE</w:t>
            </w:r>
          </w:p>
        </w:tc>
        <w:tc>
          <w:tcPr>
            <w:tcW w:type="dxa" w:w="1728"/>
          </w:tcPr>
          <w:p>
            <w:r>
              <w:t>Purpose</w:t>
            </w:r>
          </w:p>
        </w:tc>
        <w:tc>
          <w:tcPr>
            <w:tcW w:type="dxa" w:w="1728"/>
          </w:tcPr>
          <w:p>
            <w:r>
              <w:t>Instructions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Scope &amp; grounding</w:t>
            </w:r>
          </w:p>
        </w:tc>
        <w:tc>
          <w:tcPr>
            <w:tcW w:type="dxa" w:w="1728"/>
          </w:tcPr>
          <w:p>
            <w:r>
              <w:t xml:space="preserve">instructions </w:t>
            </w:r>
            <w:r>
              <w:rPr>
                <w:rFonts w:ascii="Consolas" w:hAnsi="Consolas"/>
                <w:sz w:val="19"/>
              </w:rPr>
              <w:t># SCOPE</w:t>
            </w:r>
          </w:p>
        </w:tc>
        <w:tc>
          <w:tcPr>
            <w:tcW w:type="dxa" w:w="1728"/>
          </w:tcPr>
          <w:p>
            <w:r>
              <w:t>ground in Knowledge/Actions</w:t>
            </w:r>
          </w:p>
        </w:tc>
        <w:tc>
          <w:tcPr>
            <w:tcW w:type="dxa" w:w="1728"/>
          </w:tcPr>
          <w:p>
            <w:r>
              <w:t>"Constraints"; add tools first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Response rules</w:t>
            </w:r>
          </w:p>
        </w:tc>
        <w:tc>
          <w:tcPr>
            <w:tcW w:type="dxa" w:w="1728"/>
          </w:tcPr>
          <w:p>
            <w:r>
              <w:t xml:space="preserve">instructions </w:t>
            </w:r>
            <w:r>
              <w:rPr>
                <w:rFonts w:ascii="Consolas" w:hAnsi="Consolas"/>
                <w:sz w:val="19"/>
              </w:rPr>
              <w:t># RESPONSE RULES</w:t>
            </w:r>
          </w:p>
        </w:tc>
        <w:tc>
          <w:tcPr>
            <w:tcW w:type="dxa" w:w="1728"/>
          </w:tcPr>
          <w:p>
            <w:r>
              <w:t>General guidelines</w:t>
            </w:r>
          </w:p>
        </w:tc>
        <w:tc>
          <w:tcPr>
            <w:tcW w:type="dxa" w:w="1728"/>
          </w:tcPr>
          <w:p>
            <w:r>
              <w:t>Instructions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Tone / output format</w:t>
            </w:r>
          </w:p>
        </w:tc>
        <w:tc>
          <w:tcPr>
            <w:tcW w:type="dxa" w:w="1728"/>
          </w:tcPr>
          <w:p>
            <w:r>
              <w:t xml:space="preserve">instructions </w:t>
            </w:r>
            <w:r>
              <w:rPr>
                <w:rFonts w:ascii="Consolas" w:hAnsi="Consolas"/>
                <w:sz w:val="19"/>
              </w:rPr>
              <w:t># OUTPUT FORMAT</w:t>
            </w:r>
          </w:p>
        </w:tc>
        <w:tc>
          <w:tcPr>
            <w:tcW w:type="dxa" w:w="1728"/>
          </w:tcPr>
          <w:p>
            <w:r>
              <w:t>General guidelines</w:t>
            </w:r>
          </w:p>
        </w:tc>
        <w:tc>
          <w:tcPr>
            <w:tcW w:type="dxa" w:w="1728"/>
          </w:tcPr>
          <w:p>
            <w:r>
              <w:t>"Response format"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Capability/knowledge/tool refs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config</w:t>
            </w:r>
            <w:r>
              <w:t xml:space="preserve"> + referenced in </w:t>
            </w:r>
            <w:r>
              <w:rPr>
                <w:rFonts w:ascii="Consolas" w:hAnsi="Consolas"/>
                <w:sz w:val="19"/>
              </w:rPr>
              <w:t># CAPABILITIES</w:t>
            </w:r>
          </w:p>
        </w:tc>
        <w:tc>
          <w:tcPr>
            <w:tcW w:type="dxa" w:w="1728"/>
          </w:tcPr>
          <w:p>
            <w:r>
              <w:t>`</w:t>
            </w:r>
            <w:r>
              <w:rPr>
                <w:rFonts w:ascii="Consolas" w:hAnsi="Consolas"/>
                <w:sz w:val="19"/>
              </w:rPr>
              <w:t xml:space="preserve"> </w:t>
            </w:r>
            <w:r>
              <w:t>backtick</w:t>
            </w:r>
            <w:r>
              <w:rPr>
                <w:rFonts w:ascii="Consolas" w:hAnsi="Consolas"/>
                <w:sz w:val="19"/>
              </w:rPr>
              <w:t xml:space="preserve"> </w:t>
            </w:r>
            <w:r>
              <w:t>` names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/</w:t>
            </w:r>
            <w:r>
              <w:t xml:space="preserve"> inline, exact names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Workflow steps</w:t>
            </w:r>
          </w:p>
        </w:tc>
        <w:tc>
          <w:tcPr>
            <w:tcW w:type="dxa" w:w="1728"/>
          </w:tcPr>
          <w:p>
            <w:r>
              <w:t xml:space="preserve">instructions </w:t>
            </w:r>
            <w:r>
              <w:rPr>
                <w:rFonts w:ascii="Consolas" w:hAnsi="Consolas"/>
                <w:sz w:val="19"/>
              </w:rPr>
              <w:t># WORKFLOW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# WORKFLOW</w:t>
            </w:r>
            <w:r>
              <w:t xml:space="preserve"> G/A/T</w:t>
            </w:r>
          </w:p>
        </w:tc>
        <w:tc>
          <w:tcPr>
            <w:tcW w:type="dxa" w:w="1728"/>
          </w:tcPr>
          <w:p>
            <w:r>
              <w:t>ordered instructions / Topic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Guardrails &amp; fallback</w:t>
            </w:r>
          </w:p>
        </w:tc>
        <w:tc>
          <w:tcPr>
            <w:tcW w:type="dxa" w:w="1728"/>
          </w:tcPr>
          <w:p>
            <w:r>
              <w:t xml:space="preserve">instructions </w:t>
            </w:r>
            <w:r>
              <w:rPr>
                <w:rFonts w:ascii="Consolas" w:hAnsi="Consolas"/>
                <w:sz w:val="19"/>
              </w:rPr>
              <w:t># GUARDRAILS</w:t>
            </w:r>
            <w:r>
              <w:t xml:space="preserve"> (+ config posture)</w:t>
            </w:r>
          </w:p>
        </w:tc>
        <w:tc>
          <w:tcPr>
            <w:tcW w:type="dxa" w:w="1728"/>
          </w:tcPr>
          <w:p>
            <w:r>
              <w:t>Restrictions; RAI</w:t>
            </w:r>
          </w:p>
        </w:tc>
        <w:tc>
          <w:tcPr>
            <w:tcW w:type="dxa" w:w="1728"/>
          </w:tcPr>
          <w:p>
            <w:r>
              <w:t xml:space="preserve">Fallback </w:t>
            </w:r>
            <w:r>
              <w:rPr>
                <w:b/>
              </w:rPr>
              <w:t>topic</w:t>
            </w:r>
            <w:r>
              <w:t>; moderation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Vocabulary</w:t>
            </w:r>
          </w:p>
        </w:tc>
        <w:tc>
          <w:tcPr>
            <w:tcW w:type="dxa" w:w="1728"/>
          </w:tcPr>
          <w:p>
            <w:r>
              <w:t xml:space="preserve">instructions </w:t>
            </w:r>
            <w:r>
              <w:rPr>
                <w:rFonts w:ascii="Consolas" w:hAnsi="Consolas"/>
                <w:sz w:val="19"/>
              </w:rPr>
              <w:t># VOCABULARY</w:t>
            </w:r>
          </w:p>
        </w:tc>
        <w:tc>
          <w:tcPr>
            <w:tcW w:type="dxa" w:w="1728"/>
          </w:tcPr>
          <w:p>
            <w:r>
              <w:t>Nonstandard terms</w:t>
            </w:r>
          </w:p>
        </w:tc>
        <w:tc>
          <w:tcPr>
            <w:tcW w:type="dxa" w:w="1728"/>
          </w:tcPr>
          <w:p>
            <w:r>
              <w:t>"Guidance" hints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Examples</w:t>
            </w:r>
          </w:p>
        </w:tc>
        <w:tc>
          <w:tcPr>
            <w:tcW w:type="dxa" w:w="1728"/>
          </w:tcPr>
          <w:p>
            <w:r>
              <w:t xml:space="preserve">instructions </w:t>
            </w:r>
            <w:r>
              <w:rPr>
                <w:rFonts w:ascii="Consolas" w:hAnsi="Consolas"/>
                <w:sz w:val="19"/>
              </w:rPr>
              <w:t># EXAMPLES</w:t>
            </w:r>
          </w:p>
        </w:tc>
        <w:tc>
          <w:tcPr>
            <w:tcW w:type="dxa" w:w="1728"/>
          </w:tcPr>
          <w:p>
            <w:r>
              <w:t>Interaction examples</w:t>
            </w:r>
          </w:p>
        </w:tc>
        <w:tc>
          <w:tcPr>
            <w:tcW w:type="dxa" w:w="1728"/>
          </w:tcPr>
          <w:p>
            <w:r>
              <w:t>dedicated Topic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Self-check</w:t>
            </w:r>
          </w:p>
        </w:tc>
        <w:tc>
          <w:tcPr>
            <w:tcW w:type="dxa" w:w="1728"/>
          </w:tcPr>
          <w:p>
            <w:r>
              <w:t xml:space="preserve">instructions </w:t>
            </w:r>
            <w:r>
              <w:rPr>
                <w:rFonts w:ascii="Consolas" w:hAnsi="Consolas"/>
                <w:sz w:val="19"/>
              </w:rPr>
              <w:t># SELF-CHECK</w:t>
            </w:r>
          </w:p>
        </w:tc>
        <w:tc>
          <w:tcPr>
            <w:tcW w:type="dxa" w:w="1728"/>
          </w:tcPr>
          <w:p>
            <w:r>
              <w:t>self-eval gate</w:t>
            </w:r>
          </w:p>
        </w:tc>
        <w:tc>
          <w:tcPr>
            <w:tcW w:type="dxa" w:w="1728"/>
          </w:tcPr>
          <w:p>
            <w:r>
              <w:t>instruction-level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Conversation starters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config</w:t>
            </w:r>
            <w:r>
              <w:t xml:space="preserve"> </w:t>
            </w:r>
            <w:r>
              <w:rPr>
                <w:rFonts w:ascii="Consolas" w:hAnsi="Consolas"/>
                <w:sz w:val="19"/>
              </w:rPr>
              <w:t>conversationStarters</w:t>
            </w:r>
          </w:p>
        </w:tc>
        <w:tc>
          <w:tcPr>
            <w:tcW w:type="dxa" w:w="1728"/>
          </w:tcPr>
          <w:p>
            <w:r>
              <w:t>manifest starters (min 3)</w:t>
            </w:r>
          </w:p>
        </w:tc>
        <w:tc>
          <w:tcPr>
            <w:tcW w:type="dxa" w:w="1728"/>
          </w:tcPr>
          <w:p>
            <w:r>
              <w:t>suggested prompts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Error / follow-up</w:t>
            </w:r>
          </w:p>
        </w:tc>
        <w:tc>
          <w:tcPr>
            <w:tcW w:type="dxa" w:w="1728"/>
          </w:tcPr>
          <w:p>
            <w:r>
              <w:t xml:space="preserve">instructions </w:t>
            </w:r>
            <w:r>
              <w:rPr>
                <w:rFonts w:ascii="Consolas" w:hAnsi="Consolas"/>
                <w:sz w:val="19"/>
              </w:rPr>
              <w:t># FOLLOW-UP</w:t>
            </w:r>
          </w:p>
        </w:tc>
        <w:tc>
          <w:tcPr>
            <w:tcW w:type="dxa" w:w="1728"/>
          </w:tcPr>
          <w:p>
            <w:r>
              <w:t>error handling</w:t>
            </w:r>
          </w:p>
        </w:tc>
        <w:tc>
          <w:tcPr>
            <w:tcW w:type="dxa" w:w="1728"/>
          </w:tcPr>
          <w:p>
            <w:r>
              <w:t>follow-up (needs ungrounded ON)</w:t>
            </w:r>
          </w:p>
        </w:tc>
      </w:tr>
    </w:tbl>
    <w:p>
      <w:pPr>
        <w:spacing w:after="40"/>
      </w:pPr>
    </w:p>
    <w:p>
      <w:pPr>
        <w:pStyle w:val="Heading2"/>
      </w:pPr>
      <w:r>
        <w:t>4. How a maker's interview answers map to AgentSpec fields</w:t>
      </w:r>
    </w:p>
    <w:p>
      <w:r>
        <w:t xml:space="preserve">When the builder interviews a maker, each question it asks fills specific AgentSpec fields. This reference table is the contract that the interview fills, in order — it shows which question populates which </w:t>
      </w:r>
      <w:r>
        <w:rPr>
          <w:rFonts w:ascii="Consolas" w:hAnsi="Consolas"/>
          <w:sz w:val="19"/>
        </w:rPr>
        <w:t>meta</w:t>
      </w:r>
      <w:r>
        <w:t xml:space="preserve">, </w:t>
      </w:r>
      <w:r>
        <w:rPr>
          <w:rFonts w:ascii="Consolas" w:hAnsi="Consolas"/>
          <w:sz w:val="19"/>
        </w:rPr>
        <w:t>config</w:t>
      </w:r>
      <w:r>
        <w:t xml:space="preserve">, or </w:t>
      </w:r>
      <w:r>
        <w:rPr>
          <w:rFonts w:ascii="Consolas" w:hAnsi="Consolas"/>
          <w:sz w:val="19"/>
        </w:rPr>
        <w:t>instructions</w:t>
      </w:r>
      <w:r>
        <w:t xml:space="preserve"> field.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E8"/>
          </w:tcPr>
          <w:p>
            <w:r>
              <w:rPr>
                <w:b/>
              </w:rPr>
              <w:t>Builder asks the maker…</w:t>
            </w:r>
          </w:p>
        </w:tc>
        <w:tc>
          <w:tcPr>
            <w:tcW w:type="dxa" w:w="4320"/>
            <w:shd w:val="clear" w:color="auto" w:fill="E8E8E8"/>
          </w:tcPr>
          <w:p>
            <w:r>
              <w:rPr>
                <w:b/>
              </w:rPr>
              <w:t>Fills</w:t>
            </w:r>
          </w:p>
        </w:tc>
      </w:tr>
      <w:tr>
        <w:tc>
          <w:tcPr>
            <w:tcW w:type="dxa" w:w="4320"/>
          </w:tcPr>
          <w:p>
            <w:r>
              <w:t>"What should this agent do, in one sentence?"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meta.name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meta.description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# OBJECTIVE</w:t>
            </w:r>
          </w:p>
        </w:tc>
      </w:tr>
      <w:tr>
        <w:tc>
          <w:tcPr>
            <w:tcW w:type="dxa" w:w="4320"/>
          </w:tcPr>
          <w:p>
            <w:r>
              <w:t>"Who will use it, and how technical are they?"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meta.audience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# ROLE</w:t>
            </w:r>
            <w:r>
              <w:t xml:space="preserve">, tone in </w:t>
            </w:r>
            <w:r>
              <w:rPr>
                <w:rFonts w:ascii="Consolas" w:hAnsi="Consolas"/>
                <w:sz w:val="19"/>
              </w:rPr>
              <w:t># OUTPUT FORMAT</w:t>
            </w:r>
          </w:p>
        </w:tc>
      </w:tr>
      <w:tr>
        <w:tc>
          <w:tcPr>
            <w:tcW w:type="dxa" w:w="4320"/>
          </w:tcPr>
          <w:p>
            <w:r>
              <w:t>"What should it stick to — and refuse?"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# SCOPE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# GUARDRAILS</w:t>
            </w:r>
          </w:p>
        </w:tc>
      </w:tr>
      <w:tr>
        <w:tc>
          <w:tcPr>
            <w:tcW w:type="dxa" w:w="4320"/>
          </w:tcPr>
          <w:p>
            <w:r>
              <w:t>"What information should it draw from?"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config.knowledge[]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# CAPABILITIES</w:t>
            </w:r>
          </w:p>
        </w:tc>
      </w:tr>
      <w:tr>
        <w:tc>
          <w:tcPr>
            <w:tcW w:type="dxa" w:w="4320"/>
          </w:tcPr>
          <w:p>
            <w:r>
              <w:t xml:space="preserve">"Does it need to </w:t>
            </w:r>
            <w:r>
              <w:rPr>
                <w:i/>
              </w:rPr>
              <w:t>do</w:t>
            </w:r>
            <w:r>
              <w:t xml:space="preserve"> anything (send, create, look up live data)?"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config.actions[]</w:t>
            </w:r>
            <w:r>
              <w:t xml:space="preserve"> → forces surface; </w:t>
            </w:r>
            <w:r>
              <w:rPr>
                <w:rFonts w:ascii="Consolas" w:hAnsi="Consolas"/>
                <w:sz w:val="19"/>
              </w:rPr>
              <w:t># WORKFLOW</w:t>
            </w:r>
          </w:p>
        </w:tc>
      </w:tr>
      <w:tr>
        <w:tc>
          <w:tcPr>
            <w:tcW w:type="dxa" w:w="4320"/>
          </w:tcPr>
          <w:p>
            <w:r>
              <w:t>"Any must-follow rules or house style?"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# RESPONSE RULES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# OUTPUT FORMAT</w:t>
            </w:r>
          </w:p>
        </w:tc>
      </w:tr>
      <w:tr>
        <w:tc>
          <w:tcPr>
            <w:tcW w:type="dxa" w:w="4320"/>
          </w:tcPr>
          <w:p>
            <w:r>
              <w:t>"Any jargon it must know?"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# VOCABULARY</w:t>
            </w:r>
          </w:p>
        </w:tc>
      </w:tr>
      <w:tr>
        <w:tc>
          <w:tcPr>
            <w:tcW w:type="dxa" w:w="4320"/>
          </w:tcPr>
          <w:p>
            <w:r>
              <w:t>"Give me 3 things a user might open with."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config.conversationStarters[]</w:t>
            </w:r>
          </w:p>
        </w:tc>
      </w:tr>
      <w:tr>
        <w:tc>
          <w:tcPr>
            <w:tcW w:type="dxa" w:w="4320"/>
          </w:tcPr>
          <w:p>
            <w:r>
              <w:t>(derived) surface decision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meta.surface</w:t>
            </w:r>
          </w:p>
        </w:tc>
      </w:tr>
    </w:tbl>
    <w:p>
      <w:pPr>
        <w:spacing w:after="40"/>
      </w:pPr>
    </w:p>
    <w:p>
      <w:pPr>
        <w:pStyle w:val="Heading3"/>
      </w:pPr>
      <w:r>
        <w:t>Why the surface is derived, not asked</w:t>
      </w:r>
    </w:p>
    <w:p>
      <w:r>
        <w:t xml:space="preserve">The </w:t>
      </w:r>
      <w:r>
        <w:rPr>
          <w:rFonts w:ascii="Consolas" w:hAnsi="Consolas"/>
          <w:sz w:val="19"/>
        </w:rPr>
        <w:t>meta.surface</w:t>
      </w:r>
      <w:r>
        <w:t xml:space="preserve"> value is </w:t>
      </w:r>
      <w:r>
        <w:rPr>
          <w:b/>
        </w:rPr>
        <w:t>derived, not asked</w:t>
      </w:r>
      <w:r>
        <w:t xml:space="preserve"> early in the interview. If any of the maker's answers imply autonomy, multi-step or looped orchestration, deterministic flows, multi-agent coordination, external channels, group use, strict grounding, a custom model, or Dataverse, then the surface is </w:t>
      </w:r>
      <w:r>
        <w:rPr>
          <w:rFonts w:ascii="Consolas" w:hAnsi="Consolas"/>
          <w:sz w:val="19"/>
        </w:rPr>
        <w:t>copilot-studio</w:t>
      </w:r>
      <w:r>
        <w:t xml:space="preserve">. Otherwise it is </w:t>
      </w:r>
      <w:r>
        <w:rPr>
          <w:rFonts w:ascii="Consolas" w:hAnsi="Consolas"/>
          <w:sz w:val="19"/>
        </w:rPr>
        <w:t>declarative</w:t>
      </w:r>
      <w:r>
        <w:t>.</w:t>
      </w:r>
    </w:p>
    <w:p>
      <w:pPr>
        <w:pStyle w:val="Heading2"/>
      </w:pPr>
      <w:r>
        <w:t>5. Worked micro-example: an HR Policy Assistant</w:t>
      </w:r>
    </w:p>
    <w:p>
      <w:r>
        <w:t xml:space="preserve">This worked example instantiates the AgentSpec for a simple read-only Q&amp;A agent, confirming that the skeleton scales down cleanly. It uses only 7 of the 13 design elements; the 6 conditional elements are correctly omitted. Because the agent runs in-M365 with single-step retrieval and individual use, and has no actions, its surface stays </w:t>
      </w:r>
      <w:r>
        <w:rPr>
          <w:rFonts w:ascii="Consolas" w:hAnsi="Consolas"/>
          <w:sz w:val="19"/>
        </w:rPr>
        <w:t>declarative</w:t>
      </w:r>
      <w:r>
        <w:t>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meta: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name: HR Policy Assistant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description: Answers employee questions about Contoso HR policies from official docs.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surface: declarative        # in-M365, single-step retrieval, individual use → declarative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audience: All Contoso employees (non-technical)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config: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knowledge: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- type: sharepoint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ref: https://contoso.sharepoint.com/sites/HR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scope: /Policies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capabilities: []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actions: []                 # read-only Q&amp;A → no actions → stays declarative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conversationStarters: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- {title: Leave policy, text: How many vacation days do I get?}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- {title: Parental leave, text: What is the parental leave policy?}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- {title: Expenses, text: How do I submit an expense claim?}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instructions: |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# ROLE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You are the Contoso HR Policy Assistant, an expert on Contoso's HR policies.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# OBJECTIVE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Answer employee questions accurately using only official HR policy documents.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# SCOPE &amp; GROUNDING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Only answer questions about Contoso HR policy, grounded in the `HR Policies` SharePoint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site. If asked anything else, say you can only help with HR policy.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# RESPONSE RULES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Ask one clarifying question at a time when a request is ambiguous. Do not speculate.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# OUTPUT FORMAT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Concise, friendly, plain language. Use short bullet lists for multi-part answers.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# CAPABILITIES &amp; KNOWLEDGE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Use the `HR Policies` SharePoint site for every factual answer.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# GUARDRAILS &amp; FALLBACK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If a policy isn't in the documents, say so and suggest contacting HR — never invent one.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