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6236"/>
            <w:shd w:val="clear" w:color="auto" w:fill="16213E"/>
          </w:tcPr>
          <w:p>
            <w:pPr>
              <w:spacing w:before="200" w:after="40"/>
              <w:ind w:left="283"/>
            </w:pPr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>КОММЕРЧЕСКОЕ ПРЕДЛОЖЕНИЕ</w:t>
            </w:r>
          </w:p>
          <w:p>
            <w:pPr>
              <w:spacing w:before="0" w:after="200"/>
              <w:ind w:left="283"/>
            </w:pPr>
            <w:r>
              <w:rPr>
                <w:rFonts w:ascii="Calibri" w:hAnsi="Calibri"/>
                <w:b w:val="0"/>
                <w:i w:val="0"/>
                <w:color w:val="AABBEE"/>
                <w:sz w:val="22"/>
              </w:rPr>
              <w:t>XTeam.Pro  →  TechnoPan</w:t>
            </w:r>
          </w:p>
        </w:tc>
        <w:tc>
          <w:tcPr>
            <w:tcW w:type="dxa" w:w="3402"/>
            <w:shd w:val="clear" w:color="auto" w:fill="1A1A2E"/>
          </w:tcPr>
          <w:p>
            <w:pPr>
              <w:spacing w:before="240" w:after="40"/>
              <w:ind w:left="227"/>
            </w:pPr>
            <w:r>
              <w:rPr>
                <w:rFonts w:ascii="Calibri" w:hAnsi="Calibri"/>
                <w:b w:val="0"/>
                <w:i/>
                <w:color w:val="FFFFFF"/>
                <w:sz w:val="20"/>
              </w:rPr>
              <w:t>Автоматизация формирования</w:t>
              <w:br/>
              <w:t>спецификаций из DWG-файлов</w:t>
              <w:br/>
              <w:t>раскладки панелей</w:t>
            </w:r>
          </w:p>
        </w:tc>
      </w:tr>
    </w:tbl>
    <w:p>
      <w:pPr>
        <w:spacing w:after="160"/>
      </w:pPr>
    </w:p>
    <w:p>
      <w:pPr>
        <w:spacing w:before="360" w:after="120"/>
        <w:pBdr>
          <w:bottom w:val="single" w:sz="4" w:color="0F3C96"/>
        </w:pBdr>
      </w:pPr>
      <w:r>
        <w:rPr>
          <w:rFonts w:ascii="Calibri" w:hAnsi="Calibri"/>
          <w:b/>
          <w:i w:val="0"/>
          <w:color w:val="0F3C96"/>
          <w:sz w:val="32"/>
        </w:rPr>
        <w:t>Мы изучили ваши реальные файлы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1A1A2E"/>
          <w:sz w:val="22"/>
        </w:rPr>
        <w:t>Нам были переданы три реальных проекта TechnoPan: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685"/>
            <w:shd w:val="clear" w:color="auto" w:fill="0F3C96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Объект</w:t>
            </w:r>
          </w:p>
        </w:tc>
        <w:tc>
          <w:tcPr>
            <w:tcW w:type="dxa" w:w="1984"/>
            <w:shd w:val="clear" w:color="auto" w:fill="0F3C96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Файл раскладки</w:t>
            </w:r>
          </w:p>
        </w:tc>
        <w:tc>
          <w:tcPr>
            <w:tcW w:type="dxa" w:w="1984"/>
            <w:shd w:val="clear" w:color="auto" w:fill="0F3C96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Файл спецификации</w:t>
            </w:r>
          </w:p>
        </w:tc>
        <w:tc>
          <w:tcPr>
            <w:tcW w:type="dxa" w:w="1417"/>
            <w:shd w:val="clear" w:color="auto" w:fill="0F3C96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Разрыв</w:t>
            </w:r>
          </w:p>
        </w:tc>
      </w:tr>
      <w:tr>
        <w:tc>
          <w:tcPr>
            <w:tcW w:type="dxa" w:w="3685"/>
            <w:shd w:val="clear" w:color="auto" w:fill="F0F4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Магазин в Чулыме</w:t>
            </w:r>
          </w:p>
        </w:tc>
        <w:tc>
          <w:tcPr>
            <w:tcW w:type="dxa" w:w="1984"/>
            <w:shd w:val="clear" w:color="auto" w:fill="F0F4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01.09.2025</w:t>
            </w:r>
          </w:p>
        </w:tc>
        <w:tc>
          <w:tcPr>
            <w:tcW w:type="dxa" w:w="1984"/>
            <w:shd w:val="clear" w:color="auto" w:fill="F0F4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16.09.2025</w:t>
            </w:r>
          </w:p>
        </w:tc>
        <w:tc>
          <w:tcPr>
            <w:tcW w:type="dxa" w:w="1417"/>
            <w:shd w:val="clear" w:color="auto" w:fill="F0F4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15 дней</w:t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Склад готовой продукции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15.12.2025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16.12.2025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 день</w:t>
            </w:r>
          </w:p>
        </w:tc>
      </w:tr>
      <w:tr>
        <w:tc>
          <w:tcPr>
            <w:tcW w:type="dxa" w:w="3685"/>
            <w:shd w:val="clear" w:color="auto" w:fill="F0F4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Цех, перегородки АБК</w:t>
            </w:r>
          </w:p>
        </w:tc>
        <w:tc>
          <w:tcPr>
            <w:tcW w:type="dxa" w:w="1984"/>
            <w:shd w:val="clear" w:color="auto" w:fill="F0F4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02.12.2025</w:t>
            </w:r>
          </w:p>
        </w:tc>
        <w:tc>
          <w:tcPr>
            <w:tcW w:type="dxa" w:w="1984"/>
            <w:shd w:val="clear" w:color="auto" w:fill="F0F4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04.12.2025</w:t>
            </w:r>
          </w:p>
        </w:tc>
        <w:tc>
          <w:tcPr>
            <w:tcW w:type="dxa" w:w="1417"/>
            <w:shd w:val="clear" w:color="auto" w:fill="F0F4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 дня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0F4FF"/>
            <w:tcBorders>
              <w:top w:val="none"/>
              <w:right w:val="none"/>
              <w:bottom w:val="none"/>
              <w:left w:val="single" w:sz="24" w:color="0F3C96"/>
            </w:tcBorders>
          </w:tcPr>
          <w:p>
            <w:pPr>
              <w:spacing w:before="120" w:after="120"/>
              <w:ind w:left="227"/>
            </w:pPr>
            <w:r>
              <w:rPr>
                <w:rFonts w:ascii="Calibri" w:hAnsi="Calibri"/>
                <w:b w:val="0"/>
                <w:i/>
                <w:color w:val="16213E"/>
                <w:sz w:val="22"/>
              </w:rPr>
              <w:t>Каждый день между готовым чертежом и отправленной спецификацией — это замороженные деньги, незакрытая сделка и риск, что клиент за это время получит предложение от конкурента. При 15-дневном разрыве, как по «Магазину в Чулыме», это уже не вопрос удобства — это вопрос выживаемости сделки.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i w:val="0"/>
          <w:color w:val="1A1A2E"/>
          <w:sz w:val="22"/>
        </w:rPr>
        <w:t>Конкретный пример — «Склад готовой продукции»: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2"/>
        </w:rPr>
        <w:t>189 панелей, 36 уникальных типоразмеров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2"/>
        </w:rPr>
        <w:t>Два типа: кровельные (п) и стеновые (с), ширина 1000 мм / стандартная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2"/>
        </w:rPr>
        <w:t>Длины от 1130 до 7540 мм, самая частая позиция — п 5980 мм: 51 шт.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2"/>
        </w:rPr>
        <w:t>Всё это нужно пересчитать вручную, сгруппировать и занести в таблицу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0F3C96"/>
          <w:sz w:val="22"/>
        </w:rPr>
        <w:t>Именно эту работу мы автоматизируем.</w:t>
      </w:r>
    </w:p>
    <w:p>
      <w:pPr>
        <w:spacing w:before="360" w:after="120"/>
        <w:pBdr>
          <w:bottom w:val="single" w:sz="4" w:color="0F3C96"/>
        </w:pBdr>
      </w:pPr>
      <w:r>
        <w:rPr>
          <w:rFonts w:ascii="Calibri" w:hAnsi="Calibri"/>
          <w:b/>
          <w:i w:val="0"/>
          <w:color w:val="0F3C96"/>
          <w:sz w:val="32"/>
        </w:rPr>
        <w:t>Как работает система</w:t>
      </w:r>
    </w:p>
    <w:p>
      <w:pPr>
        <w:spacing w:after="80"/>
      </w:pPr>
      <w:r>
        <w:rPr>
          <w:rFonts w:ascii="Calibri" w:hAnsi="Calibri"/>
          <w:b/>
          <w:i w:val="0"/>
          <w:color w:val="1A1A2E"/>
          <w:sz w:val="22"/>
        </w:rPr>
        <w:t xml:space="preserve">Вход: </w:t>
      </w:r>
      <w:r>
        <w:rPr>
          <w:rFonts w:ascii="Calibri" w:hAnsi="Calibri"/>
          <w:b w:val="0"/>
          <w:i w:val="0"/>
          <w:color w:val="1A1A2E"/>
          <w:sz w:val="22"/>
        </w:rPr>
        <w:t>DWG-файл раскладки панелей (как есть, без переделки чертежей)</w:t>
      </w:r>
    </w:p>
    <w:p>
      <w:pPr>
        <w:spacing w:after="120"/>
      </w:pPr>
      <w:r>
        <w:rPr>
          <w:rFonts w:ascii="Calibri" w:hAnsi="Calibri"/>
          <w:b/>
          <w:i w:val="0"/>
          <w:color w:val="1A1A2E"/>
          <w:sz w:val="22"/>
        </w:rPr>
        <w:t xml:space="preserve">Выход: </w:t>
      </w:r>
      <w:r>
        <w:rPr>
          <w:rFonts w:ascii="Calibri" w:hAnsi="Calibri"/>
          <w:b w:val="0"/>
          <w:i w:val="0"/>
          <w:color w:val="1A1A2E"/>
          <w:sz w:val="22"/>
        </w:rPr>
        <w:t>готовая спецификация Excel — за 10–30 секунд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1A1A2E"/>
          <w:sz w:val="22"/>
        </w:rPr>
        <w:t>Система читает ваши DWG напрямую, распознаёт маркировки панелей по слоям («Нумерация», «Нумерация 1000»), считает количество панелей каждого типоразмера и формирует сводную таблицу в вашем корпоративном шаблоне.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0F3C96"/>
          <w:sz w:val="22"/>
        </w:rPr>
        <w:t>Ничего менять в процессе проектирования не нужно — система адаптируется под ваши файлы, а не наоборот.</w:t>
      </w:r>
    </w:p>
    <w:p>
      <w:pPr>
        <w:spacing w:before="360" w:after="120"/>
        <w:pBdr>
          <w:bottom w:val="single" w:sz="4" w:color="0F3C96"/>
        </w:pBdr>
      </w:pPr>
      <w:r>
        <w:rPr>
          <w:rFonts w:ascii="Calibri" w:hAnsi="Calibri"/>
          <w:b/>
          <w:i w:val="0"/>
          <w:color w:val="0F3C96"/>
          <w:sz w:val="32"/>
        </w:rPr>
        <w:t>Что вы получаете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0F4FF"/>
            <w:tcBorders>
              <w:top w:val="none"/>
              <w:right w:val="none"/>
              <w:bottom w:val="none"/>
              <w:left w:val="single" w:sz="24" w:color="0F3C96"/>
            </w:tcBorders>
          </w:tcPr>
          <w:p>
            <w:pPr>
              <w:spacing w:before="120" w:after="120"/>
              <w:ind w:left="227"/>
            </w:pPr>
            <w:r>
              <w:rPr>
                <w:rFonts w:ascii="Calibri" w:hAnsi="Calibri"/>
                <w:b w:val="0"/>
                <w:i/>
                <w:color w:val="16213E"/>
                <w:sz w:val="22"/>
              </w:rPr>
              <w:t>Это не утилита для сокращения рутины. Это инструмент снижения операционного риска, ускорения оборота и масштабирования без роста штата.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4535"/>
            <w:shd w:val="clear" w:color="auto" w:fill="0F3C96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984"/>
            <w:shd w:val="clear" w:color="auto" w:fill="0F3C96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Сейчас</w:t>
            </w:r>
          </w:p>
        </w:tc>
        <w:tc>
          <w:tcPr>
            <w:tcW w:type="dxa" w:w="2551"/>
            <w:shd w:val="clear" w:color="auto" w:fill="0F3C96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После внедрения</w:t>
            </w:r>
          </w:p>
        </w:tc>
      </w:tr>
      <w:tr>
        <w:tc>
          <w:tcPr>
            <w:tcW w:type="dxa" w:w="4535"/>
            <w:shd w:val="clear" w:color="auto" w:fill="F0F4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Время на спецификацию</w:t>
            </w:r>
          </w:p>
        </w:tc>
        <w:tc>
          <w:tcPr>
            <w:tcW w:type="dxa" w:w="1984"/>
            <w:shd w:val="clear" w:color="auto" w:fill="F0F4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2–15 часов</w:t>
            </w:r>
          </w:p>
        </w:tc>
        <w:tc>
          <w:tcPr>
            <w:tcW w:type="dxa" w:w="2551"/>
            <w:shd w:val="clear" w:color="auto" w:fill="F0F4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30 секунд</w:t>
            </w:r>
          </w:p>
        </w:tc>
      </w:tr>
      <w:tr>
        <w:tc>
          <w:tcPr>
            <w:tcW w:type="dxa" w:w="4535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Риск ошибки при переносе данных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Есть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Исключён</w:t>
            </w:r>
          </w:p>
        </w:tc>
      </w:tr>
      <w:tr>
        <w:tc>
          <w:tcPr>
            <w:tcW w:type="dxa" w:w="4535"/>
            <w:shd w:val="clear" w:color="auto" w:fill="F0F4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Зависимость от конкретного сотрудника</w:t>
            </w:r>
          </w:p>
        </w:tc>
        <w:tc>
          <w:tcPr>
            <w:tcW w:type="dxa" w:w="1984"/>
            <w:shd w:val="clear" w:color="auto" w:fill="F0F4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Высокая</w:t>
            </w:r>
          </w:p>
        </w:tc>
        <w:tc>
          <w:tcPr>
            <w:tcW w:type="dxa" w:w="2551"/>
            <w:shd w:val="clear" w:color="auto" w:fill="F0F4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Любой сотрудник</w:t>
            </w:r>
          </w:p>
        </w:tc>
      </w:tr>
      <w:tr>
        <w:tc>
          <w:tcPr>
            <w:tcW w:type="dxa" w:w="4535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Единый формат по всем объектам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Нет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Да</w:t>
            </w:r>
          </w:p>
        </w:tc>
      </w:tr>
      <w:tr>
        <w:tc>
          <w:tcPr>
            <w:tcW w:type="dxa" w:w="4535"/>
            <w:shd w:val="clear" w:color="auto" w:fill="F0F4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Параллельная обработка объектов</w:t>
            </w:r>
          </w:p>
        </w:tc>
        <w:tc>
          <w:tcPr>
            <w:tcW w:type="dxa" w:w="1984"/>
            <w:shd w:val="clear" w:color="auto" w:fill="F0F4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Невозможна</w:t>
            </w:r>
          </w:p>
        </w:tc>
        <w:tc>
          <w:tcPr>
            <w:tcW w:type="dxa" w:w="2551"/>
            <w:shd w:val="clear" w:color="auto" w:fill="F0F4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Без ограничений</w:t>
            </w:r>
          </w:p>
        </w:tc>
      </w:tr>
      <w:tr>
        <w:tc>
          <w:tcPr>
            <w:tcW w:type="dxa" w:w="4535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Скорость реакции на запрос клиента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Часы / дни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Минуты</w:t>
            </w:r>
          </w:p>
        </w:tc>
      </w:tr>
    </w:tbl>
    <w:p>
      <w:pPr>
        <w:spacing w:after="80"/>
      </w:pPr>
    </w:p>
    <w:p>
      <w:pPr>
        <w:spacing w:before="40" w:after="120"/>
      </w:pPr>
      <w:r>
        <w:rPr>
          <w:rFonts w:ascii="Calibri" w:hAnsi="Calibri"/>
          <w:b w:val="0"/>
          <w:i w:val="0"/>
          <w:color w:val="1A1A2E"/>
          <w:sz w:val="22"/>
        </w:rPr>
        <w:t>При потоке 20–30 объектов в месяц система экономит от 40 до 200 часов инженерного времени ежемесячно — без найма дополнительных людей.</w:t>
      </w:r>
    </w:p>
    <w:p>
      <w:pPr>
        <w:spacing w:before="360" w:after="120"/>
        <w:pBdr>
          <w:bottom w:val="single" w:sz="4" w:color="0F3C96"/>
        </w:pBdr>
      </w:pPr>
      <w:r>
        <w:rPr>
          <w:rFonts w:ascii="Calibri" w:hAnsi="Calibri"/>
          <w:b/>
          <w:i w:val="0"/>
          <w:color w:val="0F3C96"/>
          <w:sz w:val="32"/>
        </w:rPr>
        <w:t>Стоимость и сроки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102"/>
            <w:shd w:val="clear" w:color="auto" w:fill="16213E"/>
          </w:tcPr>
          <w:p>
            <w:pPr>
              <w:spacing w:before="100" w:after="100"/>
              <w:ind w:left="17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Этап 1 — Анализ, разработка и настройка</w:t>
            </w:r>
          </w:p>
        </w:tc>
        <w:tc>
          <w:tcPr>
            <w:tcW w:type="dxa" w:w="1701"/>
            <w:shd w:val="clear" w:color="auto" w:fill="16213E"/>
          </w:tcPr>
          <w:p>
            <w:pPr>
              <w:spacing w:before="100" w:after="100"/>
              <w:ind w:left="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3 недели</w:t>
            </w:r>
          </w:p>
        </w:tc>
        <w:tc>
          <w:tcPr>
            <w:tcW w:type="dxa" w:w="2268"/>
            <w:shd w:val="clear" w:color="auto" w:fill="16213E"/>
          </w:tcPr>
          <w:p>
            <w:pPr>
              <w:spacing w:before="100" w:after="100"/>
              <w:ind w:left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250 000 ₽</w:t>
            </w:r>
          </w:p>
        </w:tc>
      </w:tr>
    </w:tbl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2"/>
        </w:rPr>
        <w:t>Глубокий анализ ваших DWG-файлов: слои, маркировки, типы панелей, крайние случаи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2"/>
        </w:rPr>
        <w:t>Разработка и настройка правил распознавания под номенклатуру TechnoPan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2"/>
        </w:rPr>
        <w:t>Адаптация шаблона Excel под корпоративный стиль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2"/>
        </w:rPr>
        <w:t>Покрытие нестандартных ситуаций: смешанные форматы, нетиповые объекты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2"/>
        </w:rPr>
        <w:t>Тестирование на реальных объектах из вашего архива с верификацией результатов</w:t>
      </w:r>
    </w:p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102"/>
            <w:shd w:val="clear" w:color="auto" w:fill="16213E"/>
          </w:tcPr>
          <w:p>
            <w:pPr>
              <w:spacing w:before="100" w:after="100"/>
              <w:ind w:left="17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Этап 2 — Внедрение, интеграция и обучение</w:t>
            </w:r>
          </w:p>
        </w:tc>
        <w:tc>
          <w:tcPr>
            <w:tcW w:type="dxa" w:w="1701"/>
            <w:shd w:val="clear" w:color="auto" w:fill="16213E"/>
          </w:tcPr>
          <w:p>
            <w:pPr>
              <w:spacing w:before="100" w:after="100"/>
              <w:ind w:left="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2 недели</w:t>
            </w:r>
          </w:p>
        </w:tc>
        <w:tc>
          <w:tcPr>
            <w:tcW w:type="dxa" w:w="2268"/>
            <w:shd w:val="clear" w:color="auto" w:fill="16213E"/>
          </w:tcPr>
          <w:p>
            <w:pPr>
              <w:spacing w:before="100" w:after="100"/>
              <w:ind w:left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150 000 ₽</w:t>
            </w:r>
          </w:p>
        </w:tc>
      </w:tr>
    </w:tbl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2"/>
        </w:rPr>
        <w:t>Установка и настройка на рабочих местах проектировщиков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2"/>
        </w:rPr>
        <w:t>Интеграция в текущий рабочий процесс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2"/>
        </w:rPr>
        <w:t>Обучение сотрудников: инструкция + живые сессии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2"/>
        </w:rPr>
        <w:t>Сдача с проверкой на реальных текущих объектах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2"/>
        </w:rPr>
        <w:t>Передача документации и исходных конфигураций</w:t>
      </w:r>
    </w:p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69"/>
            <w:shd w:val="clear" w:color="auto" w:fill="0F3C96"/>
          </w:tcPr>
          <w:p>
            <w:pPr>
              <w:spacing w:before="140" w:after="1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Итого за проект</w:t>
            </w:r>
          </w:p>
        </w:tc>
        <w:tc>
          <w:tcPr>
            <w:tcW w:type="dxa" w:w="2835"/>
            <w:shd w:val="clear" w:color="auto" w:fill="0F3C96"/>
          </w:tcPr>
          <w:p>
            <w:pPr>
              <w:spacing w:before="140" w:after="1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Срок: 5 недель</w:t>
            </w:r>
          </w:p>
        </w:tc>
        <w:tc>
          <w:tcPr>
            <w:tcW w:type="dxa" w:w="2268"/>
            <w:shd w:val="clear" w:color="auto" w:fill="0F3C96"/>
          </w:tcPr>
          <w:p>
            <w:pPr>
              <w:spacing w:before="140" w:after="1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400 000 ₽</w:t>
            </w:r>
          </w:p>
        </w:tc>
      </w:tr>
    </w:tbl>
    <w:p>
      <w:pPr>
        <w:spacing w:before="120" w:after="160"/>
      </w:pPr>
      <w:r>
        <w:rPr>
          <w:rFonts w:ascii="Calibri" w:hAnsi="Calibri"/>
          <w:b w:val="0"/>
          <w:i w:val="0"/>
          <w:color w:val="555555"/>
          <w:sz w:val="20"/>
        </w:rPr>
        <w:t>Оплата: 50% при старте, 50% при сдаче.</w:t>
      </w:r>
    </w:p>
    <w:p>
      <w:pPr>
        <w:spacing w:before="200" w:after="120"/>
      </w:pPr>
      <w:r>
        <w:rPr>
          <w:rFonts w:ascii="Calibri" w:hAnsi="Calibri"/>
          <w:b/>
          <w:i w:val="0"/>
          <w:color w:val="16213E"/>
          <w:sz w:val="26"/>
        </w:rPr>
        <w:t>Поддержка после сдачи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669"/>
            <w:shd w:val="clear" w:color="auto" w:fill="0F3C96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Период</w:t>
            </w:r>
          </w:p>
        </w:tc>
        <w:tc>
          <w:tcPr>
            <w:tcW w:type="dxa" w:w="3402"/>
            <w:shd w:val="clear" w:color="auto" w:fill="0F3C96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Стоимость</w:t>
            </w:r>
          </w:p>
        </w:tc>
      </w:tr>
      <w:tr>
        <w:tc>
          <w:tcPr>
            <w:tcW w:type="dxa" w:w="5669"/>
            <w:shd w:val="clear" w:color="auto" w:fill="F0F4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Первые 3 месяца</w:t>
            </w:r>
          </w:p>
        </w:tc>
        <w:tc>
          <w:tcPr>
            <w:tcW w:type="dxa" w:w="3402"/>
            <w:shd w:val="clear" w:color="auto" w:fill="F0F4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Бесплатно</w:t>
            </w:r>
          </w:p>
        </w:tc>
      </w:tr>
      <w:tr>
        <w:tc>
          <w:tcPr>
            <w:tcW w:type="dxa" w:w="5669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С 4-го месяца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25 000 ₽/мес</w:t>
            </w:r>
          </w:p>
        </w:tc>
      </w:tr>
    </w:tbl>
    <w:p>
      <w:pPr>
        <w:spacing w:after="80"/>
      </w:pPr>
    </w:p>
    <w:p>
      <w:pPr>
        <w:spacing w:before="40" w:after="120"/>
      </w:pPr>
      <w:r>
        <w:rPr>
          <w:rFonts w:ascii="Calibri" w:hAnsi="Calibri"/>
          <w:b w:val="0"/>
          <w:i w:val="0"/>
          <w:color w:val="1A1A2E"/>
          <w:sz w:val="22"/>
        </w:rPr>
        <w:t>Поддержка включает доработки под изменение номенклатуры, обновления шаблонов, консультации сотрудников и адаптацию под новые форматы файлов.</w:t>
      </w:r>
    </w:p>
    <w:p>
      <w:pPr>
        <w:spacing w:before="200" w:after="120"/>
      </w:pPr>
      <w:r>
        <w:rPr>
          <w:rFonts w:ascii="Calibri" w:hAnsi="Calibri"/>
          <w:b/>
          <w:i w:val="0"/>
          <w:color w:val="16213E"/>
          <w:sz w:val="26"/>
        </w:rPr>
        <w:t>Окупаемость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1A1A2E"/>
          <w:sz w:val="22"/>
        </w:rPr>
        <w:t>Если час инженера стоит 800–1 200 ₽, а система экономит 80–200 ч/мес: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2"/>
        </w:rPr>
        <w:t>Экономия в месяц: 64 000 – 240 000 ₽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2"/>
        </w:rPr>
        <w:t>Окупаемость проекта: 2–6 месяцев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555555"/>
          <w:sz w:val="20"/>
        </w:rPr>
        <w:t>И это только прямая экономия времени — без учёта ускорения сделок и снижения потерь от ошибок.</w:t>
      </w:r>
    </w:p>
    <w:p>
      <w:pPr>
        <w:spacing w:before="360" w:after="120"/>
        <w:pBdr>
          <w:bottom w:val="single" w:sz="4" w:color="0F3C96"/>
        </w:pBdr>
      </w:pPr>
      <w:r>
        <w:rPr>
          <w:rFonts w:ascii="Calibri" w:hAnsi="Calibri"/>
          <w:b/>
          <w:i w:val="0"/>
          <w:color w:val="0F3C96"/>
          <w:sz w:val="32"/>
        </w:rPr>
        <w:t>Что будет дальше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0F4FF"/>
            <w:tcBorders>
              <w:top w:val="none"/>
              <w:right w:val="none"/>
              <w:bottom w:val="none"/>
              <w:left w:val="single" w:sz="24" w:color="0F3C96"/>
            </w:tcBorders>
          </w:tcPr>
          <w:p>
            <w:pPr>
              <w:spacing w:before="120" w:after="120"/>
              <w:ind w:left="227"/>
            </w:pPr>
            <w:r>
              <w:rPr>
                <w:rFonts w:ascii="Calibri" w:hAnsi="Calibri"/>
                <w:b w:val="0"/>
                <w:i/>
                <w:color w:val="16213E"/>
                <w:sz w:val="22"/>
              </w:rPr>
              <w:t>Вопрос не в том, автоматизировать или нет. Вопрос — сколько объектов TechnoPan планирует обрабатывать через 2–3 года, и выдержит ли текущий ручной процесс этот рост без пропорционального увеличения штата.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Calibri" w:hAnsi="Calibri"/>
          <w:b w:val="0"/>
          <w:i w:val="0"/>
          <w:color w:val="1A1A2E"/>
          <w:sz w:val="22"/>
        </w:rPr>
        <w:t>Автоматизация спецификаций — первый шаг. Дорожная карта расширения:</w:t>
      </w:r>
    </w:p>
    <w:p>
      <w:pPr>
        <w:spacing w:before="160" w:after="60"/>
      </w:pPr>
      <w:r>
        <w:rPr>
          <w:rFonts w:ascii="Calibri" w:hAnsi="Calibri"/>
          <w:b/>
          <w:i w:val="0"/>
          <w:color w:val="16213E"/>
          <w:sz w:val="22"/>
        </w:rPr>
        <w:t>Коммерческий отдел (3–6 мес.)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2"/>
        </w:rPr>
        <w:t>Автогенерация КП в Word/PDF из данных спецификации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2"/>
        </w:rPr>
        <w:t>Расчёт стоимости с учётом прайс-листа, скидок и условий поставки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2"/>
        </w:rPr>
        <w:t>Готовый документ к отправке клиенту — без участия проектировщика</w:t>
      </w:r>
    </w:p>
    <w:p>
      <w:pPr>
        <w:spacing w:before="160" w:after="60"/>
      </w:pPr>
      <w:r>
        <w:rPr>
          <w:rFonts w:ascii="Calibri" w:hAnsi="Calibri"/>
          <w:b/>
          <w:i w:val="0"/>
          <w:color w:val="16213E"/>
          <w:sz w:val="22"/>
        </w:rPr>
        <w:t>Производство и склад (6–9 мес.)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2"/>
        </w:rPr>
        <w:t>Передача спецификации напрямую в производственный план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2"/>
        </w:rPr>
        <w:t>Контроль остатков металла, плёнки, комплектующих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2"/>
        </w:rPr>
        <w:t>Автоматические заявки на закупку при дефиците</w:t>
      </w:r>
    </w:p>
    <w:p>
      <w:pPr>
        <w:spacing w:before="160" w:after="60"/>
      </w:pPr>
      <w:r>
        <w:rPr>
          <w:rFonts w:ascii="Calibri" w:hAnsi="Calibri"/>
          <w:b/>
          <w:i w:val="0"/>
          <w:color w:val="16213E"/>
          <w:sz w:val="22"/>
        </w:rPr>
        <w:t>Логистика (9–12 мес.)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2"/>
        </w:rPr>
        <w:t>Расчёт объёма и веса заказа для транспортировки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2"/>
        </w:rPr>
        <w:t>Формирование упаковочных и маршрутных листов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2"/>
        </w:rPr>
        <w:t>Интеграция с транспортными компаниями</w:t>
      </w:r>
    </w:p>
    <w:p>
      <w:pPr>
        <w:spacing w:before="160" w:after="60"/>
      </w:pPr>
      <w:r>
        <w:rPr>
          <w:rFonts w:ascii="Calibri" w:hAnsi="Calibri"/>
          <w:b/>
          <w:i w:val="0"/>
          <w:color w:val="16213E"/>
          <w:sz w:val="22"/>
        </w:rPr>
        <w:t>Бухгалтерия и документооборот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2"/>
        </w:rPr>
        <w:t>Счета, накладные, акты — автоматически из спецификации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2"/>
        </w:rPr>
        <w:t>Передача данных в 1С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2"/>
        </w:rPr>
        <w:t>Единый архив проектов и документов</w:t>
      </w:r>
    </w:p>
    <w:p>
      <w:pPr>
        <w:spacing w:before="160" w:after="60"/>
      </w:pPr>
      <w:r>
        <w:rPr>
          <w:rFonts w:ascii="Calibri" w:hAnsi="Calibri"/>
          <w:b/>
          <w:i w:val="0"/>
          <w:color w:val="16213E"/>
          <w:sz w:val="22"/>
        </w:rPr>
        <w:t>Аналитика для руководителя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2"/>
        </w:rPr>
        <w:t>Объём и площадь по заказам в разрезе периодов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2"/>
        </w:rPr>
        <w:t>Статистика по типам панелей, клиентам, объектам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 w:val="0"/>
          <w:i w:val="0"/>
          <w:color w:val="1A1A2E"/>
          <w:sz w:val="22"/>
        </w:rPr>
        <w:t>Воронка: от входящего DWG до выставленного счёта</w:t>
      </w:r>
    </w:p>
    <w:p>
      <w:pPr>
        <w:spacing w:before="360" w:after="120"/>
        <w:pBdr>
          <w:bottom w:val="single" w:sz="4" w:color="0F3C96"/>
        </w:pBdr>
      </w:pPr>
      <w:r>
        <w:rPr>
          <w:rFonts w:ascii="Calibri" w:hAnsi="Calibri"/>
          <w:b/>
          <w:i w:val="0"/>
          <w:color w:val="0F3C96"/>
          <w:sz w:val="32"/>
        </w:rPr>
        <w:t>Следующий шаг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0F4FF"/>
            <w:tcBorders>
              <w:top w:val="none"/>
              <w:right w:val="none"/>
              <w:bottom w:val="none"/>
              <w:left w:val="single" w:sz="24" w:color="0F3C96"/>
            </w:tcBorders>
          </w:tcPr>
          <w:p>
            <w:pPr>
              <w:spacing w:before="120" w:after="120"/>
              <w:ind w:left="227"/>
            </w:pPr>
            <w:r>
              <w:rPr>
                <w:rFonts w:ascii="Calibri" w:hAnsi="Calibri"/>
                <w:b w:val="0"/>
                <w:i/>
                <w:color w:val="16213E"/>
                <w:sz w:val="22"/>
              </w:rPr>
              <w:t>Мы уже разобрали ваши файлы. Готовы провести демо прямо сейчас — показать, как система обрабатывает «Склад готовой продукции» и выдаёт готовую спецификацию за 30 секунд.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Calibri" w:hAnsi="Calibri"/>
          <w:b w:val="0"/>
          <w:i w:val="0"/>
          <w:color w:val="1A1A2E"/>
          <w:sz w:val="22"/>
        </w:rPr>
        <w:t>После демо — договор, предоплата 50%, старт через 2 рабочих дня.</w:t>
      </w:r>
    </w:p>
    <w:p>
      <w:pPr>
        <w:spacing w:before="160"/>
      </w:pPr>
      <w:r>
        <w:rPr>
          <w:rFonts w:ascii="Calibri" w:hAnsi="Calibri"/>
          <w:b/>
          <w:i w:val="0"/>
          <w:color w:val="0F3C96"/>
          <w:sz w:val="26"/>
        </w:rPr>
        <w:t>xteam.pro</w:t>
      </w:r>
    </w:p>
    <w:p>
      <w:pPr>
        <w:spacing w:after="240"/>
      </w:pPr>
    </w:p>
    <w:p>
      <w:pPr>
        <w:jc w:val="center"/>
      </w:pPr>
      <w:r>
        <w:rPr>
          <w:rFonts w:ascii="Calibri" w:hAnsi="Calibri"/>
          <w:b w:val="0"/>
          <w:i/>
          <w:color w:val="555555"/>
          <w:sz w:val="20"/>
        </w:rPr>
        <w:t>XTeam.Pro — автоматизация, которая позволяет расти без роста затрат.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