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A883A" w14:textId="77777777" w:rsidR="00B95851" w:rsidRDefault="00000000">
      <w:pPr>
        <w:pStyle w:val="11"/>
        <w:jc w:val="center"/>
        <w:rPr>
          <w:lang w:eastAsia="zh-CN"/>
        </w:rPr>
      </w:pPr>
      <w:r>
        <w:rPr>
          <w:rFonts w:hint="eastAsia"/>
          <w:lang w:eastAsia="zh-CN"/>
        </w:rPr>
        <w:t>MediArch: A Decision System for Healthcare Architecture Based on Multi-Agent and Knowledge Graph Collaboration</w:t>
      </w:r>
    </w:p>
    <w:p w14:paraId="7158DAEE" w14:textId="77777777" w:rsidR="00B95851" w:rsidRDefault="00000000">
      <w:pPr>
        <w:pStyle w:val="author"/>
        <w:jc w:val="center"/>
        <w:rPr>
          <w:b w:val="0"/>
          <w:bCs/>
          <w:lang w:eastAsia="zh-CN"/>
        </w:rPr>
      </w:pPr>
      <w:r>
        <w:rPr>
          <w:rFonts w:hint="eastAsia"/>
          <w:b w:val="0"/>
          <w:bCs/>
          <w:lang w:eastAsia="zh-CN"/>
        </w:rPr>
        <w:t>Yi Qi</w:t>
      </w:r>
      <w:r>
        <w:rPr>
          <w:rStyle w:val="af1"/>
          <w:b w:val="0"/>
          <w:bCs/>
        </w:rPr>
        <w:footnoteReference w:id="1"/>
      </w:r>
      <w:r>
        <w:rPr>
          <w:rFonts w:hint="eastAsia"/>
          <w:b w:val="0"/>
          <w:bCs/>
          <w:vertAlign w:val="superscript"/>
          <w:lang w:eastAsia="zh-CN"/>
        </w:rPr>
        <w:t>(</w:t>
      </w:r>
      <w:r>
        <w:rPr>
          <w:rFonts w:hint="eastAsia"/>
          <w:b w:val="0"/>
          <w:bCs/>
          <w:vertAlign w:val="superscript"/>
          <w:lang w:eastAsia="zh-CN"/>
        </w:rPr>
        <w:sym w:font="Wingdings" w:char="002A"/>
      </w:r>
      <w:r>
        <w:rPr>
          <w:rFonts w:hint="eastAsia"/>
          <w:b w:val="0"/>
          <w:bCs/>
          <w:vertAlign w:val="superscript"/>
          <w:lang w:eastAsia="zh-CN"/>
        </w:rPr>
        <w:t>)</w:t>
      </w:r>
      <w:r>
        <w:rPr>
          <w:rFonts w:hint="eastAsia"/>
          <w:b w:val="0"/>
          <w:bCs/>
          <w:lang w:eastAsia="zh-CN"/>
        </w:rPr>
        <w:t>, Shi Li Hu</w:t>
      </w:r>
      <w:r>
        <w:rPr>
          <w:rFonts w:hint="eastAsia"/>
          <w:b w:val="0"/>
          <w:bCs/>
          <w:vertAlign w:val="superscript"/>
          <w:lang w:eastAsia="zh-CN"/>
        </w:rPr>
        <w:t>2</w:t>
      </w:r>
      <w:r>
        <w:rPr>
          <w:rFonts w:hint="eastAsia"/>
          <w:b w:val="0"/>
          <w:bCs/>
          <w:lang w:eastAsia="zh-CN"/>
        </w:rPr>
        <w:t>, Yan Na Chen</w:t>
      </w:r>
      <w:r>
        <w:rPr>
          <w:rFonts w:hint="eastAsia"/>
          <w:b w:val="0"/>
          <w:bCs/>
          <w:vertAlign w:val="superscript"/>
          <w:lang w:eastAsia="zh-CN"/>
        </w:rPr>
        <w:t>3</w:t>
      </w:r>
      <w:r>
        <w:rPr>
          <w:rFonts w:hint="eastAsia"/>
          <w:b w:val="0"/>
          <w:bCs/>
          <w:lang w:eastAsia="zh-CN"/>
        </w:rPr>
        <w:t xml:space="preserve">, </w:t>
      </w:r>
      <w:proofErr w:type="spellStart"/>
      <w:r>
        <w:rPr>
          <w:rFonts w:hint="eastAsia"/>
          <w:b w:val="0"/>
          <w:bCs/>
          <w:lang w:eastAsia="zh-CN"/>
        </w:rPr>
        <w:t>Zhuo</w:t>
      </w:r>
      <w:proofErr w:type="spellEnd"/>
      <w:r>
        <w:rPr>
          <w:rFonts w:hint="eastAsia"/>
          <w:b w:val="0"/>
          <w:bCs/>
          <w:lang w:eastAsia="zh-CN"/>
        </w:rPr>
        <w:t xml:space="preserve"> Xuan Zhou</w:t>
      </w:r>
      <w:r>
        <w:rPr>
          <w:rFonts w:hint="eastAsia"/>
          <w:b w:val="0"/>
          <w:bCs/>
          <w:vertAlign w:val="superscript"/>
          <w:lang w:eastAsia="zh-CN"/>
        </w:rPr>
        <w:t>3</w:t>
      </w:r>
      <w:r>
        <w:rPr>
          <w:rFonts w:hint="eastAsia"/>
          <w:b w:val="0"/>
          <w:bCs/>
          <w:lang w:eastAsia="zh-CN"/>
        </w:rPr>
        <w:t>, Si Ning Wang</w:t>
      </w:r>
      <w:r>
        <w:rPr>
          <w:rFonts w:hint="eastAsia"/>
          <w:b w:val="0"/>
          <w:bCs/>
          <w:vertAlign w:val="superscript"/>
          <w:lang w:eastAsia="zh-CN"/>
        </w:rPr>
        <w:t>4</w:t>
      </w:r>
    </w:p>
    <w:p w14:paraId="78D3CFB3" w14:textId="77777777" w:rsidR="00B95851" w:rsidRDefault="00000000">
      <w:pPr>
        <w:ind w:firstLineChars="100" w:firstLine="200"/>
        <w:jc w:val="center"/>
        <w:rPr>
          <w:lang w:eastAsia="zh-CN"/>
        </w:rPr>
      </w:pPr>
      <w:r>
        <w:rPr>
          <w:rFonts w:hint="eastAsia"/>
          <w:vertAlign w:val="superscript"/>
          <w:lang w:eastAsia="zh-CN"/>
        </w:rPr>
        <w:t xml:space="preserve"> </w:t>
      </w:r>
      <w:proofErr w:type="gramStart"/>
      <w:r>
        <w:rPr>
          <w:rFonts w:hint="eastAsia"/>
          <w:vertAlign w:val="superscript"/>
          <w:lang w:eastAsia="zh-CN"/>
        </w:rPr>
        <w:t xml:space="preserve">1  </w:t>
      </w:r>
      <w:r>
        <w:rPr>
          <w:rFonts w:hint="eastAsia"/>
          <w:lang w:eastAsia="zh-CN"/>
        </w:rPr>
        <w:t>School</w:t>
      </w:r>
      <w:proofErr w:type="gramEnd"/>
      <w:r>
        <w:rPr>
          <w:rFonts w:hint="eastAsia"/>
          <w:lang w:eastAsia="zh-CN"/>
        </w:rPr>
        <w:t xml:space="preserve"> of Architecture &amp; Urban Planning, Shenzhen University, 10590, </w:t>
      </w:r>
      <w:proofErr w:type="spellStart"/>
      <w:r>
        <w:rPr>
          <w:rFonts w:hint="eastAsia"/>
          <w:lang w:eastAsia="zh-CN"/>
        </w:rPr>
        <w:t>ShenZhen</w:t>
      </w:r>
      <w:proofErr w:type="spellEnd"/>
      <w:r>
        <w:rPr>
          <w:rFonts w:hint="eastAsia"/>
          <w:lang w:eastAsia="zh-CN"/>
        </w:rPr>
        <w:t>, China</w:t>
      </w:r>
    </w:p>
    <w:p w14:paraId="70D3EDF3" w14:textId="77777777" w:rsidR="00B95851" w:rsidRDefault="00000000">
      <w:pPr>
        <w:ind w:firstLineChars="100" w:firstLine="200"/>
        <w:jc w:val="center"/>
        <w:rPr>
          <w:lang w:eastAsia="zh-CN"/>
        </w:rPr>
      </w:pPr>
      <w:r>
        <w:rPr>
          <w:rFonts w:ascii="Courier New" w:hAnsi="Courier New" w:cs="Courier New"/>
          <w:lang w:eastAsia="zh-CN"/>
        </w:rPr>
        <w:t>qiyi@szu.edu.cn</w:t>
      </w:r>
    </w:p>
    <w:p w14:paraId="0D5C8116" w14:textId="77777777" w:rsidR="00B95851" w:rsidRDefault="00000000">
      <w:pPr>
        <w:ind w:firstLineChars="100" w:firstLine="200"/>
        <w:jc w:val="center"/>
        <w:rPr>
          <w:lang w:eastAsia="zh-CN"/>
        </w:rPr>
      </w:pPr>
      <w:proofErr w:type="gramStart"/>
      <w:r>
        <w:rPr>
          <w:rFonts w:hint="eastAsia"/>
          <w:vertAlign w:val="superscript"/>
          <w:lang w:eastAsia="zh-CN"/>
        </w:rPr>
        <w:t xml:space="preserve">2  </w:t>
      </w:r>
      <w:r>
        <w:rPr>
          <w:lang w:eastAsia="zh-CN"/>
        </w:rPr>
        <w:t>School</w:t>
      </w:r>
      <w:proofErr w:type="gramEnd"/>
      <w:r>
        <w:rPr>
          <w:lang w:eastAsia="zh-CN"/>
        </w:rPr>
        <w:t xml:space="preserve"> of Architecture &amp; Urban Planning, Shenzhen University, 10590, </w:t>
      </w:r>
      <w:proofErr w:type="spellStart"/>
      <w:r>
        <w:rPr>
          <w:lang w:eastAsia="zh-CN"/>
        </w:rPr>
        <w:t>ShenZhen</w:t>
      </w:r>
      <w:proofErr w:type="spellEnd"/>
      <w:r>
        <w:rPr>
          <w:lang w:eastAsia="zh-CN"/>
        </w:rPr>
        <w:t>, China</w:t>
      </w:r>
    </w:p>
    <w:p w14:paraId="30D0DB92" w14:textId="77777777" w:rsidR="00B95851" w:rsidRDefault="00000000">
      <w:pPr>
        <w:ind w:firstLineChars="100" w:firstLine="200"/>
        <w:jc w:val="center"/>
        <w:rPr>
          <w:rFonts w:ascii="Courier New" w:hAnsi="Courier New" w:cs="Courier New"/>
          <w:lang w:eastAsia="zh-CN"/>
        </w:rPr>
      </w:pPr>
      <w:r>
        <w:rPr>
          <w:rFonts w:ascii="Courier New" w:hAnsi="Courier New" w:cs="Courier New" w:hint="eastAsia"/>
          <w:lang w:eastAsia="zh-CN"/>
        </w:rPr>
        <w:t>820643316@qq.com</w:t>
      </w:r>
    </w:p>
    <w:p w14:paraId="57843AD1" w14:textId="77777777" w:rsidR="00B95851" w:rsidRDefault="00000000">
      <w:pPr>
        <w:ind w:firstLineChars="100" w:firstLine="200"/>
        <w:jc w:val="center"/>
        <w:rPr>
          <w:lang w:eastAsia="zh-CN"/>
        </w:rPr>
      </w:pPr>
      <w:proofErr w:type="gramStart"/>
      <w:r>
        <w:rPr>
          <w:rFonts w:hint="eastAsia"/>
          <w:vertAlign w:val="superscript"/>
          <w:lang w:eastAsia="zh-CN"/>
        </w:rPr>
        <w:t xml:space="preserve">3  </w:t>
      </w:r>
      <w:r>
        <w:rPr>
          <w:lang w:eastAsia="zh-CN"/>
        </w:rPr>
        <w:t>School</w:t>
      </w:r>
      <w:proofErr w:type="gramEnd"/>
      <w:r>
        <w:rPr>
          <w:lang w:eastAsia="zh-CN"/>
        </w:rPr>
        <w:t xml:space="preserve"> of Architecture &amp; Urban Planning, Shenzhen University, 10590, </w:t>
      </w:r>
      <w:proofErr w:type="spellStart"/>
      <w:r>
        <w:rPr>
          <w:lang w:eastAsia="zh-CN"/>
        </w:rPr>
        <w:t>ShenZhen</w:t>
      </w:r>
      <w:proofErr w:type="spellEnd"/>
      <w:r>
        <w:rPr>
          <w:lang w:eastAsia="zh-CN"/>
        </w:rPr>
        <w:t>, China</w:t>
      </w:r>
    </w:p>
    <w:p w14:paraId="06D14869" w14:textId="77777777" w:rsidR="00B95851" w:rsidRDefault="00000000">
      <w:pPr>
        <w:ind w:firstLineChars="100" w:firstLine="200"/>
        <w:jc w:val="center"/>
        <w:rPr>
          <w:rFonts w:ascii="Courier New" w:hAnsi="Courier New" w:cs="Courier New"/>
          <w:lang w:eastAsia="zh-CN"/>
        </w:rPr>
      </w:pPr>
      <w:r>
        <w:rPr>
          <w:rFonts w:ascii="Courier New" w:hAnsi="Courier New" w:cs="Courier New"/>
          <w:lang w:eastAsia="zh-CN"/>
        </w:rPr>
        <w:t>1819360462@qq.com</w:t>
      </w:r>
    </w:p>
    <w:p w14:paraId="25D38783" w14:textId="77777777" w:rsidR="00B95851" w:rsidRDefault="00000000">
      <w:pPr>
        <w:ind w:firstLineChars="100" w:firstLine="200"/>
        <w:jc w:val="center"/>
        <w:rPr>
          <w:lang w:eastAsia="zh-CN"/>
        </w:rPr>
      </w:pPr>
      <w:proofErr w:type="gramStart"/>
      <w:r>
        <w:rPr>
          <w:rFonts w:hint="eastAsia"/>
          <w:vertAlign w:val="superscript"/>
          <w:lang w:eastAsia="zh-CN"/>
        </w:rPr>
        <w:t>3</w:t>
      </w:r>
      <w:r>
        <w:rPr>
          <w:vertAlign w:val="superscript"/>
          <w:lang w:eastAsia="zh-CN"/>
        </w:rPr>
        <w:t xml:space="preserve"> </w:t>
      </w:r>
      <w:r>
        <w:rPr>
          <w:rFonts w:hint="eastAsia"/>
          <w:vertAlign w:val="superscript"/>
          <w:lang w:eastAsia="zh-CN"/>
        </w:rPr>
        <w:t xml:space="preserve"> </w:t>
      </w:r>
      <w:r>
        <w:rPr>
          <w:lang w:eastAsia="zh-CN"/>
        </w:rPr>
        <w:t>School</w:t>
      </w:r>
      <w:proofErr w:type="gramEnd"/>
      <w:r>
        <w:rPr>
          <w:lang w:eastAsia="zh-CN"/>
        </w:rPr>
        <w:t xml:space="preserve"> of Architecture &amp; Urban Planning, Shenzhen University, 10590, </w:t>
      </w:r>
      <w:proofErr w:type="spellStart"/>
      <w:r>
        <w:rPr>
          <w:lang w:eastAsia="zh-CN"/>
        </w:rPr>
        <w:t>ShenZhen</w:t>
      </w:r>
      <w:proofErr w:type="spellEnd"/>
      <w:r>
        <w:rPr>
          <w:lang w:eastAsia="zh-CN"/>
        </w:rPr>
        <w:t>, China</w:t>
      </w:r>
    </w:p>
    <w:p w14:paraId="3F027C3D" w14:textId="77777777" w:rsidR="00B95851" w:rsidRDefault="00000000">
      <w:pPr>
        <w:ind w:firstLineChars="100" w:firstLine="200"/>
        <w:jc w:val="center"/>
        <w:rPr>
          <w:rFonts w:ascii="Courier New" w:hAnsi="Courier New" w:cs="Courier New"/>
          <w:lang w:eastAsia="zh-CN"/>
        </w:rPr>
      </w:pPr>
      <w:r>
        <w:rPr>
          <w:rFonts w:ascii="Courier New" w:hAnsi="Courier New" w:cs="Courier New" w:hint="eastAsia"/>
          <w:lang w:eastAsia="zh-CN"/>
        </w:rPr>
        <w:t>1295639966@qq.com</w:t>
      </w:r>
    </w:p>
    <w:p w14:paraId="5D650D38" w14:textId="77777777" w:rsidR="00B95851" w:rsidRDefault="00000000">
      <w:pPr>
        <w:ind w:firstLineChars="100" w:firstLine="200"/>
        <w:jc w:val="center"/>
        <w:rPr>
          <w:lang w:eastAsia="zh-CN"/>
        </w:rPr>
      </w:pPr>
      <w:proofErr w:type="gramStart"/>
      <w:r>
        <w:rPr>
          <w:rFonts w:hint="eastAsia"/>
          <w:vertAlign w:val="superscript"/>
          <w:lang w:eastAsia="zh-CN"/>
        </w:rPr>
        <w:t>4</w:t>
      </w:r>
      <w:r>
        <w:rPr>
          <w:vertAlign w:val="superscript"/>
          <w:lang w:eastAsia="zh-CN"/>
        </w:rPr>
        <w:t xml:space="preserve"> </w:t>
      </w:r>
      <w:r>
        <w:rPr>
          <w:rFonts w:hint="eastAsia"/>
          <w:vertAlign w:val="superscript"/>
          <w:lang w:eastAsia="zh-CN"/>
        </w:rPr>
        <w:t xml:space="preserve"> </w:t>
      </w:r>
      <w:r>
        <w:rPr>
          <w:lang w:eastAsia="zh-CN"/>
        </w:rPr>
        <w:t>School</w:t>
      </w:r>
      <w:proofErr w:type="gramEnd"/>
      <w:r>
        <w:rPr>
          <w:lang w:eastAsia="zh-CN"/>
        </w:rPr>
        <w:t xml:space="preserve"> of Architecture &amp; Urban Planning, Shenzhen University, 10590, </w:t>
      </w:r>
      <w:proofErr w:type="spellStart"/>
      <w:r>
        <w:rPr>
          <w:lang w:eastAsia="zh-CN"/>
        </w:rPr>
        <w:t>ShenZhen</w:t>
      </w:r>
      <w:proofErr w:type="spellEnd"/>
      <w:r>
        <w:rPr>
          <w:lang w:eastAsia="zh-CN"/>
        </w:rPr>
        <w:t>, China</w:t>
      </w:r>
    </w:p>
    <w:p w14:paraId="3E5F302C" w14:textId="12BA9342" w:rsidR="00B95851" w:rsidRDefault="003A55E8" w:rsidP="00B059BF">
      <w:pPr>
        <w:ind w:firstLineChars="100" w:firstLine="200"/>
        <w:jc w:val="center"/>
        <w:rPr>
          <w:rFonts w:ascii="Courier New" w:hAnsi="Courier New" w:cs="Courier New"/>
          <w:lang w:eastAsia="zh-CN"/>
        </w:rPr>
      </w:pPr>
      <w:r w:rsidRPr="003A55E8">
        <w:rPr>
          <w:rFonts w:ascii="Courier New" w:hAnsi="Courier New" w:cs="Courier New" w:hint="eastAsia"/>
          <w:lang w:eastAsia="zh-CN"/>
        </w:rPr>
        <w:t>siningwang@szu.edu.cn</w:t>
      </w:r>
    </w:p>
    <w:p w14:paraId="7972E9C0" w14:textId="77777777" w:rsidR="003A55E8" w:rsidRPr="003A55E8" w:rsidRDefault="003A55E8" w:rsidP="00B059BF">
      <w:pPr>
        <w:ind w:firstLineChars="100" w:firstLine="200"/>
        <w:jc w:val="center"/>
        <w:rPr>
          <w:rFonts w:ascii="Courier New" w:hAnsi="Courier New" w:cs="Courier New" w:hint="eastAsia"/>
          <w:lang w:eastAsia="zh-CN"/>
        </w:rPr>
      </w:pPr>
    </w:p>
    <w:p w14:paraId="64C7E651" w14:textId="7FBEFB96" w:rsidR="00B95851" w:rsidRDefault="00000000">
      <w:pPr>
        <w:ind w:firstLine="0"/>
        <w:rPr>
          <w:lang w:eastAsia="zh-CN"/>
        </w:rPr>
      </w:pPr>
      <w:bookmarkStart w:id="0" w:name="OLE_LINK8"/>
      <w:r>
        <w:rPr>
          <w:b/>
        </w:rPr>
        <w:t>Abstract</w:t>
      </w:r>
      <w:r>
        <w:rPr>
          <w:rFonts w:hint="eastAsia"/>
          <w:b/>
          <w:lang w:eastAsia="zh-CN"/>
        </w:rPr>
        <w:t xml:space="preserve">: </w:t>
      </w:r>
      <w:r w:rsidR="003A55E8" w:rsidRPr="003A55E8">
        <w:rPr>
          <w:bCs/>
        </w:rPr>
        <w:t>Design knowledge reuse lags material circularity in architecture. In healthcare architecture, fragmented regulations and spatial relationships make design reasoning hard to reuse across projects. We present MediArch, a decision-support framework that organizes healthcare design knowledge into a knowledge graph and uses graph-vector retrieval and multi-agent orchestration for evidence-grounded question answering. On a benchmark derived from nine healthcare-architecture documents, MediArch improves evidence grounding, answer accuracy, and response completeness over lexical retrieval and vector-only baselines. The study suggests that structured reuse of design knowledge can support healthcare architecture decision-making</w:t>
      </w:r>
      <w:r>
        <w:rPr>
          <w:rFonts w:hint="eastAsia"/>
          <w:lang w:eastAsia="zh-CN"/>
        </w:rPr>
        <w:t>.</w:t>
      </w:r>
    </w:p>
    <w:p w14:paraId="4A2CDD12" w14:textId="77777777" w:rsidR="003A55E8" w:rsidRPr="003A55E8" w:rsidRDefault="003A55E8">
      <w:pPr>
        <w:ind w:firstLine="0"/>
        <w:rPr>
          <w:lang w:eastAsia="zh-CN"/>
        </w:rPr>
      </w:pPr>
    </w:p>
    <w:bookmarkEnd w:id="0"/>
    <w:p w14:paraId="63DBA590" w14:textId="77777777" w:rsidR="00B95851" w:rsidRDefault="00000000">
      <w:pPr>
        <w:spacing w:after="480"/>
        <w:ind w:firstLine="0"/>
        <w:jc w:val="left"/>
        <w:rPr>
          <w:lang w:val="en-GB" w:eastAsia="en-GB"/>
        </w:rPr>
      </w:pPr>
      <w:r>
        <w:rPr>
          <w:b/>
        </w:rPr>
        <w:t>Keywords:</w:t>
      </w:r>
      <w:r>
        <w:t xml:space="preserve"> </w:t>
      </w:r>
      <w:r>
        <w:rPr>
          <w:lang w:val="en-GB" w:eastAsia="en-GB"/>
        </w:rPr>
        <w:t>Healthcare Architecture</w:t>
      </w:r>
      <w:r>
        <w:rPr>
          <w:lang w:eastAsia="zh-CN"/>
        </w:rPr>
        <w:t xml:space="preserve"> </w:t>
      </w:r>
      <w:r>
        <w:rPr>
          <w:lang w:val="en-GB" w:eastAsia="en-GB"/>
        </w:rPr>
        <w:t>·</w:t>
      </w:r>
      <w:r>
        <w:rPr>
          <w:lang w:eastAsia="zh-CN"/>
        </w:rPr>
        <w:t xml:space="preserve"> </w:t>
      </w:r>
      <w:r>
        <w:rPr>
          <w:lang w:val="en-GB" w:eastAsia="en-GB"/>
        </w:rPr>
        <w:t>Knowledge Graph</w:t>
      </w:r>
      <w:r>
        <w:rPr>
          <w:lang w:eastAsia="zh-CN"/>
        </w:rPr>
        <w:t xml:space="preserve"> </w:t>
      </w:r>
      <w:r>
        <w:rPr>
          <w:lang w:val="en-GB" w:eastAsia="en-GB"/>
        </w:rPr>
        <w:t>·</w:t>
      </w:r>
      <w:r>
        <w:rPr>
          <w:lang w:eastAsia="zh-CN"/>
        </w:rPr>
        <w:t xml:space="preserve"> </w:t>
      </w:r>
      <w:r>
        <w:rPr>
          <w:lang w:val="en-GB" w:eastAsia="en-GB"/>
        </w:rPr>
        <w:t>Multi-Agent Systems</w:t>
      </w:r>
      <w:r>
        <w:rPr>
          <w:lang w:eastAsia="zh-CN"/>
        </w:rPr>
        <w:t xml:space="preserve"> </w:t>
      </w:r>
      <w:r>
        <w:rPr>
          <w:lang w:val="en-GB" w:eastAsia="en-GB"/>
        </w:rPr>
        <w:t>·</w:t>
      </w:r>
      <w:r>
        <w:rPr>
          <w:lang w:eastAsia="zh-CN"/>
        </w:rPr>
        <w:t xml:space="preserve"> </w:t>
      </w:r>
      <w:r>
        <w:rPr>
          <w:lang w:val="en-GB" w:eastAsia="en-GB"/>
        </w:rPr>
        <w:t>Evidence-Based Design Support</w:t>
      </w:r>
    </w:p>
    <w:p w14:paraId="7C6B73FA" w14:textId="77777777" w:rsidR="00B95851" w:rsidRDefault="00000000">
      <w:pPr>
        <w:pStyle w:val="heading1"/>
        <w:rPr>
          <w:lang w:val="en-GB" w:eastAsia="zh-CN"/>
        </w:rPr>
      </w:pPr>
      <w:r>
        <w:rPr>
          <w:rFonts w:hint="eastAsia"/>
          <w:lang w:eastAsia="zh-CN"/>
        </w:rPr>
        <w:lastRenderedPageBreak/>
        <w:t xml:space="preserve">1 </w:t>
      </w:r>
      <w:r>
        <w:rPr>
          <w:rFonts w:hint="eastAsia"/>
          <w:lang w:val="en-GB" w:eastAsia="en-GB"/>
        </w:rPr>
        <w:t>Introduction</w:t>
      </w:r>
    </w:p>
    <w:p w14:paraId="414D48E3" w14:textId="77777777" w:rsidR="00B95851" w:rsidRDefault="00000000">
      <w:pPr>
        <w:rPr>
          <w:lang w:val="en-GB" w:eastAsia="zh-CN"/>
        </w:rPr>
      </w:pPr>
      <w:r>
        <w:rPr>
          <w:rFonts w:hint="eastAsia"/>
          <w:lang w:val="en-GB" w:eastAsia="zh-CN"/>
        </w:rPr>
        <w:t xml:space="preserve">Within the paradigm of Circular Intelligence, built-environment research has focused more on material circularity than on the reuse of design knowledge </w:t>
      </w:r>
      <w:r>
        <w:rPr>
          <w:lang w:val="en-GB" w:eastAsia="zh-CN"/>
        </w:rPr>
        <w:t>[</w:t>
      </w:r>
      <w:r>
        <w:rPr>
          <w:color w:val="0000FF"/>
          <w:lang w:val="en-GB" w:eastAsia="zh-CN"/>
        </w:rPr>
        <w:fldChar w:fldCharType="begin"/>
      </w:r>
      <w:r>
        <w:rPr>
          <w:color w:val="0000FF"/>
          <w:lang w:val="en-GB" w:eastAsia="zh-CN"/>
        </w:rPr>
        <w:instrText xml:space="preserve"> REF _Ref22119 \r \h  \* MERGEFORMAT </w:instrText>
      </w:r>
      <w:r>
        <w:rPr>
          <w:color w:val="0000FF"/>
          <w:lang w:val="en-GB" w:eastAsia="zh-CN"/>
        </w:rPr>
      </w:r>
      <w:r>
        <w:rPr>
          <w:color w:val="0000FF"/>
          <w:lang w:val="en-GB" w:eastAsia="zh-CN"/>
        </w:rPr>
        <w:fldChar w:fldCharType="separate"/>
      </w:r>
      <w:r>
        <w:rPr>
          <w:color w:val="0000FF"/>
          <w:lang w:val="en-GB" w:eastAsia="zh-CN"/>
        </w:rPr>
        <w:t>1</w:t>
      </w:r>
      <w:r>
        <w:rPr>
          <w:color w:val="0000FF"/>
          <w:lang w:val="en-GB" w:eastAsia="zh-CN"/>
        </w:rPr>
        <w:fldChar w:fldCharType="end"/>
      </w:r>
      <w:r>
        <w:rPr>
          <w:rFonts w:hint="eastAsia"/>
          <w:lang w:val="en-GB" w:eastAsia="zh-CN"/>
        </w:rPr>
        <w:t>,</w:t>
      </w:r>
      <w:r>
        <w:rPr>
          <w:color w:val="0000FF"/>
          <w:lang w:val="en-GB" w:eastAsia="zh-CN"/>
        </w:rPr>
        <w:fldChar w:fldCharType="begin"/>
      </w:r>
      <w:r>
        <w:instrText xml:space="preserve"> REF _Ref225770451 \n \h  \* MERGEFORMAT</w:instrText>
      </w:r>
      <w:r>
        <w:rPr>
          <w:color w:val="0000FF"/>
          <w:lang w:val="en-GB" w:eastAsia="zh-CN"/>
        </w:rPr>
      </w:r>
      <w:r>
        <w:rPr>
          <w:color w:val="0000FF"/>
          <w:lang w:val="en-GB" w:eastAsia="zh-CN"/>
        </w:rPr>
        <w:fldChar w:fldCharType="separate"/>
      </w:r>
      <w:r>
        <w:rPr>
          <w:color w:val="0000FF"/>
          <w:lang w:val="en-GB" w:eastAsia="zh-CN"/>
        </w:rPr>
        <w:t>2</w:t>
      </w:r>
      <w:r>
        <w:rPr>
          <w:color w:val="0000FF"/>
          <w:lang w:val="en-GB" w:eastAsia="zh-CN"/>
        </w:rPr>
        <w:fldChar w:fldCharType="end"/>
      </w:r>
      <w:r>
        <w:rPr>
          <w:lang w:val="en-GB" w:eastAsia="zh-CN"/>
        </w:rPr>
        <w:t>]</w:t>
      </w:r>
      <w:r>
        <w:rPr>
          <w:rFonts w:hint="eastAsia"/>
          <w:lang w:val="en-GB" w:eastAsia="zh-CN"/>
        </w:rPr>
        <w:t xml:space="preserve">. We refer to this gap as Intellectual Circularity: the systematic capture and reuse of design expertise across project lifecycles </w:t>
      </w:r>
      <w:r>
        <w:rPr>
          <w:lang w:val="en-GB" w:eastAsia="zh-CN"/>
        </w:rPr>
        <w:t>[</w:t>
      </w:r>
      <w:r>
        <w:rPr>
          <w:color w:val="0000FF"/>
          <w:lang w:val="en-GB" w:eastAsia="zh-CN"/>
        </w:rPr>
        <w:fldChar w:fldCharType="begin"/>
      </w:r>
      <w:r>
        <w:rPr>
          <w:color w:val="0000FF"/>
          <w:lang w:val="en-GB" w:eastAsia="zh-CN"/>
        </w:rPr>
        <w:instrText xml:space="preserve"> REF _Ref225771725 \r \h  \* MERGEFORMAT </w:instrText>
      </w:r>
      <w:r>
        <w:rPr>
          <w:color w:val="0000FF"/>
          <w:lang w:val="en-GB" w:eastAsia="zh-CN"/>
        </w:rPr>
      </w:r>
      <w:r>
        <w:rPr>
          <w:color w:val="0000FF"/>
          <w:lang w:val="en-GB" w:eastAsia="zh-CN"/>
        </w:rPr>
        <w:fldChar w:fldCharType="separate"/>
      </w:r>
      <w:r>
        <w:rPr>
          <w:color w:val="0000FF"/>
          <w:lang w:val="en-GB" w:eastAsia="zh-CN"/>
        </w:rPr>
        <w:t>3</w:t>
      </w:r>
      <w:r>
        <w:rPr>
          <w:color w:val="0000FF"/>
          <w:lang w:val="en-GB" w:eastAsia="zh-CN"/>
        </w:rPr>
        <w:fldChar w:fldCharType="end"/>
      </w:r>
      <w:r>
        <w:rPr>
          <w:lang w:val="en-GB" w:eastAsia="zh-CN"/>
        </w:rPr>
        <w:t>]</w:t>
      </w:r>
      <w:r>
        <w:rPr>
          <w:rFonts w:hint="eastAsia"/>
          <w:lang w:val="en-GB" w:eastAsia="zh-CN"/>
        </w:rPr>
        <w:t xml:space="preserve">. The challenge is particularly evident in healthcare architecture, where design decisions must coordinate clinical, spatial, and safety requirements, while existing AI applications remain fragmented and fail to support reusable design logic </w:t>
      </w:r>
      <w:r>
        <w:rPr>
          <w:lang w:val="en-GB" w:eastAsia="zh-CN"/>
        </w:rPr>
        <w:t>[</w:t>
      </w:r>
      <w:r>
        <w:rPr>
          <w:color w:val="0000FF"/>
          <w:lang w:val="en-GB" w:eastAsia="zh-CN"/>
        </w:rPr>
        <w:fldChar w:fldCharType="begin"/>
      </w:r>
      <w:r>
        <w:rPr>
          <w:color w:val="0000FF"/>
          <w:lang w:val="en-GB" w:eastAsia="zh-CN"/>
        </w:rPr>
        <w:instrText xml:space="preserve"> REF _Ref225195752 \r \h </w:instrText>
      </w:r>
      <w:r>
        <w:rPr>
          <w:color w:val="0000FF"/>
          <w:lang w:val="en-GB" w:eastAsia="zh-CN"/>
        </w:rPr>
      </w:r>
      <w:r>
        <w:rPr>
          <w:color w:val="0000FF"/>
          <w:lang w:val="en-GB" w:eastAsia="zh-CN"/>
        </w:rPr>
        <w:fldChar w:fldCharType="separate"/>
      </w:r>
      <w:r>
        <w:rPr>
          <w:color w:val="0000FF"/>
          <w:lang w:val="en-GB" w:eastAsia="zh-CN"/>
        </w:rPr>
        <w:t>4</w:t>
      </w:r>
      <w:r>
        <w:rPr>
          <w:color w:val="0000FF"/>
          <w:lang w:val="en-GB" w:eastAsia="zh-CN"/>
        </w:rPr>
        <w:fldChar w:fldCharType="end"/>
      </w:r>
      <w:r>
        <w:rPr>
          <w:rFonts w:hint="eastAsia"/>
          <w:color w:val="0000FF"/>
          <w:lang w:val="en-GB" w:eastAsia="zh-CN"/>
        </w:rPr>
        <w:t>-</w:t>
      </w:r>
      <w:r>
        <w:rPr>
          <w:color w:val="0000FF"/>
          <w:lang w:val="en-GB" w:eastAsia="zh-CN"/>
        </w:rPr>
        <w:fldChar w:fldCharType="begin"/>
      </w:r>
      <w:r>
        <w:rPr>
          <w:color w:val="0000FF"/>
          <w:lang w:val="en-GB" w:eastAsia="zh-CN"/>
        </w:rPr>
        <w:instrText xml:space="preserve"> </w:instrText>
      </w:r>
      <w:r>
        <w:rPr>
          <w:rFonts w:hint="eastAsia"/>
          <w:color w:val="0000FF"/>
          <w:lang w:val="en-GB" w:eastAsia="zh-CN"/>
        </w:rPr>
        <w:instrText>REF _Ref225195778 \r \h</w:instrText>
      </w:r>
      <w:r>
        <w:rPr>
          <w:color w:val="0000FF"/>
          <w:lang w:val="en-GB" w:eastAsia="zh-CN"/>
        </w:rPr>
        <w:instrText xml:space="preserve"> </w:instrText>
      </w:r>
      <w:r>
        <w:rPr>
          <w:color w:val="0000FF"/>
          <w:lang w:val="en-GB" w:eastAsia="zh-CN"/>
        </w:rPr>
      </w:r>
      <w:r>
        <w:rPr>
          <w:color w:val="0000FF"/>
          <w:lang w:val="en-GB" w:eastAsia="zh-CN"/>
        </w:rPr>
        <w:fldChar w:fldCharType="separate"/>
      </w:r>
      <w:r>
        <w:rPr>
          <w:color w:val="0000FF"/>
          <w:lang w:val="en-GB" w:eastAsia="zh-CN"/>
        </w:rPr>
        <w:t>6</w:t>
      </w:r>
      <w:r>
        <w:rPr>
          <w:color w:val="0000FF"/>
          <w:lang w:val="en-GB" w:eastAsia="zh-CN"/>
        </w:rPr>
        <w:fldChar w:fldCharType="end"/>
      </w:r>
      <w:r>
        <w:rPr>
          <w:lang w:val="en-GB" w:eastAsia="zh-CN"/>
        </w:rPr>
        <w:t>]</w:t>
      </w:r>
      <w:r>
        <w:rPr>
          <w:rFonts w:hint="eastAsia"/>
          <w:lang w:val="en-GB" w:eastAsia="zh-CN"/>
        </w:rPr>
        <w:t>.</w:t>
      </w:r>
    </w:p>
    <w:p w14:paraId="4CF20B19" w14:textId="77777777" w:rsidR="00B95851" w:rsidRDefault="00000000">
      <w:pPr>
        <w:rPr>
          <w:lang w:val="en-GB" w:eastAsia="zh-CN"/>
        </w:rPr>
      </w:pPr>
      <w:r>
        <w:rPr>
          <w:rFonts w:hint="eastAsia"/>
          <w:lang w:val="en-GB" w:eastAsia="zh-CN"/>
        </w:rPr>
        <w:t xml:space="preserve">Recent advances in LLMs, knowledge graphs, RAG, and multi-agent systems provide new opportunities for structured knowledge reuse </w:t>
      </w:r>
      <w:r>
        <w:rPr>
          <w:lang w:val="en-GB" w:eastAsia="zh-CN"/>
        </w:rPr>
        <w:t>[</w:t>
      </w:r>
      <w:r>
        <w:rPr>
          <w:color w:val="0000FF"/>
          <w:lang w:val="en-GB" w:eastAsia="zh-CN"/>
        </w:rPr>
        <w:fldChar w:fldCharType="begin"/>
      </w:r>
      <w:r>
        <w:rPr>
          <w:color w:val="0000FF"/>
          <w:lang w:val="en-GB" w:eastAsia="zh-CN"/>
        </w:rPr>
        <w:instrText xml:space="preserve"> REF _Ref225195788 \r \h </w:instrText>
      </w:r>
      <w:r>
        <w:rPr>
          <w:color w:val="0000FF"/>
          <w:lang w:val="en-GB" w:eastAsia="zh-CN"/>
        </w:rPr>
      </w:r>
      <w:r>
        <w:rPr>
          <w:color w:val="0000FF"/>
          <w:lang w:val="en-GB" w:eastAsia="zh-CN"/>
        </w:rPr>
        <w:fldChar w:fldCharType="separate"/>
      </w:r>
      <w:r>
        <w:rPr>
          <w:color w:val="0000FF"/>
          <w:lang w:val="en-GB" w:eastAsia="zh-CN"/>
        </w:rPr>
        <w:t>7</w:t>
      </w:r>
      <w:r>
        <w:rPr>
          <w:color w:val="0000FF"/>
          <w:lang w:val="en-GB" w:eastAsia="zh-CN"/>
        </w:rPr>
        <w:fldChar w:fldCharType="end"/>
      </w:r>
      <w:r>
        <w:rPr>
          <w:rFonts w:hint="eastAsia"/>
          <w:lang w:val="en-GB" w:eastAsia="zh-CN"/>
        </w:rPr>
        <w:t>,</w:t>
      </w:r>
      <w:r>
        <w:rPr>
          <w:color w:val="0000FF"/>
          <w:lang w:val="en-GB" w:eastAsia="zh-CN"/>
        </w:rPr>
        <w:fldChar w:fldCharType="begin"/>
      </w:r>
      <w:r>
        <w:rPr>
          <w:color w:val="0000FF"/>
          <w:lang w:val="en-GB" w:eastAsia="zh-CN"/>
        </w:rPr>
        <w:instrText xml:space="preserve"> </w:instrText>
      </w:r>
      <w:r>
        <w:rPr>
          <w:rFonts w:hint="eastAsia"/>
          <w:color w:val="0000FF"/>
          <w:lang w:val="en-GB" w:eastAsia="zh-CN"/>
        </w:rPr>
        <w:instrText>REF _Ref225195792 \r \h</w:instrText>
      </w:r>
      <w:r>
        <w:rPr>
          <w:color w:val="0000FF"/>
          <w:lang w:val="en-GB" w:eastAsia="zh-CN"/>
        </w:rPr>
        <w:instrText xml:space="preserve"> </w:instrText>
      </w:r>
      <w:r>
        <w:rPr>
          <w:color w:val="0000FF"/>
          <w:lang w:val="en-GB" w:eastAsia="zh-CN"/>
        </w:rPr>
      </w:r>
      <w:r>
        <w:rPr>
          <w:color w:val="0000FF"/>
          <w:lang w:val="en-GB" w:eastAsia="zh-CN"/>
        </w:rPr>
        <w:fldChar w:fldCharType="separate"/>
      </w:r>
      <w:r>
        <w:rPr>
          <w:color w:val="0000FF"/>
          <w:lang w:val="en-GB" w:eastAsia="zh-CN"/>
        </w:rPr>
        <w:t>8</w:t>
      </w:r>
      <w:r>
        <w:rPr>
          <w:color w:val="0000FF"/>
          <w:lang w:val="en-GB" w:eastAsia="zh-CN"/>
        </w:rPr>
        <w:fldChar w:fldCharType="end"/>
      </w:r>
      <w:r>
        <w:rPr>
          <w:lang w:val="en-GB" w:eastAsia="zh-CN"/>
        </w:rPr>
        <w:t>]</w:t>
      </w:r>
      <w:r>
        <w:rPr>
          <w:rFonts w:hint="eastAsia"/>
          <w:lang w:val="en-GB" w:eastAsia="zh-CN"/>
        </w:rPr>
        <w:t>. Existing studies have demonstrated hybrid RAG frameworks for building engineering knowledge management and multi-agent KG-RAG frameworks in other engineering domains [</w:t>
      </w:r>
      <w:r>
        <w:rPr>
          <w:rFonts w:hint="eastAsia"/>
          <w:color w:val="0000FF"/>
          <w:lang w:val="en-GB" w:eastAsia="zh-CN"/>
        </w:rPr>
        <w:fldChar w:fldCharType="begin"/>
      </w:r>
      <w:r>
        <w:instrText xml:space="preserve"> REF _Ref225195805 \r \h  \* MERGEFORMAT</w:instrText>
      </w:r>
      <w:r>
        <w:rPr>
          <w:rFonts w:hint="eastAsia"/>
          <w:color w:val="0000FF"/>
          <w:lang w:val="en-GB" w:eastAsia="zh-CN"/>
        </w:rPr>
      </w:r>
      <w:r>
        <w:rPr>
          <w:rFonts w:hint="eastAsia"/>
          <w:color w:val="0000FF"/>
          <w:lang w:val="en-GB" w:eastAsia="zh-CN"/>
        </w:rPr>
        <w:fldChar w:fldCharType="separate"/>
      </w:r>
      <w:r>
        <w:rPr>
          <w:rFonts w:hint="eastAsia"/>
          <w:color w:val="0000FF"/>
          <w:lang w:val="en-GB" w:eastAsia="zh-CN"/>
        </w:rPr>
        <w:t>9</w:t>
      </w:r>
      <w:r>
        <w:rPr>
          <w:rFonts w:hint="eastAsia"/>
          <w:color w:val="0000FF"/>
          <w:lang w:val="en-GB" w:eastAsia="zh-CN"/>
        </w:rPr>
        <w:fldChar w:fldCharType="end"/>
      </w:r>
      <w:r>
        <w:rPr>
          <w:rFonts w:hint="eastAsia"/>
          <w:lang w:val="en-GB" w:eastAsia="zh-CN"/>
        </w:rPr>
        <w:t>-</w:t>
      </w:r>
      <w:r>
        <w:rPr>
          <w:rFonts w:hint="eastAsia"/>
          <w:color w:val="0000FF"/>
          <w:lang w:val="en-GB" w:eastAsia="zh-CN"/>
        </w:rPr>
        <w:fldChar w:fldCharType="begin"/>
      </w:r>
      <w:r>
        <w:instrText xml:space="preserve"> REF _Ref225195887 \r \h  \* MERGEFORMAT</w:instrText>
      </w:r>
      <w:r>
        <w:rPr>
          <w:rFonts w:hint="eastAsia"/>
          <w:color w:val="0000FF"/>
          <w:lang w:val="en-GB" w:eastAsia="zh-CN"/>
        </w:rPr>
      </w:r>
      <w:r>
        <w:rPr>
          <w:rFonts w:hint="eastAsia"/>
          <w:color w:val="0000FF"/>
          <w:lang w:val="en-GB" w:eastAsia="zh-CN"/>
        </w:rPr>
        <w:fldChar w:fldCharType="separate"/>
      </w:r>
      <w:r>
        <w:rPr>
          <w:rFonts w:hint="eastAsia"/>
          <w:color w:val="0000FF"/>
          <w:lang w:val="en-GB" w:eastAsia="zh-CN"/>
        </w:rPr>
        <w:t>15</w:t>
      </w:r>
      <w:r>
        <w:rPr>
          <w:rFonts w:hint="eastAsia"/>
          <w:color w:val="0000FF"/>
          <w:lang w:val="en-GB" w:eastAsia="zh-CN"/>
        </w:rPr>
        <w:fldChar w:fldCharType="end"/>
      </w:r>
      <w:r>
        <w:rPr>
          <w:rFonts w:hint="eastAsia"/>
          <w:lang w:val="en-GB" w:eastAsia="zh-CN"/>
        </w:rPr>
        <w:t xml:space="preserve">]. However, these studies are not primarily designed for healthcare architectural decision-making, where clause-level regulatory evidence, spatial-functional dependencies, and source-level provenance need to be jointly represented. To address this gap, we propose MediArch, a decision-support framework whose overall architecture is shown in </w:t>
      </w:r>
      <w:r>
        <w:rPr>
          <w:szCs w:val="24"/>
          <w:lang w:val="en-GB" w:eastAsia="zh-CN"/>
        </w:rPr>
        <w:fldChar w:fldCharType="begin"/>
      </w:r>
      <w:r>
        <w:rPr>
          <w:szCs w:val="24"/>
          <w:lang w:val="en-GB" w:eastAsia="zh-CN"/>
        </w:rPr>
        <w:instrText xml:space="preserve"> </w:instrText>
      </w:r>
      <w:r>
        <w:rPr>
          <w:rFonts w:hint="eastAsia"/>
          <w:szCs w:val="24"/>
          <w:lang w:val="en-GB" w:eastAsia="zh-CN"/>
        </w:rPr>
        <w:instrText>REF _Ref224841125 \h</w:instrText>
      </w:r>
      <w:r>
        <w:rPr>
          <w:szCs w:val="24"/>
          <w:lang w:val="en-GB" w:eastAsia="zh-CN"/>
        </w:rPr>
        <w:instrText xml:space="preserve">  \* MERGEFORMAT </w:instrText>
      </w:r>
      <w:r>
        <w:rPr>
          <w:szCs w:val="24"/>
          <w:lang w:val="en-GB" w:eastAsia="zh-CN"/>
        </w:rPr>
      </w:r>
      <w:r>
        <w:rPr>
          <w:szCs w:val="24"/>
          <w:lang w:val="en-GB" w:eastAsia="zh-CN"/>
        </w:rPr>
        <w:fldChar w:fldCharType="separate"/>
      </w:r>
      <w:r>
        <w:rPr>
          <w:szCs w:val="24"/>
          <w:lang w:bidi="ar"/>
        </w:rPr>
        <w:t xml:space="preserve">Fig. </w:t>
      </w:r>
      <w:r>
        <w:rPr>
          <w:color w:val="0000FF"/>
          <w:szCs w:val="24"/>
          <w:lang w:val="en-GB" w:eastAsia="en-GB"/>
        </w:rPr>
        <w:t>1</w:t>
      </w:r>
      <w:r>
        <w:rPr>
          <w:color w:val="0000FF"/>
          <w:szCs w:val="24"/>
          <w:lang w:val="en-GB" w:eastAsia="en-GB"/>
        </w:rPr>
        <w:fldChar w:fldCharType="end"/>
      </w:r>
      <w:r>
        <w:rPr>
          <w:rFonts w:hint="eastAsia"/>
          <w:lang w:val="en-GB" w:eastAsia="zh-CN"/>
        </w:rPr>
        <w:t>. By structuring, retrieving, and reusing evidence across heterogeneous sources, MediArch suggests a practical pathway toward intellectual circularity in healthcare architecture and contributes to SDG 9 and SDG 12 by supporting digital knowledge infrastructure and reducing redundant verification effort in architectural decision-making.</w:t>
      </w:r>
    </w:p>
    <w:p w14:paraId="7CA0A7BA" w14:textId="77777777" w:rsidR="00B95851" w:rsidRDefault="00B95851">
      <w:pPr>
        <w:rPr>
          <w:lang w:val="en-GB" w:eastAsia="zh-CN"/>
        </w:rPr>
      </w:pPr>
    </w:p>
    <w:p w14:paraId="3A4F8F1E" w14:textId="2774E2C6" w:rsidR="00B95851" w:rsidRDefault="00B059BF">
      <w:pPr>
        <w:ind w:left="1000" w:hangingChars="500" w:hanging="1000"/>
        <w:rPr>
          <w:lang w:eastAsia="zh-CN"/>
        </w:rPr>
      </w:pPr>
      <w:r>
        <w:rPr>
          <w:noProof/>
          <w:lang w:eastAsia="zh-CN"/>
        </w:rPr>
        <w:drawing>
          <wp:inline distT="0" distB="0" distL="0" distR="0" wp14:anchorId="4A2C8C49" wp14:editId="0C10859F">
            <wp:extent cx="4194252" cy="1459523"/>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rotWithShape="1">
                    <a:blip r:embed="rId8" cstate="print">
                      <a:extLst>
                        <a:ext uri="{28A0092B-C50C-407E-A947-70E740481C1C}">
                          <a14:useLocalDpi xmlns:a14="http://schemas.microsoft.com/office/drawing/2010/main" val="0"/>
                        </a:ext>
                      </a:extLst>
                    </a:blip>
                    <a:srcRect l="2505" t="21030" r="3115" b="20582"/>
                    <a:stretch/>
                  </pic:blipFill>
                  <pic:spPr bwMode="auto">
                    <a:xfrm>
                      <a:off x="0" y="0"/>
                      <a:ext cx="4250628" cy="1479141"/>
                    </a:xfrm>
                    <a:prstGeom prst="rect">
                      <a:avLst/>
                    </a:prstGeom>
                    <a:ln>
                      <a:noFill/>
                    </a:ln>
                    <a:extLst>
                      <a:ext uri="{53640926-AAD7-44D8-BBD7-CCE9431645EC}">
                        <a14:shadowObscured xmlns:a14="http://schemas.microsoft.com/office/drawing/2010/main"/>
                      </a:ext>
                    </a:extLst>
                  </pic:spPr>
                </pic:pic>
              </a:graphicData>
            </a:graphic>
          </wp:inline>
        </w:drawing>
      </w:r>
    </w:p>
    <w:p w14:paraId="1932582E" w14:textId="77777777" w:rsidR="00B95851" w:rsidRDefault="00000000">
      <w:pPr>
        <w:pStyle w:val="a3"/>
        <w:ind w:firstLine="0"/>
        <w:jc w:val="center"/>
        <w:rPr>
          <w:rFonts w:ascii="Times" w:eastAsia="宋体" w:hAnsi="Times"/>
          <w:lang w:eastAsia="de-DE" w:bidi="ar"/>
        </w:rPr>
      </w:pPr>
      <w:bookmarkStart w:id="1" w:name="_Ref224841125"/>
      <w:r>
        <w:rPr>
          <w:rFonts w:ascii="Times" w:eastAsia="宋体" w:hAnsi="Times"/>
          <w:b/>
          <w:bCs/>
          <w:lang w:eastAsia="de-DE" w:bidi="ar"/>
        </w:rPr>
        <w:t xml:space="preserve">Fig. </w:t>
      </w:r>
      <w:r>
        <w:rPr>
          <w:rFonts w:ascii="Times" w:eastAsia="宋体" w:hAnsi="Times"/>
          <w:b/>
          <w:bCs/>
          <w:lang w:eastAsia="de-DE" w:bidi="ar"/>
        </w:rPr>
        <w:fldChar w:fldCharType="begin"/>
      </w:r>
      <w:r>
        <w:rPr>
          <w:rFonts w:ascii="Times" w:eastAsia="宋体" w:hAnsi="Times"/>
          <w:b/>
          <w:bCs/>
          <w:lang w:eastAsia="de-DE" w:bidi="ar"/>
        </w:rPr>
        <w:instrText xml:space="preserve"> SEQ Fig. \* ARABIC </w:instrText>
      </w:r>
      <w:r>
        <w:rPr>
          <w:rFonts w:ascii="Times" w:eastAsia="宋体" w:hAnsi="Times"/>
          <w:b/>
          <w:bCs/>
          <w:lang w:eastAsia="de-DE" w:bidi="ar"/>
        </w:rPr>
        <w:fldChar w:fldCharType="separate"/>
      </w:r>
      <w:r>
        <w:rPr>
          <w:rFonts w:ascii="Times" w:eastAsia="宋体" w:hAnsi="Times"/>
          <w:b/>
          <w:bCs/>
          <w:lang w:eastAsia="de-DE" w:bidi="ar"/>
        </w:rPr>
        <w:t>1</w:t>
      </w:r>
      <w:r>
        <w:rPr>
          <w:rFonts w:ascii="Times" w:eastAsia="宋体" w:hAnsi="Times"/>
          <w:b/>
          <w:bCs/>
          <w:lang w:eastAsia="de-DE" w:bidi="ar"/>
        </w:rPr>
        <w:fldChar w:fldCharType="end"/>
      </w:r>
      <w:bookmarkStart w:id="2" w:name="_Ref958"/>
      <w:bookmarkEnd w:id="1"/>
      <w:r>
        <w:rPr>
          <w:rFonts w:ascii="Times" w:eastAsia="宋体" w:hAnsi="Times" w:hint="eastAsia"/>
          <w:lang w:bidi="ar"/>
        </w:rPr>
        <w:t xml:space="preserve"> </w:t>
      </w:r>
      <w:bookmarkEnd w:id="2"/>
      <w:r>
        <w:rPr>
          <w:rFonts w:ascii="Times" w:eastAsia="宋体" w:hAnsi="Times"/>
          <w:lang w:eastAsia="de-DE" w:bidi="ar"/>
        </w:rPr>
        <w:t>Overall architecture of the MediArch framework</w:t>
      </w:r>
    </w:p>
    <w:p w14:paraId="3B6D8DDD" w14:textId="77777777" w:rsidR="00B95851" w:rsidRDefault="00000000">
      <w:pPr>
        <w:pStyle w:val="heading1"/>
        <w:rPr>
          <w:lang w:eastAsia="zh-CN"/>
        </w:rPr>
      </w:pPr>
      <w:bookmarkStart w:id="3" w:name="OLE_LINK1"/>
      <w:bookmarkStart w:id="4" w:name="OLE_LINK2"/>
      <w:proofErr w:type="gramStart"/>
      <w:r>
        <w:rPr>
          <w:rFonts w:hint="eastAsia"/>
          <w:lang w:eastAsia="zh-CN"/>
        </w:rPr>
        <w:t xml:space="preserve">2 </w:t>
      </w:r>
      <w:r>
        <w:rPr>
          <w:lang w:eastAsia="zh-CN"/>
        </w:rPr>
        <w:t xml:space="preserve"> Methodology</w:t>
      </w:r>
      <w:proofErr w:type="gramEnd"/>
    </w:p>
    <w:p w14:paraId="74E8371E" w14:textId="77777777" w:rsidR="00B95851" w:rsidRDefault="00000000">
      <w:pPr>
        <w:ind w:firstLine="0"/>
        <w:rPr>
          <w:lang w:eastAsia="zh-CN"/>
        </w:rPr>
      </w:pPr>
      <w:r>
        <w:rPr>
          <w:lang w:eastAsia="zh-CN"/>
        </w:rPr>
        <w:t xml:space="preserve">This section introduces the two core components of MediArch: a schema-guided knowledge engineering pipeline that transforms heterogeneous healthcare design documents into a structured, </w:t>
      </w:r>
      <w:proofErr w:type="spellStart"/>
      <w:r>
        <w:rPr>
          <w:lang w:eastAsia="zh-CN"/>
        </w:rPr>
        <w:t>queryable</w:t>
      </w:r>
      <w:proofErr w:type="spellEnd"/>
      <w:r>
        <w:rPr>
          <w:lang w:eastAsia="zh-CN"/>
        </w:rPr>
        <w:t xml:space="preserve"> knowledge graph, and an Orchestrator-Worker multi-agent retrieval architecture that combines symbolic graph reasoning with neural semantic retrieval for design decision support</w:t>
      </w:r>
      <w:r>
        <w:rPr>
          <w:rFonts w:hint="eastAsia"/>
          <w:lang w:eastAsia="zh-CN"/>
        </w:rPr>
        <w:t>.</w:t>
      </w:r>
    </w:p>
    <w:bookmarkEnd w:id="3"/>
    <w:p w14:paraId="0B975FF4" w14:textId="77777777" w:rsidR="00B95851" w:rsidRDefault="00000000">
      <w:pPr>
        <w:pStyle w:val="heading2"/>
        <w:contextualSpacing/>
        <w:rPr>
          <w:lang w:val="en-GB" w:eastAsia="en-GB"/>
        </w:rPr>
      </w:pPr>
      <w:r>
        <w:rPr>
          <w:rFonts w:hint="eastAsia"/>
          <w:lang w:eastAsia="zh-CN"/>
        </w:rPr>
        <w:lastRenderedPageBreak/>
        <w:t>2</w:t>
      </w:r>
      <w:r>
        <w:rPr>
          <w:rFonts w:hint="eastAsia"/>
          <w:lang w:val="en-GB" w:eastAsia="en-GB"/>
        </w:rPr>
        <w:t>.1 Knowledge Engineering Pipeline</w:t>
      </w:r>
    </w:p>
    <w:p w14:paraId="4948D667" w14:textId="77777777" w:rsidR="00B95851" w:rsidRDefault="00000000">
      <w:pPr>
        <w:pStyle w:val="p1a"/>
        <w:rPr>
          <w:lang w:val="en-GB" w:eastAsia="zh-CN"/>
        </w:rPr>
      </w:pPr>
      <w:r>
        <w:rPr>
          <w:lang w:val="en-GB" w:eastAsia="zh-CN"/>
        </w:rPr>
        <w:t>Healthcare design knowledge is scattered across regulations, manuals, and reports, with the same concept often expressed under different names and levels of granularity. MediArch therefore adopts a schema-guided pipeline grounded in a domain ontology for healthcare architecture. The pipeline consists of four stages: multi-round entity-attribute extraction, evidence-aggregated relation extraction, hybrid rule-LLM triple optimization, and cross-document entity disambiguation with latent relation discovery</w:t>
      </w:r>
      <w:r>
        <w:rPr>
          <w:rFonts w:hint="eastAsia"/>
          <w:lang w:val="en-GB" w:eastAsia="zh-CN"/>
        </w:rPr>
        <w:t xml:space="preserve"> (</w:t>
      </w:r>
      <w:r>
        <w:rPr>
          <w:color w:val="0000FF"/>
          <w:lang w:val="en-GB" w:eastAsia="en-GB"/>
        </w:rPr>
        <w:fldChar w:fldCharType="begin"/>
      </w:r>
      <w:r>
        <w:rPr>
          <w:color w:val="0000FF"/>
          <w:lang w:val="en-GB" w:eastAsia="en-GB"/>
        </w:rPr>
        <w:instrText xml:space="preserve"> REF _Ref224841332 \h  \* MERGEFORMAT </w:instrText>
      </w:r>
      <w:r>
        <w:rPr>
          <w:color w:val="0000FF"/>
          <w:lang w:val="en-GB" w:eastAsia="en-GB"/>
        </w:rPr>
      </w:r>
      <w:r>
        <w:rPr>
          <w:color w:val="0000FF"/>
          <w:lang w:val="en-GB" w:eastAsia="en-GB"/>
        </w:rPr>
        <w:fldChar w:fldCharType="separate"/>
      </w:r>
      <w:r>
        <w:rPr>
          <w:color w:val="000000" w:themeColor="text1"/>
          <w:lang w:val="en-GB" w:eastAsia="en-GB"/>
        </w:rPr>
        <w:t>Fig.</w:t>
      </w:r>
      <w:r>
        <w:rPr>
          <w:color w:val="0000FF"/>
          <w:lang w:val="en-GB" w:eastAsia="en-GB"/>
        </w:rPr>
        <w:t xml:space="preserve"> 2</w:t>
      </w:r>
      <w:r>
        <w:rPr>
          <w:color w:val="0000FF"/>
          <w:lang w:val="en-GB" w:eastAsia="en-GB"/>
        </w:rPr>
        <w:fldChar w:fldCharType="end"/>
      </w:r>
      <w:r>
        <w:rPr>
          <w:rFonts w:hint="eastAsia"/>
          <w:lang w:val="en-GB" w:eastAsia="zh-CN"/>
        </w:rPr>
        <w:t>)</w:t>
      </w:r>
      <w:r>
        <w:rPr>
          <w:lang w:val="en-GB" w:eastAsia="zh-CN"/>
        </w:rPr>
        <w:t>.</w:t>
      </w:r>
    </w:p>
    <w:p w14:paraId="0A560131" w14:textId="77777777" w:rsidR="00B95851" w:rsidRDefault="00B95851">
      <w:pPr>
        <w:rPr>
          <w:lang w:val="en-GB" w:eastAsia="zh-CN"/>
        </w:rPr>
      </w:pPr>
    </w:p>
    <w:p w14:paraId="20786B20" w14:textId="77777777" w:rsidR="00B95851" w:rsidRDefault="00000000">
      <w:pPr>
        <w:pStyle w:val="p1a"/>
        <w:jc w:val="center"/>
        <w:rPr>
          <w:lang w:val="en-GB" w:eastAsia="zh-CN"/>
        </w:rPr>
      </w:pPr>
      <w:r>
        <w:rPr>
          <w:noProof/>
          <w:lang w:val="en-GB" w:eastAsia="zh-CN"/>
        </w:rPr>
        <w:drawing>
          <wp:inline distT="0" distB="0" distL="0" distR="0" wp14:anchorId="36D73846" wp14:editId="7996B243">
            <wp:extent cx="4179570" cy="1879600"/>
            <wp:effectExtent l="0" t="0" r="1143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9" cstate="print">
                      <a:extLst>
                        <a:ext uri="{28A0092B-C50C-407E-A947-70E740481C1C}">
                          <a14:useLocalDpi xmlns:a14="http://schemas.microsoft.com/office/drawing/2010/main" val="0"/>
                        </a:ext>
                      </a:extLst>
                    </a:blip>
                    <a:srcRect l="1809" t="16886" r="5321" b="8872"/>
                    <a:stretch>
                      <a:fillRect/>
                    </a:stretch>
                  </pic:blipFill>
                  <pic:spPr>
                    <a:xfrm>
                      <a:off x="0" y="0"/>
                      <a:ext cx="4179570" cy="1879600"/>
                    </a:xfrm>
                    <a:prstGeom prst="rect">
                      <a:avLst/>
                    </a:prstGeom>
                    <a:noFill/>
                    <a:ln>
                      <a:noFill/>
                    </a:ln>
                  </pic:spPr>
                </pic:pic>
              </a:graphicData>
            </a:graphic>
          </wp:inline>
        </w:drawing>
      </w:r>
    </w:p>
    <w:p w14:paraId="46B2788D" w14:textId="77777777" w:rsidR="00B95851" w:rsidRDefault="00000000">
      <w:pPr>
        <w:ind w:firstLine="0"/>
        <w:jc w:val="center"/>
        <w:rPr>
          <w:rFonts w:eastAsiaTheme="minorEastAsia" w:cs="Times"/>
          <w:b/>
          <w:bCs/>
          <w:sz w:val="17"/>
          <w:szCs w:val="17"/>
        </w:rPr>
      </w:pPr>
      <w:bookmarkStart w:id="5" w:name="_Ref24601"/>
      <w:bookmarkStart w:id="6" w:name="_Ref224841332"/>
      <w:bookmarkEnd w:id="4"/>
      <w:bookmarkEnd w:id="5"/>
      <w:r>
        <w:rPr>
          <w:rFonts w:eastAsia="Times" w:cs="Times"/>
          <w:b/>
          <w:bCs/>
          <w:sz w:val="17"/>
          <w:szCs w:val="17"/>
        </w:rPr>
        <w:t xml:space="preserve">Fig. </w:t>
      </w:r>
      <w:r>
        <w:rPr>
          <w:rFonts w:eastAsia="Times" w:cs="Times"/>
          <w:b/>
          <w:bCs/>
          <w:sz w:val="17"/>
          <w:szCs w:val="17"/>
        </w:rPr>
        <w:fldChar w:fldCharType="begin"/>
      </w:r>
      <w:r>
        <w:rPr>
          <w:rFonts w:eastAsia="Times" w:cs="Times"/>
          <w:b/>
          <w:bCs/>
          <w:sz w:val="17"/>
          <w:szCs w:val="17"/>
        </w:rPr>
        <w:instrText xml:space="preserve"> SEQ Fig. \* ARABIC </w:instrText>
      </w:r>
      <w:r>
        <w:rPr>
          <w:rFonts w:eastAsia="Times" w:cs="Times"/>
          <w:b/>
          <w:bCs/>
          <w:sz w:val="17"/>
          <w:szCs w:val="17"/>
        </w:rPr>
        <w:fldChar w:fldCharType="separate"/>
      </w:r>
      <w:r>
        <w:rPr>
          <w:rFonts w:eastAsia="Times" w:cs="Times"/>
          <w:b/>
          <w:bCs/>
          <w:sz w:val="17"/>
          <w:szCs w:val="17"/>
        </w:rPr>
        <w:t>2</w:t>
      </w:r>
      <w:r>
        <w:rPr>
          <w:rFonts w:eastAsia="Times" w:cs="Times"/>
          <w:b/>
          <w:bCs/>
          <w:sz w:val="17"/>
          <w:szCs w:val="17"/>
        </w:rPr>
        <w:fldChar w:fldCharType="end"/>
      </w:r>
      <w:bookmarkEnd w:id="6"/>
      <w:r>
        <w:rPr>
          <w:rFonts w:eastAsiaTheme="minorEastAsia" w:cs="Times" w:hint="eastAsia"/>
          <w:b/>
          <w:bCs/>
          <w:sz w:val="17"/>
          <w:szCs w:val="17"/>
        </w:rPr>
        <w:t xml:space="preserve"> </w:t>
      </w:r>
      <w:r>
        <w:rPr>
          <w:rFonts w:eastAsia="Times" w:cs="Times"/>
          <w:sz w:val="17"/>
          <w:szCs w:val="17"/>
        </w:rPr>
        <w:t>Overview of the MediArch Knowledge Graph Construction pip</w:t>
      </w:r>
      <w:r>
        <w:rPr>
          <w:rFonts w:eastAsiaTheme="minorEastAsia" w:cs="Times" w:hint="eastAsia"/>
          <w:sz w:val="17"/>
          <w:szCs w:val="17"/>
        </w:rPr>
        <w:t>e</w:t>
      </w:r>
      <w:r>
        <w:rPr>
          <w:rFonts w:eastAsia="Times" w:cs="Times"/>
          <w:sz w:val="17"/>
          <w:szCs w:val="17"/>
        </w:rPr>
        <w:t>line</w:t>
      </w:r>
    </w:p>
    <w:p w14:paraId="47C78F77" w14:textId="77777777" w:rsidR="00B95851" w:rsidRDefault="00000000">
      <w:pPr>
        <w:pStyle w:val="heading3"/>
        <w:rPr>
          <w:lang w:val="en-GB" w:eastAsia="en-GB"/>
        </w:rPr>
      </w:pPr>
      <w:r>
        <w:rPr>
          <w:rFonts w:hint="eastAsia"/>
          <w:lang w:eastAsia="zh-CN"/>
        </w:rPr>
        <w:t xml:space="preserve">2.1.1 </w:t>
      </w:r>
      <w:r>
        <w:rPr>
          <w:rFonts w:hint="eastAsia"/>
          <w:lang w:val="en-GB" w:eastAsia="en-GB"/>
        </w:rPr>
        <w:t>Ontology and Schema Design</w:t>
      </w:r>
    </w:p>
    <w:p w14:paraId="4DD7A4B1" w14:textId="77777777" w:rsidR="00B95851" w:rsidRDefault="00000000">
      <w:pPr>
        <w:ind w:firstLine="0"/>
        <w:rPr>
          <w:lang w:val="en-GB" w:eastAsia="zh-CN"/>
        </w:rPr>
      </w:pPr>
      <w:r>
        <w:rPr>
          <w:lang w:val="en-GB" w:eastAsia="zh-CN"/>
        </w:rPr>
        <w:t>To address terminological inconsistency and structural heterogeneity, MediArch defines a domain ontology including entity types, relation types, attribute mappings, and structural constraints. The ontology both constrains LLM extraction and validates graph structure during persistence.</w:t>
      </w:r>
      <w:r>
        <w:rPr>
          <w:rFonts w:hint="eastAsia"/>
          <w:lang w:val="en-GB" w:eastAsia="zh-CN"/>
        </w:rPr>
        <w:t xml:space="preserve"> </w:t>
      </w:r>
      <w:r>
        <w:rPr>
          <w:lang w:val="en-GB" w:eastAsia="zh-CN"/>
        </w:rPr>
        <w:t>It follows three design principles: hierarchical spatial decomposition, multi-dimensional design representation, and provenance traceability. The ontology models the built environment from hospital to department group, functional zone, and individual space, while encoding design principles, clinical functions, and regulatory intent</w:t>
      </w:r>
      <w:r>
        <w:rPr>
          <w:rFonts w:hint="eastAsia"/>
          <w:lang w:val="en-GB" w:eastAsia="zh-CN"/>
        </w:rPr>
        <w:t>.</w:t>
      </w:r>
      <w:r>
        <w:fldChar w:fldCharType="begin"/>
      </w:r>
      <w:r>
        <w:instrText xml:space="preserve"> </w:instrText>
      </w:r>
      <w:r>
        <w:rPr>
          <w:rFonts w:hint="eastAsia"/>
        </w:rPr>
        <w:instrText>REF _Ref224481174 \h</w:instrText>
      </w:r>
      <w:r>
        <w:instrText xml:space="preserve">  \* MERGEFORMAT </w:instrText>
      </w:r>
      <w:r>
        <w:fldChar w:fldCharType="separate"/>
      </w:r>
      <w:r>
        <w:t>Table</w:t>
      </w:r>
      <w:r>
        <w:rPr>
          <w:color w:val="0000FF"/>
        </w:rPr>
        <w:t xml:space="preserve"> </w:t>
      </w:r>
      <w:r>
        <w:rPr>
          <w:color w:val="0000FF"/>
          <w:lang w:eastAsia="zh-CN"/>
        </w:rPr>
        <w:t>1</w:t>
      </w:r>
      <w:r>
        <w:fldChar w:fldCharType="end"/>
      </w:r>
      <w:r>
        <w:rPr>
          <w:lang w:val="en-GB" w:eastAsia="zh-CN"/>
        </w:rPr>
        <w:t xml:space="preserve"> summarize</w:t>
      </w:r>
      <w:r>
        <w:rPr>
          <w:rFonts w:hint="eastAsia"/>
          <w:lang w:val="en-GB" w:eastAsia="zh-CN"/>
        </w:rPr>
        <w:t>s</w:t>
      </w:r>
      <w:r>
        <w:rPr>
          <w:lang w:val="en-GB" w:eastAsia="zh-CN"/>
        </w:rPr>
        <w:t xml:space="preserve"> the schema, which includes 11 entity types across four semantic layers and 14 relation types in five semantic groups. These relations cover hierarchical containment, spatial adjacency, functional dependencies, design-guidance mappings, and provenance links</w:t>
      </w:r>
      <w:r>
        <w:rPr>
          <w:rFonts w:hint="eastAsia"/>
          <w:lang w:val="en-GB" w:eastAsia="zh-CN"/>
        </w:rPr>
        <w:t>.</w:t>
      </w:r>
    </w:p>
    <w:p w14:paraId="64D5F9AF" w14:textId="77777777" w:rsidR="00B95851" w:rsidRDefault="00B95851">
      <w:pPr>
        <w:ind w:firstLine="0"/>
        <w:rPr>
          <w:lang w:val="en-GB" w:eastAsia="zh-CN"/>
        </w:rPr>
      </w:pPr>
    </w:p>
    <w:p w14:paraId="7FD8912D" w14:textId="77777777" w:rsidR="00B95851" w:rsidRDefault="00000000">
      <w:pPr>
        <w:pStyle w:val="p1a"/>
        <w:jc w:val="center"/>
        <w:rPr>
          <w:b/>
          <w:bCs/>
          <w:lang w:eastAsia="zh-CN"/>
        </w:rPr>
      </w:pPr>
      <w:bookmarkStart w:id="7" w:name="_Ref224481174"/>
      <w:r>
        <w:rPr>
          <w:b/>
          <w:bCs/>
          <w:noProof/>
          <w:lang w:eastAsia="zh-CN"/>
        </w:rPr>
        <w:lastRenderedPageBreak/>
        <w:drawing>
          <wp:inline distT="0" distB="0" distL="0" distR="0" wp14:anchorId="2541B691" wp14:editId="6505A6D3">
            <wp:extent cx="4211955" cy="1314450"/>
            <wp:effectExtent l="0" t="0" r="5715" b="8255"/>
            <wp:docPr id="11" name="图片 1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表&#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1955" cy="1314450"/>
                    </a:xfrm>
                    <a:prstGeom prst="rect">
                      <a:avLst/>
                    </a:prstGeom>
                  </pic:spPr>
                </pic:pic>
              </a:graphicData>
            </a:graphic>
          </wp:inline>
        </w:drawing>
      </w:r>
    </w:p>
    <w:p w14:paraId="32466D0D" w14:textId="77777777" w:rsidR="00B95851" w:rsidRDefault="00000000">
      <w:pPr>
        <w:ind w:firstLine="0"/>
        <w:jc w:val="center"/>
        <w:rPr>
          <w:sz w:val="17"/>
          <w:lang w:eastAsia="zh-CN"/>
        </w:rPr>
      </w:pPr>
      <w:bookmarkStart w:id="8" w:name="OLE_LINK3"/>
      <w:r>
        <w:rPr>
          <w:b/>
          <w:bCs/>
          <w:sz w:val="17"/>
        </w:rPr>
        <w:t xml:space="preserve">Table </w:t>
      </w:r>
      <w:r>
        <w:rPr>
          <w:b/>
          <w:bCs/>
          <w:sz w:val="17"/>
        </w:rPr>
        <w:fldChar w:fldCharType="begin"/>
      </w:r>
      <w:r>
        <w:rPr>
          <w:b/>
          <w:bCs/>
          <w:sz w:val="17"/>
        </w:rPr>
        <w:instrText xml:space="preserve"> SEQ Table \* ARABIC </w:instrText>
      </w:r>
      <w:r>
        <w:rPr>
          <w:b/>
          <w:bCs/>
          <w:sz w:val="17"/>
        </w:rPr>
        <w:fldChar w:fldCharType="separate"/>
      </w:r>
      <w:r>
        <w:rPr>
          <w:b/>
          <w:bCs/>
          <w:sz w:val="17"/>
        </w:rPr>
        <w:t>1</w:t>
      </w:r>
      <w:r>
        <w:rPr>
          <w:b/>
          <w:bCs/>
          <w:sz w:val="17"/>
        </w:rPr>
        <w:fldChar w:fldCharType="end"/>
      </w:r>
      <w:bookmarkEnd w:id="7"/>
      <w:r>
        <w:rPr>
          <w:rFonts w:hint="eastAsia"/>
          <w:sz w:val="17"/>
        </w:rPr>
        <w:t xml:space="preserve"> </w:t>
      </w:r>
      <w:r>
        <w:rPr>
          <w:sz w:val="17"/>
        </w:rPr>
        <w:t>Entity Types and Semantic</w:t>
      </w:r>
      <w:r>
        <w:t xml:space="preserve"> </w:t>
      </w:r>
      <w:r>
        <w:rPr>
          <w:sz w:val="17"/>
        </w:rPr>
        <w:t>Layers</w:t>
      </w:r>
      <w:r>
        <w:rPr>
          <w:rFonts w:hint="eastAsia"/>
          <w:sz w:val="17"/>
          <w:lang w:eastAsia="zh-CN"/>
        </w:rPr>
        <w:t xml:space="preserve"> and </w:t>
      </w:r>
      <w:r>
        <w:rPr>
          <w:sz w:val="17"/>
          <w:lang w:eastAsia="zh-CN"/>
        </w:rPr>
        <w:t>Relation Types and Semantic Groups</w:t>
      </w:r>
    </w:p>
    <w:p w14:paraId="52D24F62" w14:textId="77777777" w:rsidR="00B95851" w:rsidRDefault="00B95851">
      <w:pPr>
        <w:ind w:firstLine="0"/>
        <w:jc w:val="center"/>
        <w:rPr>
          <w:sz w:val="17"/>
          <w:lang w:eastAsia="zh-CN"/>
        </w:rPr>
      </w:pPr>
    </w:p>
    <w:bookmarkEnd w:id="8"/>
    <w:p w14:paraId="693C3D43" w14:textId="77777777" w:rsidR="00B95851" w:rsidRDefault="00000000">
      <w:pPr>
        <w:ind w:firstLineChars="100" w:firstLine="200"/>
      </w:pPr>
      <w:r>
        <w:t>To stabilize graph construction, MediArch initializes a seed layer from national building codes</w:t>
      </w:r>
      <w:r>
        <w:rPr>
          <w:rFonts w:hint="eastAsia"/>
        </w:rPr>
        <w:t xml:space="preserve"> </w:t>
      </w:r>
      <w:r>
        <w:rPr>
          <w:rFonts w:hint="eastAsia"/>
          <w:lang w:eastAsia="zh-CN"/>
        </w:rPr>
        <w:t>(</w:t>
      </w:r>
      <w:r>
        <w:fldChar w:fldCharType="begin"/>
      </w:r>
      <w:r>
        <w:instrText xml:space="preserve"> </w:instrText>
      </w:r>
      <w:r>
        <w:rPr>
          <w:rFonts w:hint="eastAsia"/>
        </w:rPr>
        <w:instrText>REF _Ref224920955 \h</w:instrText>
      </w:r>
      <w:r>
        <w:instrText xml:space="preserve">  \* MERGEFORMAT </w:instrText>
      </w:r>
      <w:r>
        <w:fldChar w:fldCharType="separate"/>
      </w:r>
      <w:r>
        <w:t xml:space="preserve">Fig. </w:t>
      </w:r>
      <w:r>
        <w:rPr>
          <w:color w:val="0000FF"/>
        </w:rPr>
        <w:t>3</w:t>
      </w:r>
      <w:r>
        <w:fldChar w:fldCharType="end"/>
      </w:r>
      <w:r>
        <w:rPr>
          <w:rFonts w:hint="eastAsia"/>
        </w:rPr>
        <w:t>)</w:t>
      </w:r>
      <w:r>
        <w:t>. This layer contains about 90 standardized space types in a four-level hospital hierarchy and serves as an anchor for new entities.</w:t>
      </w:r>
    </w:p>
    <w:p w14:paraId="47072B4D" w14:textId="77777777" w:rsidR="00B95851" w:rsidRDefault="00B95851">
      <w:pPr>
        <w:ind w:firstLineChars="100" w:firstLine="200"/>
      </w:pPr>
    </w:p>
    <w:p w14:paraId="7914FB64" w14:textId="77777777" w:rsidR="00B95851" w:rsidRDefault="00000000">
      <w:pPr>
        <w:ind w:firstLine="0"/>
        <w:jc w:val="left"/>
      </w:pPr>
      <w:r>
        <w:rPr>
          <w:noProof/>
        </w:rPr>
        <w:drawing>
          <wp:inline distT="0" distB="0" distL="0" distR="0" wp14:anchorId="24DDD7CD" wp14:editId="6DACA392">
            <wp:extent cx="4100830" cy="657860"/>
            <wp:effectExtent l="0" t="0" r="13970"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34197" cy="663609"/>
                    </a:xfrm>
                    <a:prstGeom prst="rect">
                      <a:avLst/>
                    </a:prstGeom>
                    <a:noFill/>
                  </pic:spPr>
                </pic:pic>
              </a:graphicData>
            </a:graphic>
          </wp:inline>
        </w:drawing>
      </w:r>
    </w:p>
    <w:p w14:paraId="34FD240A" w14:textId="77777777" w:rsidR="00B95851" w:rsidRDefault="00000000">
      <w:pPr>
        <w:pStyle w:val="p1a"/>
        <w:jc w:val="center"/>
        <w:rPr>
          <w:sz w:val="17"/>
        </w:rPr>
      </w:pPr>
      <w:bookmarkStart w:id="9" w:name="_Ref224920955"/>
      <w:r>
        <w:rPr>
          <w:b/>
          <w:bCs/>
          <w:sz w:val="17"/>
        </w:rPr>
        <w:t xml:space="preserve">Fig. </w:t>
      </w:r>
      <w:r>
        <w:rPr>
          <w:b/>
          <w:bCs/>
          <w:sz w:val="17"/>
        </w:rPr>
        <w:fldChar w:fldCharType="begin"/>
      </w:r>
      <w:r>
        <w:rPr>
          <w:b/>
          <w:bCs/>
          <w:sz w:val="17"/>
        </w:rPr>
        <w:instrText xml:space="preserve"> SEQ Fig. \* ARABIC </w:instrText>
      </w:r>
      <w:r>
        <w:rPr>
          <w:b/>
          <w:bCs/>
          <w:sz w:val="17"/>
        </w:rPr>
        <w:fldChar w:fldCharType="separate"/>
      </w:r>
      <w:r>
        <w:rPr>
          <w:b/>
          <w:bCs/>
          <w:sz w:val="17"/>
        </w:rPr>
        <w:t>3</w:t>
      </w:r>
      <w:r>
        <w:rPr>
          <w:b/>
          <w:bCs/>
          <w:sz w:val="17"/>
        </w:rPr>
        <w:fldChar w:fldCharType="end"/>
      </w:r>
      <w:bookmarkEnd w:id="9"/>
      <w:r>
        <w:rPr>
          <w:rFonts w:hint="eastAsia"/>
          <w:sz w:val="17"/>
        </w:rPr>
        <w:t xml:space="preserve"> </w:t>
      </w:r>
      <w:r>
        <w:rPr>
          <w:sz w:val="17"/>
        </w:rPr>
        <w:t>Excerpt of the Ontology Seed Layer Used to Bootstrap the Knowledge Graph</w:t>
      </w:r>
    </w:p>
    <w:p w14:paraId="6E5C5F15" w14:textId="77777777" w:rsidR="00B95851" w:rsidRDefault="00000000">
      <w:pPr>
        <w:pStyle w:val="heading3"/>
        <w:rPr>
          <w:lang w:val="en-GB" w:eastAsia="en-GB"/>
        </w:rPr>
      </w:pPr>
      <w:bookmarkStart w:id="10" w:name="OLE_LINK4"/>
      <w:r>
        <w:rPr>
          <w:rFonts w:hint="eastAsia"/>
          <w:lang w:eastAsia="zh-CN"/>
        </w:rPr>
        <w:t xml:space="preserve">2.1.2 </w:t>
      </w:r>
      <w:r>
        <w:rPr>
          <w:rFonts w:hint="eastAsia"/>
          <w:lang w:val="en-GB" w:eastAsia="en-GB"/>
        </w:rPr>
        <w:t>Adaptive Triplet Extraction</w:t>
      </w:r>
    </w:p>
    <w:p w14:paraId="68B8A575" w14:textId="77777777" w:rsidR="00B95851" w:rsidRDefault="00000000">
      <w:pPr>
        <w:pStyle w:val="p1a"/>
        <w:ind w:rightChars="100" w:right="200"/>
        <w:rPr>
          <w:lang w:val="en-GB" w:eastAsia="zh-CN"/>
        </w:rPr>
      </w:pPr>
      <w:r>
        <w:rPr>
          <w:lang w:val="en-GB" w:eastAsia="zh-CN"/>
        </w:rPr>
        <w:t>Directly extracting complete triplets in a single LLM pass often produces incomplete coverage because entity identification, attribute attribution, and relation inference compete for the same context window. MediArch therefore decomposes extraction into three stages.</w:t>
      </w:r>
    </w:p>
    <w:p w14:paraId="0EB06B06" w14:textId="77777777" w:rsidR="00B95851" w:rsidRDefault="00000000">
      <w:pPr>
        <w:pStyle w:val="p1a"/>
        <w:ind w:rightChars="100" w:right="200" w:firstLineChars="100" w:firstLine="201"/>
        <w:rPr>
          <w:b/>
          <w:bCs/>
          <w:lang w:val="en-GB" w:eastAsia="zh-CN"/>
        </w:rPr>
      </w:pPr>
      <w:r>
        <w:rPr>
          <w:b/>
          <w:bCs/>
          <w:lang w:val="en-GB" w:eastAsia="zh-CN"/>
        </w:rPr>
        <w:t>Stage 1: Multi-Round Entity-Attribute Extraction</w:t>
      </w:r>
      <w:r>
        <w:rPr>
          <w:rFonts w:hint="eastAsia"/>
          <w:b/>
          <w:bCs/>
          <w:lang w:val="en-GB" w:eastAsia="zh-CN"/>
        </w:rPr>
        <w:t xml:space="preserve"> </w:t>
      </w:r>
      <w:r>
        <w:rPr>
          <w:lang w:val="en-GB" w:eastAsia="zh-CN"/>
        </w:rPr>
        <w:t>The first stage focuses on entities and their intrinsic attributes, while deferring relation inference. For each text chunk, the LLM receives the chunk together with the schema-defined entity list and returns entity-attribute (E-A) pairs. Accumulated results are fed back in later rounds to recover missed entities, and iteration stops when the number of newly discovered pairs falls below a convergence threshold. Extracted entities are then canonicalized and merged across chunks by aggregating compatible attributes</w:t>
      </w:r>
      <w:r>
        <w:rPr>
          <w:rFonts w:hint="eastAsia"/>
          <w:lang w:val="en-GB" w:eastAsia="zh-CN"/>
        </w:rPr>
        <w:t>.</w:t>
      </w:r>
    </w:p>
    <w:p w14:paraId="21067FC7" w14:textId="77777777" w:rsidR="00B95851" w:rsidRDefault="00000000">
      <w:pPr>
        <w:ind w:firstLineChars="100" w:firstLine="201"/>
        <w:rPr>
          <w:b/>
          <w:bCs/>
          <w:lang w:val="en-GB" w:eastAsia="zh-CN"/>
        </w:rPr>
      </w:pPr>
      <w:r>
        <w:rPr>
          <w:b/>
          <w:bCs/>
          <w:lang w:val="en-GB" w:eastAsia="zh-CN"/>
        </w:rPr>
        <w:t>Stage 2: Evidence-Aggregated Relation Extraction</w:t>
      </w:r>
      <w:r>
        <w:rPr>
          <w:rFonts w:hint="eastAsia"/>
          <w:b/>
          <w:bCs/>
          <w:lang w:val="en-GB" w:eastAsia="zh-CN"/>
        </w:rPr>
        <w:t xml:space="preserve"> </w:t>
      </w:r>
      <w:r>
        <w:rPr>
          <w:lang w:val="en-GB" w:eastAsia="zh-CN"/>
        </w:rPr>
        <w:t>Given the E-A pairs, relation extraction is formulated as constrained classification over the schema-defined relation types, which narrows the search space and reduces spurious links. The LLM receives enriched entity context and generates candidate triplets. Because the same triplet may recur across chunks, MediArch maintains an evidence set</w:t>
      </w:r>
      <w:r>
        <w:rPr>
          <w:rFonts w:hint="eastAsia"/>
          <w:lang w:val="en-GB" w:eastAsia="zh-CN"/>
        </w:rPr>
        <w:t xml:space="preserve"> </w:t>
      </w:r>
      <m:oMath>
        <m:sSub>
          <m:sSubPr>
            <m:ctrlPr>
              <w:rPr>
                <w:rFonts w:ascii="Cambria Math" w:hAnsi="Cambria Math"/>
                <w:i/>
                <w:lang w:val="en-GB" w:eastAsia="zh-CN"/>
              </w:rPr>
            </m:ctrlPr>
          </m:sSubPr>
          <m:e>
            <m:r>
              <w:rPr>
                <w:rFonts w:ascii="Cambria Math" w:hAnsi="Cambria Math"/>
                <w:lang w:val="en-GB" w:eastAsia="zh-CN"/>
              </w:rPr>
              <m:t>C</m:t>
            </m:r>
          </m:e>
          <m:sub>
            <m:r>
              <w:rPr>
                <w:rFonts w:ascii="Cambria Math" w:hAnsi="Cambria Math"/>
                <w:lang w:val="en-GB" w:eastAsia="zh-CN"/>
              </w:rPr>
              <m:t>t</m:t>
            </m:r>
          </m:sub>
        </m:sSub>
      </m:oMath>
      <w:r>
        <w:rPr>
          <w:rFonts w:hint="eastAsia"/>
          <w:lang w:val="en-GB" w:eastAsia="zh-CN"/>
        </w:rPr>
        <w:t xml:space="preserve"> </w:t>
      </w:r>
      <w:r>
        <w:rPr>
          <w:lang w:val="en-GB" w:eastAsia="zh-CN"/>
        </w:rPr>
        <w:t>for each triplet</w:t>
      </w:r>
      <w:r>
        <w:rPr>
          <w:rFonts w:hint="eastAsia"/>
          <w:lang w:val="en-GB" w:eastAsia="zh-CN"/>
        </w:rPr>
        <w:t xml:space="preserve"> </w:t>
      </w:r>
      <m:oMath>
        <m:r>
          <w:rPr>
            <w:rFonts w:ascii="Cambria Math" w:hAnsi="Cambria Math" w:hint="eastAsia"/>
            <w:lang w:val="en-GB" w:eastAsia="zh-CN"/>
          </w:rPr>
          <m:t>t</m:t>
        </m:r>
      </m:oMath>
      <w:r>
        <w:rPr>
          <w:lang w:val="en-GB" w:eastAsia="zh-CN"/>
        </w:rPr>
        <w:t>, with confidence defined as</w:t>
      </w:r>
      <w:r>
        <w:rPr>
          <w:rFonts w:hint="eastAsia"/>
          <w:lang w:val="en-GB" w:eastAsia="zh-CN"/>
        </w:rPr>
        <w:t>:</w:t>
      </w:r>
    </w:p>
    <w:bookmarkEnd w:id="10"/>
    <w:p w14:paraId="1160AA6C" w14:textId="77777777" w:rsidR="00B95851" w:rsidRDefault="00000000">
      <w:pPr>
        <w:ind w:firstLine="0"/>
        <w:rPr>
          <w:lang w:val="en-GB" w:eastAsia="zh-CN"/>
        </w:rPr>
      </w:pPr>
      <m:oMathPara>
        <m:oMath>
          <m:eqArr>
            <m:eqArrPr>
              <m:maxDist m:val="1"/>
              <m:ctrlPr>
                <w:rPr>
                  <w:rFonts w:ascii="Cambria Math" w:hAnsi="Cambria Math"/>
                  <w:i/>
                  <w:lang w:val="en-GB" w:eastAsia="zh-CN"/>
                </w:rPr>
              </m:ctrlPr>
            </m:eqArrPr>
            <m:e>
              <m:r>
                <m:rPr>
                  <m:nor/>
                </m:rPr>
                <w:rPr>
                  <w:rFonts w:ascii="Cambria Math" w:hAnsi="Cambria Math"/>
                  <w:lang w:val="en-GB" w:eastAsia="zh-CN"/>
                </w:rPr>
                <m:t>conf</m:t>
              </m:r>
              <m:d>
                <m:dPr>
                  <m:ctrlPr>
                    <w:rPr>
                      <w:rFonts w:ascii="Cambria Math" w:hAnsi="Cambria Math"/>
                      <w:i/>
                      <w:lang w:val="en-GB" w:eastAsia="zh-CN"/>
                    </w:rPr>
                  </m:ctrlPr>
                </m:dPr>
                <m:e>
                  <m:r>
                    <w:rPr>
                      <w:rFonts w:ascii="Cambria Math" w:hAnsi="Cambria Math"/>
                      <w:lang w:val="en-GB" w:eastAsia="zh-CN"/>
                    </w:rPr>
                    <m:t>t</m:t>
                  </m:r>
                </m:e>
              </m:d>
              <m:r>
                <w:rPr>
                  <w:rFonts w:ascii="Cambria Math" w:hAnsi="Cambria Math"/>
                  <w:lang w:val="en-GB" w:eastAsia="zh-CN"/>
                </w:rPr>
                <m:t>=</m:t>
              </m:r>
              <m:func>
                <m:funcPr>
                  <m:ctrlPr>
                    <w:rPr>
                      <w:rFonts w:ascii="Cambria Math" w:hAnsi="Cambria Math"/>
                      <w:lang w:val="en-GB" w:eastAsia="zh-CN"/>
                    </w:rPr>
                  </m:ctrlPr>
                </m:funcPr>
                <m:fName>
                  <m:limLow>
                    <m:limLowPr>
                      <m:ctrlPr>
                        <w:rPr>
                          <w:rFonts w:ascii="Cambria Math" w:hAnsi="Cambria Math"/>
                          <w:i/>
                          <w:lang w:val="en-GB" w:eastAsia="zh-CN"/>
                        </w:rPr>
                      </m:ctrlPr>
                    </m:limLowPr>
                    <m:e>
                      <m:r>
                        <m:rPr>
                          <m:sty m:val="p"/>
                        </m:rPr>
                        <w:rPr>
                          <w:rFonts w:ascii="Cambria Math" w:hAnsi="Cambria Math"/>
                          <w:lang w:val="en-GB" w:eastAsia="zh-CN"/>
                        </w:rPr>
                        <m:t>max</m:t>
                      </m:r>
                    </m:e>
                    <m:lim>
                      <m:sSub>
                        <m:sSubPr>
                          <m:ctrlPr>
                            <w:rPr>
                              <w:rFonts w:ascii="Cambria Math" w:hAnsi="Cambria Math"/>
                              <w:i/>
                              <w:lang w:val="en-GB" w:eastAsia="zh-CN"/>
                            </w:rPr>
                          </m:ctrlPr>
                        </m:sSubPr>
                        <m:e>
                          <m:r>
                            <w:rPr>
                              <w:rFonts w:ascii="Cambria Math" w:hAnsi="Cambria Math"/>
                              <w:lang w:val="en-GB" w:eastAsia="zh-CN"/>
                            </w:rPr>
                            <m:t>c</m:t>
                          </m:r>
                        </m:e>
                        <m:sub>
                          <m:r>
                            <w:rPr>
                              <w:rFonts w:ascii="Cambria Math" w:hAnsi="Cambria Math"/>
                              <w:lang w:val="en-GB" w:eastAsia="zh-CN"/>
                            </w:rPr>
                            <m:t>i</m:t>
                          </m:r>
                        </m:sub>
                      </m:sSub>
                      <m:r>
                        <m:rPr>
                          <m:sty m:val="p"/>
                        </m:rPr>
                        <w:rPr>
                          <w:rFonts w:ascii="Cambria Math" w:hAnsi="Cambria Math" w:hint="eastAsia"/>
                          <w:lang w:val="en-GB" w:eastAsia="zh-CN"/>
                        </w:rPr>
                        <m:t>∈</m:t>
                      </m:r>
                      <m:sSub>
                        <m:sSubPr>
                          <m:ctrlPr>
                            <w:rPr>
                              <w:rFonts w:ascii="Cambria Math" w:hAnsi="Cambria Math"/>
                              <w:i/>
                              <w:lang w:val="en-GB" w:eastAsia="zh-CN"/>
                            </w:rPr>
                          </m:ctrlPr>
                        </m:sSubPr>
                        <m:e>
                          <m:r>
                            <w:rPr>
                              <w:rFonts w:ascii="Cambria Math" w:hAnsi="Cambria Math"/>
                              <w:lang w:val="en-GB" w:eastAsia="zh-CN"/>
                            </w:rPr>
                            <m:t>C</m:t>
                          </m:r>
                          <m:ctrlPr>
                            <w:rPr>
                              <w:rFonts w:ascii="Cambria Math" w:hAnsi="Cambria Math"/>
                              <w:lang w:val="en-GB" w:eastAsia="zh-CN"/>
                            </w:rPr>
                          </m:ctrlPr>
                        </m:e>
                        <m:sub>
                          <m:r>
                            <w:rPr>
                              <w:rFonts w:ascii="Cambria Math" w:hAnsi="Cambria Math"/>
                              <w:lang w:val="en-GB" w:eastAsia="zh-CN"/>
                            </w:rPr>
                            <m:t>t</m:t>
                          </m:r>
                        </m:sub>
                      </m:sSub>
                      <m:ctrlPr>
                        <w:rPr>
                          <w:rFonts w:ascii="Cambria Math" w:hAnsi="Cambria Math"/>
                          <w:lang w:val="en-GB" w:eastAsia="zh-CN"/>
                        </w:rPr>
                      </m:ctrlPr>
                    </m:lim>
                  </m:limLow>
                  <m:ctrlPr>
                    <w:rPr>
                      <w:rFonts w:ascii="Cambria Math" w:hAnsi="Cambria Math"/>
                      <w:i/>
                      <w:lang w:val="en-GB" w:eastAsia="zh-CN"/>
                    </w:rPr>
                  </m:ctrlPr>
                </m:fName>
                <m:e>
                  <m:r>
                    <m:rPr>
                      <m:lit/>
                    </m:rPr>
                    <w:rPr>
                      <w:rFonts w:ascii="Cambria Math" w:hAnsi="Cambria Math"/>
                      <w:lang w:val="en-GB" w:eastAsia="zh-CN"/>
                    </w:rPr>
                    <m:t>{</m:t>
                  </m:r>
                  <m:ctrlPr>
                    <w:rPr>
                      <w:rFonts w:ascii="Cambria Math" w:hAnsi="Cambria Math"/>
                      <w:i/>
                      <w:lang w:val="en-GB" w:eastAsia="zh-CN"/>
                    </w:rPr>
                  </m:ctrlPr>
                </m:e>
              </m:func>
              <m:sSub>
                <m:sSubPr>
                  <m:ctrlPr>
                    <w:rPr>
                      <w:rFonts w:ascii="Cambria Math" w:hAnsi="Cambria Math"/>
                      <w:i/>
                      <w:lang w:val="en-GB" w:eastAsia="zh-CN"/>
                    </w:rPr>
                  </m:ctrlPr>
                </m:sSubPr>
                <m:e>
                  <m:r>
                    <m:rPr>
                      <m:nor/>
                    </m:rPr>
                    <w:rPr>
                      <w:rFonts w:ascii="Cambria Math" w:hAnsi="Cambria Math"/>
                      <w:lang w:val="en-GB" w:eastAsia="zh-CN"/>
                    </w:rPr>
                    <m:t>conf</m:t>
                  </m:r>
                  <m:ctrlPr>
                    <w:rPr>
                      <w:rFonts w:ascii="Cambria Math" w:hAnsi="Cambria Math"/>
                      <w:lang w:val="en-GB" w:eastAsia="zh-CN"/>
                    </w:rPr>
                  </m:ctrlPr>
                </m:e>
                <m:sub>
                  <m:r>
                    <w:rPr>
                      <w:rFonts w:ascii="Cambria Math" w:hAnsi="Cambria Math"/>
                      <w:lang w:val="en-GB" w:eastAsia="zh-CN"/>
                    </w:rPr>
                    <m:t>i</m:t>
                  </m:r>
                </m:sub>
              </m:sSub>
              <m:d>
                <m:dPr>
                  <m:ctrlPr>
                    <w:rPr>
                      <w:rFonts w:ascii="Cambria Math" w:hAnsi="Cambria Math"/>
                      <w:i/>
                      <w:lang w:val="en-GB" w:eastAsia="zh-CN"/>
                    </w:rPr>
                  </m:ctrlPr>
                </m:dPr>
                <m:e>
                  <m:r>
                    <w:rPr>
                      <w:rFonts w:ascii="Cambria Math" w:hAnsi="Cambria Math"/>
                      <w:lang w:val="en-GB" w:eastAsia="zh-CN"/>
                    </w:rPr>
                    <m:t>t</m:t>
                  </m:r>
                </m:e>
              </m:d>
              <m:r>
                <m:rPr>
                  <m:lit/>
                </m:rPr>
                <w:rPr>
                  <w:rFonts w:ascii="Cambria Math" w:hAnsi="Cambria Math"/>
                  <w:lang w:val="en-GB" w:eastAsia="zh-CN"/>
                </w:rPr>
                <m:t>}</m:t>
              </m:r>
              <m:r>
                <m:rPr>
                  <m:sty m:val="p"/>
                </m:rPr>
                <w:rPr>
                  <w:rFonts w:ascii="Cambria Math" w:hAnsi="Cambria Math"/>
                  <w:lang w:val="en-GB" w:eastAsia="zh-CN"/>
                </w:rPr>
                <m:t>#</m:t>
              </m:r>
              <m:d>
                <m:dPr>
                  <m:ctrlPr>
                    <w:rPr>
                      <w:rFonts w:ascii="Cambria Math" w:hAnsi="Cambria Math"/>
                      <w:i/>
                      <w:lang w:val="en-GB" w:eastAsia="zh-CN"/>
                    </w:rPr>
                  </m:ctrlPr>
                </m:dPr>
                <m:e>
                  <m:r>
                    <w:rPr>
                      <w:rFonts w:ascii="Cambria Math" w:hAnsi="Cambria Math"/>
                      <w:lang w:val="en-GB" w:eastAsia="zh-CN"/>
                    </w:rPr>
                    <m:t>1</m:t>
                  </m:r>
                </m:e>
              </m:d>
            </m:e>
          </m:eqArr>
        </m:oMath>
      </m:oMathPara>
    </w:p>
    <w:p w14:paraId="44769C65" w14:textId="77777777" w:rsidR="00B95851" w:rsidRDefault="00000000">
      <w:pPr>
        <w:ind w:firstLine="0"/>
        <w:rPr>
          <w:lang w:val="en-GB" w:eastAsia="zh-CN"/>
        </w:rPr>
      </w:pPr>
      <w:r>
        <w:rPr>
          <w:lang w:val="en-GB" w:eastAsia="zh-CN"/>
        </w:rPr>
        <w:lastRenderedPageBreak/>
        <w:t>Each triplet keeps chunk and document references for provenance</w:t>
      </w:r>
      <w:r>
        <w:rPr>
          <w:rFonts w:hint="eastAsia"/>
          <w:lang w:val="en-GB" w:eastAsia="zh-CN"/>
        </w:rPr>
        <w:t>.</w:t>
      </w:r>
    </w:p>
    <w:p w14:paraId="155A9A26" w14:textId="77777777" w:rsidR="00B95851" w:rsidRDefault="00000000">
      <w:pPr>
        <w:ind w:firstLineChars="100" w:firstLine="201"/>
        <w:rPr>
          <w:b/>
          <w:bCs/>
          <w:lang w:val="en-GB" w:eastAsia="zh-CN"/>
        </w:rPr>
      </w:pPr>
      <w:r>
        <w:rPr>
          <w:b/>
          <w:bCs/>
          <w:lang w:val="en-GB" w:eastAsia="zh-CN"/>
        </w:rPr>
        <w:t>Stage 3: Hybrid Rule-LLM Triple Optimization</w:t>
      </w:r>
      <w:r>
        <w:rPr>
          <w:rFonts w:hint="eastAsia"/>
          <w:b/>
          <w:bCs/>
          <w:lang w:val="en-GB" w:eastAsia="zh-CN"/>
        </w:rPr>
        <w:t xml:space="preserve"> </w:t>
      </w:r>
      <w:r>
        <w:rPr>
          <w:lang w:val="en-GB" w:eastAsia="zh-CN"/>
        </w:rPr>
        <w:t>Raw triplets are normalized through a hybrid process that applies deterministic rules whenever possible and invokes LLM reasoning only for ambiguous cases. This stage includes entity standardization through alias lookup and synonym resolution, relation normalization through cascading mapping with fallback to RELATED_TO, and noise filtering for self-loops, invalid relations, low-confidence triplets, and duplicates. The output is a schema-compliant triplet set for graph-level fusion</w:t>
      </w:r>
      <w:r>
        <w:rPr>
          <w:rFonts w:hint="eastAsia"/>
          <w:lang w:val="en-GB" w:eastAsia="zh-CN"/>
        </w:rPr>
        <w:t xml:space="preserve">. </w:t>
      </w:r>
    </w:p>
    <w:p w14:paraId="4FD853E8" w14:textId="77777777" w:rsidR="00B95851" w:rsidRDefault="00000000">
      <w:pPr>
        <w:pStyle w:val="heading3"/>
        <w:rPr>
          <w:lang w:val="en-GB" w:eastAsia="en-GB"/>
        </w:rPr>
      </w:pPr>
      <w:bookmarkStart w:id="11" w:name="OLE_LINK5"/>
      <w:r>
        <w:rPr>
          <w:rFonts w:hint="eastAsia"/>
          <w:lang w:eastAsia="zh-CN"/>
        </w:rPr>
        <w:t xml:space="preserve">2.1.3 </w:t>
      </w:r>
      <w:r>
        <w:rPr>
          <w:lang w:val="en-GB" w:eastAsia="en-GB"/>
        </w:rPr>
        <w:t>Knowledge Fusion and Refinement</w:t>
      </w:r>
    </w:p>
    <w:p w14:paraId="3917DCA6" w14:textId="77777777" w:rsidR="00B95851" w:rsidRDefault="00000000">
      <w:pPr>
        <w:pStyle w:val="p1a"/>
        <w:rPr>
          <w:lang w:val="en-GB" w:eastAsia="zh-CN"/>
        </w:rPr>
      </w:pPr>
      <w:r>
        <w:rPr>
          <w:lang w:val="en-GB" w:eastAsia="zh-CN"/>
        </w:rPr>
        <w:t>Because the first three stages operate at the chunk level, they cannot fully resolve cross-document redundancy or recover implicit inter-document relations. MediArch addresses this limitation through a final fusion stage.</w:t>
      </w:r>
    </w:p>
    <w:p w14:paraId="63789F53" w14:textId="77777777" w:rsidR="00B95851" w:rsidRDefault="00000000">
      <w:pPr>
        <w:ind w:firstLineChars="100" w:firstLine="201"/>
        <w:rPr>
          <w:lang w:val="en-GB" w:eastAsia="zh-CN"/>
        </w:rPr>
      </w:pPr>
      <w:r>
        <w:rPr>
          <w:b/>
          <w:bCs/>
          <w:lang w:val="en-GB" w:eastAsia="zh-CN"/>
        </w:rPr>
        <w:t xml:space="preserve">Step 4a: Cross-Document Entity Disambiguation </w:t>
      </w:r>
      <w:r>
        <w:rPr>
          <w:lang w:val="en-GB" w:eastAsia="zh-CN"/>
        </w:rPr>
        <w:t>Entities are first grouped by ontology type, and pairwise name similarity is computed only within the same type. Candidate pairs satisfy:</w:t>
      </w:r>
    </w:p>
    <w:bookmarkEnd w:id="11"/>
    <w:p w14:paraId="258516E2" w14:textId="77777777" w:rsidR="00B95851" w:rsidRDefault="00000000">
      <w:pPr>
        <w:ind w:firstLine="0"/>
        <w:rPr>
          <w:lang w:eastAsia="zh-CN"/>
        </w:rPr>
      </w:pPr>
      <m:oMathPara>
        <m:oMath>
          <m:eqArr>
            <m:eqArrPr>
              <m:maxDist m:val="1"/>
              <m:ctrlPr>
                <w:rPr>
                  <w:rFonts w:ascii="Cambria Math" w:hAnsi="Cambria Math"/>
                  <w:i/>
                  <w:lang w:eastAsia="zh-CN"/>
                </w:rPr>
              </m:ctrlPr>
            </m:eqArrPr>
            <m:e>
              <m:r>
                <m:rPr>
                  <m:nor/>
                </m:rPr>
                <w:rPr>
                  <w:rFonts w:ascii="Cambria Math" w:hAnsi="Cambria Math"/>
                  <w:lang w:eastAsia="zh-CN"/>
                </w:rPr>
                <m:t>cand</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j</m:t>
                      </m:r>
                    </m:sub>
                  </m:sSub>
                </m:e>
              </m:d>
              <m:r>
                <w:rPr>
                  <w:rFonts w:ascii="Cambria Math" w:hAnsi="Cambria Math"/>
                  <w:lang w:eastAsia="zh-CN"/>
                </w:rPr>
                <m:t>=</m:t>
              </m:r>
              <m:r>
                <m:rPr>
                  <m:nor/>
                </m:rPr>
                <w:rPr>
                  <w:rFonts w:ascii="Cambria Math" w:hAnsi="Cambria Math"/>
                  <w:lang w:eastAsia="zh-CN"/>
                </w:rPr>
                <m:t>sim</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j</m:t>
                      </m:r>
                    </m:sub>
                  </m:sSub>
                </m:e>
              </m:d>
              <m:r>
                <m:rPr>
                  <m:sty m:val="p"/>
                </m:rPr>
                <w:rPr>
                  <w:rFonts w:ascii="Cambria Math" w:hAnsi="Cambria Math" w:hint="eastAsia"/>
                  <w:lang w:eastAsia="zh-CN"/>
                </w:rPr>
                <m:t>≥</m:t>
              </m:r>
              <m:r>
                <w:rPr>
                  <w:rFonts w:ascii="Cambria Math" w:hAnsi="Cambria Math"/>
                  <w:lang w:eastAsia="zh-CN"/>
                </w:rPr>
                <m:t>δ</m:t>
              </m:r>
              <m:r>
                <m:rPr>
                  <m:sty m:val="p"/>
                </m:rPr>
                <w:rPr>
                  <w:rFonts w:ascii="Cambria Math" w:hAnsi="Cambria Math"/>
                  <w:lang w:eastAsia="zh-CN"/>
                </w:rPr>
                <m:t> </m:t>
              </m:r>
              <m:r>
                <m:rPr>
                  <m:nor/>
                </m:rPr>
                <w:rPr>
                  <w:rFonts w:ascii="Cambria Math" w:hAnsi="Cambria Math"/>
                  <w:lang w:eastAsia="zh-CN"/>
                </w:rPr>
                <m:t xml:space="preserve">where </m:t>
              </m:r>
              <m:r>
                <w:rPr>
                  <w:rFonts w:ascii="Cambria Math" w:hAnsi="Cambria Math"/>
                  <w:lang w:eastAsia="zh-CN"/>
                </w:rPr>
                <m:t>τ</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i</m:t>
                      </m:r>
                    </m:sub>
                  </m:sSub>
                </m:e>
              </m:d>
              <m:r>
                <w:rPr>
                  <w:rFonts w:ascii="Cambria Math" w:hAnsi="Cambria Math"/>
                  <w:lang w:eastAsia="zh-CN"/>
                </w:rPr>
                <m:t>=τ</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j</m:t>
                      </m:r>
                    </m:sub>
                  </m:sSub>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2</m:t>
                  </m:r>
                </m:e>
              </m:d>
            </m:e>
          </m:eqArr>
        </m:oMath>
      </m:oMathPara>
    </w:p>
    <w:p w14:paraId="7DCBACDF" w14:textId="77777777" w:rsidR="00B95851" w:rsidRDefault="00000000">
      <w:pPr>
        <w:ind w:firstLine="0"/>
        <w:rPr>
          <w:lang w:eastAsia="zh-CN"/>
        </w:rPr>
      </w:pPr>
      <w:r>
        <w:rPr>
          <w:lang w:eastAsia="zh-CN"/>
        </w:rPr>
        <w:t>This type constraint reduces false merges between similarly named but semantically different entities. Candidate pairs are then verified by the LLM, and confirmed matches are merged under a canonical name</w:t>
      </w:r>
      <w:r>
        <w:rPr>
          <w:rFonts w:hint="eastAsia"/>
          <w:lang w:eastAsia="zh-CN"/>
        </w:rPr>
        <w:t>.</w:t>
      </w:r>
    </w:p>
    <w:p w14:paraId="09B3DFE0" w14:textId="77777777" w:rsidR="00B95851" w:rsidRDefault="00000000">
      <w:pPr>
        <w:ind w:firstLineChars="100" w:firstLine="201"/>
        <w:rPr>
          <w:b/>
          <w:bCs/>
          <w:lang w:eastAsia="zh-CN"/>
        </w:rPr>
      </w:pPr>
      <w:r>
        <w:rPr>
          <w:b/>
          <w:bCs/>
          <w:lang w:eastAsia="zh-CN"/>
        </w:rPr>
        <w:t>Step 4b: Latent Relation Discovery</w:t>
      </w:r>
      <w:r>
        <w:rPr>
          <w:rFonts w:hint="eastAsia"/>
          <w:b/>
          <w:bCs/>
          <w:lang w:eastAsia="zh-CN"/>
        </w:rPr>
        <w:t xml:space="preserve"> </w:t>
      </w:r>
      <w:r>
        <w:rPr>
          <w:lang w:eastAsia="zh-CN"/>
        </w:rPr>
        <w:t>Entity pairs that co-occur in related source documents but lack direct edges are submitted to the LLM for relation assessment. If a valid schema-defined relation is inferred, a new edge is added with an inferred flag to distinguish it from directly extracted triplets.</w:t>
      </w:r>
    </w:p>
    <w:p w14:paraId="54A04766" w14:textId="77777777" w:rsidR="00B95851" w:rsidRDefault="00000000">
      <w:pPr>
        <w:ind w:firstLineChars="100" w:firstLine="201"/>
        <w:rPr>
          <w:lang w:eastAsia="zh-CN"/>
        </w:rPr>
      </w:pPr>
      <w:r>
        <w:rPr>
          <w:b/>
          <w:bCs/>
          <w:lang w:eastAsia="zh-CN"/>
        </w:rPr>
        <w:t>Step 4c: Graph Persistence</w:t>
      </w:r>
      <w:r>
        <w:rPr>
          <w:rFonts w:hint="eastAsia"/>
          <w:b/>
          <w:bCs/>
          <w:lang w:eastAsia="zh-CN"/>
        </w:rPr>
        <w:t xml:space="preserve"> </w:t>
      </w:r>
      <w:r>
        <w:rPr>
          <w:lang w:eastAsia="zh-CN"/>
        </w:rPr>
        <w:t xml:space="preserve">The fused triplets and inferred relations are written to Neo4j together with confidence scores, chunk identifiers, and document references. As a result, every node and edge </w:t>
      </w:r>
      <w:proofErr w:type="gramStart"/>
      <w:r>
        <w:rPr>
          <w:lang w:eastAsia="zh-CN"/>
        </w:rPr>
        <w:t>remains</w:t>
      </w:r>
      <w:proofErr w:type="gramEnd"/>
      <w:r>
        <w:rPr>
          <w:lang w:eastAsia="zh-CN"/>
        </w:rPr>
        <w:t xml:space="preserve"> traceable to its textual evidence. The resulting graph serves as the structured knowledge base for the downstream multi-agent retrieval framework</w:t>
      </w:r>
      <w:r>
        <w:rPr>
          <w:rFonts w:hint="eastAsia"/>
          <w:lang w:eastAsia="zh-CN"/>
        </w:rPr>
        <w:t>.</w:t>
      </w:r>
    </w:p>
    <w:p w14:paraId="23E008A5" w14:textId="77777777" w:rsidR="00B95851" w:rsidRDefault="00000000">
      <w:pPr>
        <w:pStyle w:val="heading2"/>
        <w:contextualSpacing/>
        <w:rPr>
          <w:lang w:eastAsia="zh-CN"/>
        </w:rPr>
      </w:pPr>
      <w:r>
        <w:rPr>
          <w:rFonts w:hint="eastAsia"/>
          <w:lang w:eastAsia="zh-CN"/>
        </w:rPr>
        <w:t>2</w:t>
      </w:r>
      <w:r>
        <w:rPr>
          <w:lang w:eastAsia="zh-CN"/>
        </w:rPr>
        <w:t>.</w:t>
      </w:r>
      <w:r>
        <w:rPr>
          <w:rFonts w:hint="eastAsia"/>
          <w:lang w:eastAsia="zh-CN"/>
        </w:rPr>
        <w:t>2</w:t>
      </w:r>
      <w:r>
        <w:rPr>
          <w:lang w:eastAsia="zh-CN"/>
        </w:rPr>
        <w:t xml:space="preserve"> Agentic Retrieval Framework</w:t>
      </w:r>
    </w:p>
    <w:p w14:paraId="64B86DB1" w14:textId="77777777" w:rsidR="00B95851" w:rsidRDefault="00000000">
      <w:pPr>
        <w:ind w:firstLine="0"/>
        <w:rPr>
          <w:lang w:val="en-GB" w:eastAsia="zh-CN"/>
        </w:rPr>
      </w:pPr>
      <w:r>
        <w:rPr>
          <w:lang w:eastAsia="zh-CN"/>
        </w:rPr>
        <w:t xml:space="preserve">This section presents </w:t>
      </w:r>
      <w:proofErr w:type="spellStart"/>
      <w:r>
        <w:rPr>
          <w:lang w:eastAsia="zh-CN"/>
        </w:rPr>
        <w:t>MediArch's</w:t>
      </w:r>
      <w:proofErr w:type="spellEnd"/>
      <w:r>
        <w:rPr>
          <w:lang w:eastAsia="zh-CN"/>
        </w:rPr>
        <w:t xml:space="preserve"> multi-agent retrieval framework, which coordinates heterogeneous storage backends through staged retrieval, deterministic fusion, evidence grounding, and quality-gated response synthesis. The design follows recent AEC studies that combine hybrid RAG over vectors, property graphs, and keywords with LLM-driven multi-agent workflows for knowledge management and design coordination</w:t>
      </w:r>
      <w:r>
        <w:rPr>
          <w:rFonts w:hint="eastAsia"/>
          <w:lang w:eastAsia="zh-CN"/>
        </w:rPr>
        <w:t xml:space="preserve"> [</w:t>
      </w:r>
      <w:r>
        <w:rPr>
          <w:color w:val="0000FF"/>
          <w:lang w:val="en-GB" w:eastAsia="zh-CN"/>
        </w:rPr>
        <w:fldChar w:fldCharType="begin"/>
      </w:r>
      <w:r>
        <w:rPr>
          <w:color w:val="0000FF"/>
          <w:lang w:val="en-GB" w:eastAsia="zh-CN"/>
        </w:rPr>
        <w:instrText xml:space="preserve"> </w:instrText>
      </w:r>
      <w:r>
        <w:rPr>
          <w:rFonts w:hint="eastAsia"/>
          <w:color w:val="0000FF"/>
          <w:lang w:val="en-GB" w:eastAsia="zh-CN"/>
        </w:rPr>
        <w:instrText>REF _Ref225438137 \r \h</w:instrText>
      </w:r>
      <w:r>
        <w:rPr>
          <w:color w:val="0000FF"/>
          <w:lang w:val="en-GB" w:eastAsia="zh-CN"/>
        </w:rPr>
        <w:instrText xml:space="preserve">  \* MERGEFORMAT </w:instrText>
      </w:r>
      <w:r>
        <w:rPr>
          <w:color w:val="0000FF"/>
          <w:lang w:val="en-GB" w:eastAsia="zh-CN"/>
        </w:rPr>
      </w:r>
      <w:r>
        <w:rPr>
          <w:color w:val="0000FF"/>
          <w:lang w:val="en-GB" w:eastAsia="zh-CN"/>
        </w:rPr>
        <w:fldChar w:fldCharType="separate"/>
      </w:r>
      <w:r>
        <w:rPr>
          <w:color w:val="0000FF"/>
          <w:lang w:val="en-GB" w:eastAsia="zh-CN"/>
        </w:rPr>
        <w:t>16</w:t>
      </w:r>
      <w:r>
        <w:rPr>
          <w:color w:val="0000FF"/>
          <w:lang w:val="en-GB" w:eastAsia="zh-CN"/>
        </w:rPr>
        <w:fldChar w:fldCharType="end"/>
      </w:r>
      <w:r>
        <w:rPr>
          <w:rFonts w:hint="eastAsia"/>
          <w:lang w:eastAsia="zh-CN"/>
        </w:rPr>
        <w:t>,</w:t>
      </w:r>
      <w:r>
        <w:rPr>
          <w:color w:val="0000FF"/>
          <w:lang w:eastAsia="zh-CN"/>
        </w:rPr>
        <w:fldChar w:fldCharType="begin"/>
      </w:r>
      <w:r>
        <w:rPr>
          <w:color w:val="0000FF"/>
          <w:lang w:eastAsia="zh-CN"/>
        </w:rPr>
        <w:instrText xml:space="preserve"> REF _Ref225438140 \r \h </w:instrText>
      </w:r>
      <w:r>
        <w:rPr>
          <w:color w:val="0000FF"/>
          <w:lang w:eastAsia="zh-CN"/>
        </w:rPr>
      </w:r>
      <w:r>
        <w:rPr>
          <w:color w:val="0000FF"/>
          <w:lang w:eastAsia="zh-CN"/>
        </w:rPr>
        <w:fldChar w:fldCharType="separate"/>
      </w:r>
      <w:r>
        <w:rPr>
          <w:color w:val="0000FF"/>
          <w:lang w:eastAsia="zh-CN"/>
        </w:rPr>
        <w:t>17</w:t>
      </w:r>
      <w:r>
        <w:rPr>
          <w:color w:val="0000FF"/>
          <w:lang w:eastAsia="zh-CN"/>
        </w:rPr>
        <w:fldChar w:fldCharType="end"/>
      </w:r>
      <w:r>
        <w:rPr>
          <w:rFonts w:hint="eastAsia"/>
          <w:lang w:eastAsia="zh-CN"/>
        </w:rPr>
        <w:t>].</w:t>
      </w:r>
      <w:r>
        <w:rPr>
          <w:lang w:val="en-GB" w:eastAsia="zh-CN"/>
        </w:rPr>
        <w:t xml:space="preserve"> </w:t>
      </w:r>
      <w:r>
        <w:rPr>
          <w:lang w:val="en-GB" w:eastAsia="zh-CN"/>
        </w:rPr>
        <w:fldChar w:fldCharType="begin"/>
      </w:r>
      <w:r>
        <w:rPr>
          <w:lang w:val="en-GB" w:eastAsia="zh-CN"/>
        </w:rPr>
        <w:instrText xml:space="preserve"> REF _Ref224921015 \h  \* MERGEFORMAT </w:instrText>
      </w:r>
      <w:r>
        <w:rPr>
          <w:lang w:val="en-GB" w:eastAsia="zh-CN"/>
        </w:rPr>
      </w:r>
      <w:r>
        <w:rPr>
          <w:lang w:val="en-GB" w:eastAsia="zh-CN"/>
        </w:rPr>
        <w:fldChar w:fldCharType="separate"/>
      </w:r>
      <w:r>
        <w:rPr>
          <w:lang w:val="en-GB" w:eastAsia="zh-CN"/>
        </w:rPr>
        <w:t xml:space="preserve">Fig. </w:t>
      </w:r>
      <w:r>
        <w:rPr>
          <w:color w:val="0000FF"/>
          <w:lang w:val="en-GB" w:eastAsia="zh-CN"/>
        </w:rPr>
        <w:t>4</w:t>
      </w:r>
      <w:r>
        <w:rPr>
          <w:lang w:val="en-GB" w:eastAsia="zh-CN"/>
        </w:rPr>
        <w:fldChar w:fldCharType="end"/>
      </w:r>
      <w:r>
        <w:rPr>
          <w:rFonts w:hint="eastAsia"/>
          <w:lang w:val="en-GB" w:eastAsia="zh-CN"/>
        </w:rPr>
        <w:t xml:space="preserve"> </w:t>
      </w:r>
      <w:r>
        <w:rPr>
          <w:lang w:val="en-GB" w:eastAsia="zh-CN"/>
        </w:rPr>
        <w:t>illustrates the overall architecture.</w:t>
      </w:r>
    </w:p>
    <w:p w14:paraId="125511A5" w14:textId="77777777" w:rsidR="00B95851" w:rsidRDefault="00000000">
      <w:pPr>
        <w:ind w:firstLine="0"/>
        <w:rPr>
          <w:lang w:val="en-GB" w:eastAsia="zh-CN"/>
        </w:rPr>
      </w:pPr>
      <w:r>
        <w:rPr>
          <w:noProof/>
          <w:lang w:eastAsia="zh-CN"/>
        </w:rPr>
        <w:lastRenderedPageBreak/>
        <w:drawing>
          <wp:inline distT="0" distB="0" distL="0" distR="0" wp14:anchorId="130BF88D" wp14:editId="4D4AEAE6">
            <wp:extent cx="4211955" cy="1769110"/>
            <wp:effectExtent l="0" t="0" r="0" b="2540"/>
            <wp:docPr id="129"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8"/>
                    <pic:cNvPicPr>
                      <a:picLocks noChangeAspect="1"/>
                    </pic:cNvPicPr>
                  </pic:nvPicPr>
                  <pic:blipFill>
                    <a:blip r:embed="rId12"/>
                    <a:stretch>
                      <a:fillRect/>
                    </a:stretch>
                  </pic:blipFill>
                  <pic:spPr>
                    <a:xfrm>
                      <a:off x="0" y="0"/>
                      <a:ext cx="4211955" cy="1769110"/>
                    </a:xfrm>
                    <a:prstGeom prst="rect">
                      <a:avLst/>
                    </a:prstGeom>
                  </pic:spPr>
                </pic:pic>
              </a:graphicData>
            </a:graphic>
          </wp:inline>
        </w:drawing>
      </w:r>
    </w:p>
    <w:p w14:paraId="6492A175" w14:textId="77777777" w:rsidR="00B95851" w:rsidRDefault="00000000">
      <w:pPr>
        <w:pStyle w:val="a3"/>
        <w:ind w:firstLine="0"/>
        <w:jc w:val="center"/>
        <w:rPr>
          <w:sz w:val="17"/>
          <w:lang w:eastAsia="de-DE"/>
        </w:rPr>
      </w:pPr>
      <w:bookmarkStart w:id="12" w:name="_Ref224921015"/>
      <w:r>
        <w:rPr>
          <w:rFonts w:ascii="Times" w:eastAsia="宋体" w:hAnsi="Times"/>
          <w:b/>
          <w:bCs/>
          <w:sz w:val="17"/>
          <w:lang w:eastAsia="de-DE"/>
        </w:rPr>
        <w:t xml:space="preserve">Fig. </w:t>
      </w:r>
      <w:r>
        <w:rPr>
          <w:rFonts w:ascii="Times" w:eastAsia="宋体" w:hAnsi="Times"/>
          <w:b/>
          <w:bCs/>
          <w:sz w:val="17"/>
          <w:lang w:eastAsia="de-DE"/>
        </w:rPr>
        <w:fldChar w:fldCharType="begin"/>
      </w:r>
      <w:r>
        <w:rPr>
          <w:rFonts w:ascii="Times" w:eastAsia="宋体" w:hAnsi="Times"/>
          <w:b/>
          <w:bCs/>
          <w:sz w:val="17"/>
          <w:lang w:eastAsia="de-DE"/>
        </w:rPr>
        <w:instrText xml:space="preserve"> SEQ Fig. \* ARABIC </w:instrText>
      </w:r>
      <w:r>
        <w:rPr>
          <w:rFonts w:ascii="Times" w:eastAsia="宋体" w:hAnsi="Times"/>
          <w:b/>
          <w:bCs/>
          <w:sz w:val="17"/>
          <w:lang w:eastAsia="de-DE"/>
        </w:rPr>
        <w:fldChar w:fldCharType="separate"/>
      </w:r>
      <w:r>
        <w:rPr>
          <w:rFonts w:ascii="Times" w:eastAsia="宋体" w:hAnsi="Times"/>
          <w:b/>
          <w:bCs/>
          <w:sz w:val="17"/>
          <w:lang w:eastAsia="de-DE"/>
        </w:rPr>
        <w:t>4</w:t>
      </w:r>
      <w:r>
        <w:rPr>
          <w:rFonts w:ascii="Times" w:eastAsia="宋体" w:hAnsi="Times"/>
          <w:b/>
          <w:bCs/>
          <w:sz w:val="17"/>
          <w:lang w:eastAsia="de-DE"/>
        </w:rPr>
        <w:fldChar w:fldCharType="end"/>
      </w:r>
      <w:bookmarkEnd w:id="12"/>
      <w:r>
        <w:rPr>
          <w:rFonts w:hint="eastAsia"/>
        </w:rPr>
        <w:t xml:space="preserve"> </w:t>
      </w:r>
      <w:r>
        <w:rPr>
          <w:rFonts w:ascii="Times" w:eastAsia="宋体" w:hAnsi="Times"/>
          <w:sz w:val="17"/>
          <w:lang w:eastAsia="de-DE"/>
        </w:rPr>
        <w:t>Architecture of the MediArch agentic retrieval framework</w:t>
      </w:r>
    </w:p>
    <w:p w14:paraId="68490062" w14:textId="77777777" w:rsidR="00B95851" w:rsidRDefault="00000000">
      <w:pPr>
        <w:pStyle w:val="heading3"/>
        <w:rPr>
          <w:lang w:val="en-GB" w:eastAsia="en-GB"/>
        </w:rPr>
      </w:pPr>
      <w:r>
        <w:rPr>
          <w:rFonts w:hint="eastAsia"/>
          <w:lang w:eastAsia="zh-CN"/>
        </w:rPr>
        <w:t>2</w:t>
      </w:r>
      <w:r>
        <w:rPr>
          <w:lang w:val="en-GB" w:eastAsia="en-GB"/>
        </w:rPr>
        <w:t>.</w:t>
      </w:r>
      <w:r>
        <w:rPr>
          <w:rFonts w:hint="eastAsia"/>
          <w:lang w:eastAsia="zh-CN"/>
        </w:rPr>
        <w:t>2</w:t>
      </w:r>
      <w:r>
        <w:rPr>
          <w:lang w:val="en-GB" w:eastAsia="en-GB"/>
        </w:rPr>
        <w:t>.</w:t>
      </w:r>
      <w:r>
        <w:rPr>
          <w:rFonts w:hint="eastAsia"/>
          <w:lang w:eastAsia="zh-CN"/>
        </w:rPr>
        <w:t>1</w:t>
      </w:r>
      <w:r>
        <w:rPr>
          <w:lang w:val="en-GB" w:eastAsia="en-GB"/>
        </w:rPr>
        <w:t xml:space="preserve"> </w:t>
      </w:r>
      <w:r>
        <w:rPr>
          <w:rFonts w:hint="eastAsia"/>
          <w:lang w:val="en-GB" w:eastAsia="en-GB"/>
        </w:rPr>
        <w:t>Hybrid Indexing and Synergistic Storage</w:t>
      </w:r>
    </w:p>
    <w:p w14:paraId="53A0AB9B" w14:textId="77777777" w:rsidR="00B95851" w:rsidRDefault="00000000">
      <w:pPr>
        <w:pStyle w:val="p1a"/>
        <w:rPr>
          <w:lang w:val="en-GB" w:eastAsia="zh-CN"/>
        </w:rPr>
      </w:pPr>
      <w:bookmarkStart w:id="13" w:name="OLE_LINK7"/>
      <w:r>
        <w:rPr>
          <w:lang w:val="en-GB" w:eastAsia="zh-CN"/>
        </w:rPr>
        <w:t>MediArch uses three complementary backends managed by dedicated retrieval agents. Neo4j and Milvus support parallel recall-oriented retrieval, while MongoDB provides citation-grade evidence grounding.</w:t>
      </w:r>
    </w:p>
    <w:p w14:paraId="55E44AC0" w14:textId="77777777" w:rsidR="00B95851" w:rsidRDefault="00000000">
      <w:pPr>
        <w:pStyle w:val="p1a"/>
        <w:ind w:firstLineChars="100" w:firstLine="200"/>
        <w:rPr>
          <w:lang w:val="en-GB" w:eastAsia="zh-CN"/>
        </w:rPr>
      </w:pPr>
      <w:r>
        <w:rPr>
          <w:lang w:val="en-GB" w:eastAsia="zh-CN"/>
        </w:rPr>
        <w:t>The Neo4j agent retrieves structured knowledge through LLM-driven concept expansion, full-text matching, and multi-hop graph traversal, returning subgraphs grouped by ontology label. The Milvus agent performs semantic retrieval over vectorized document chunks, followed by cross-encoder reranking and compact knowledge-point extraction. The MongoDB agent verifies source documents by direct chunk lookup when identifiers are available, or by keyword retrieval otherwise, returning page numbers, section headings, and source identifiers for traceable responses</w:t>
      </w:r>
      <w:r>
        <w:rPr>
          <w:rFonts w:hint="eastAsia"/>
          <w:lang w:val="en-GB" w:eastAsia="zh-CN"/>
        </w:rPr>
        <w:t>.</w:t>
      </w:r>
    </w:p>
    <w:bookmarkEnd w:id="13"/>
    <w:p w14:paraId="321481BD" w14:textId="77777777" w:rsidR="00B95851" w:rsidRDefault="00000000">
      <w:pPr>
        <w:pStyle w:val="heading3"/>
        <w:rPr>
          <w:lang w:val="en-GB" w:eastAsia="en-GB"/>
        </w:rPr>
      </w:pPr>
      <w:r>
        <w:rPr>
          <w:rFonts w:hint="eastAsia"/>
          <w:lang w:eastAsia="zh-CN"/>
        </w:rPr>
        <w:t>2</w:t>
      </w:r>
      <w:r>
        <w:rPr>
          <w:lang w:val="en-GB" w:eastAsia="en-GB"/>
        </w:rPr>
        <w:t>.</w:t>
      </w:r>
      <w:r>
        <w:rPr>
          <w:rFonts w:hint="eastAsia"/>
          <w:lang w:eastAsia="zh-CN"/>
        </w:rPr>
        <w:t>2</w:t>
      </w:r>
      <w:r>
        <w:rPr>
          <w:lang w:val="en-GB" w:eastAsia="en-GB"/>
        </w:rPr>
        <w:t>.</w:t>
      </w:r>
      <w:r>
        <w:rPr>
          <w:rFonts w:hint="eastAsia"/>
          <w:lang w:eastAsia="zh-CN"/>
        </w:rPr>
        <w:t>2</w:t>
      </w:r>
      <w:r>
        <w:rPr>
          <w:lang w:val="en-GB" w:eastAsia="en-GB"/>
        </w:rPr>
        <w:t xml:space="preserve"> </w:t>
      </w:r>
      <w:r>
        <w:rPr>
          <w:rFonts w:hint="eastAsia"/>
          <w:lang w:val="en-GB" w:eastAsia="en-GB"/>
        </w:rPr>
        <w:t>Collaborative Reasoning and Synthesis</w:t>
      </w:r>
    </w:p>
    <w:p w14:paraId="57C20F44" w14:textId="77777777" w:rsidR="00B95851" w:rsidRDefault="00000000">
      <w:pPr>
        <w:pStyle w:val="p1a"/>
        <w:rPr>
          <w:lang w:val="en-GB" w:eastAsia="zh-CN"/>
        </w:rPr>
      </w:pPr>
      <w:r>
        <w:rPr>
          <w:lang w:val="en-GB" w:eastAsia="zh-CN"/>
        </w:rPr>
        <w:t xml:space="preserve">The </w:t>
      </w:r>
      <w:r>
        <w:rPr>
          <w:rFonts w:hint="eastAsia"/>
          <w:lang w:val="en-GB" w:eastAsia="zh-CN"/>
        </w:rPr>
        <w:t xml:space="preserve">retrieval </w:t>
      </w:r>
      <w:r>
        <w:rPr>
          <w:lang w:val="en-GB" w:eastAsia="zh-CN"/>
        </w:rPr>
        <w:t xml:space="preserve">workflow is implemented as a </w:t>
      </w:r>
      <w:proofErr w:type="spellStart"/>
      <w:r>
        <w:rPr>
          <w:lang w:val="en-GB" w:eastAsia="zh-CN"/>
        </w:rPr>
        <w:t>LangGraph</w:t>
      </w:r>
      <w:proofErr w:type="spellEnd"/>
      <w:r>
        <w:rPr>
          <w:lang w:val="en-GB" w:eastAsia="zh-CN"/>
        </w:rPr>
        <w:t xml:space="preserve"> state machine and proceeds in four phases (</w:t>
      </w:r>
      <w:r>
        <w:rPr>
          <w:lang w:val="en-GB" w:eastAsia="zh-CN"/>
        </w:rPr>
        <w:fldChar w:fldCharType="begin"/>
      </w:r>
      <w:r>
        <w:rPr>
          <w:lang w:val="en-GB" w:eastAsia="zh-CN"/>
        </w:rPr>
        <w:instrText xml:space="preserve"> REF _Ref224921079 \h  \* MERGEFORMAT </w:instrText>
      </w:r>
      <w:r>
        <w:rPr>
          <w:lang w:val="en-GB" w:eastAsia="zh-CN"/>
        </w:rPr>
      </w:r>
      <w:r>
        <w:rPr>
          <w:lang w:val="en-GB" w:eastAsia="zh-CN"/>
        </w:rPr>
        <w:fldChar w:fldCharType="separate"/>
      </w:r>
      <w:r>
        <w:rPr>
          <w:lang w:val="en-GB" w:eastAsia="zh-CN"/>
        </w:rPr>
        <w:t>Fig.</w:t>
      </w:r>
      <w:r>
        <w:rPr>
          <w:color w:val="0000FF"/>
          <w:lang w:val="en-GB" w:eastAsia="zh-CN"/>
        </w:rPr>
        <w:t xml:space="preserve"> 5</w:t>
      </w:r>
      <w:r>
        <w:rPr>
          <w:lang w:val="en-GB" w:eastAsia="zh-CN"/>
        </w:rPr>
        <w:fldChar w:fldCharType="end"/>
      </w:r>
      <w:r>
        <w:rPr>
          <w:lang w:val="en-GB" w:eastAsia="zh-CN"/>
        </w:rPr>
        <w:t>)</w:t>
      </w:r>
    </w:p>
    <w:p w14:paraId="4AD09B37" w14:textId="77777777" w:rsidR="00B95851" w:rsidRDefault="00B95851">
      <w:pPr>
        <w:rPr>
          <w:lang w:val="en-GB" w:eastAsia="zh-CN"/>
        </w:rPr>
      </w:pPr>
    </w:p>
    <w:p w14:paraId="3FDF5BF5" w14:textId="77777777" w:rsidR="00B95851" w:rsidRDefault="00000000">
      <w:pPr>
        <w:ind w:firstLine="0"/>
        <w:rPr>
          <w:lang w:val="en-GB" w:eastAsia="zh-CN"/>
        </w:rPr>
      </w:pPr>
      <w:r>
        <w:rPr>
          <w:noProof/>
          <w:lang w:val="en-GB" w:eastAsia="zh-CN"/>
        </w:rPr>
        <w:drawing>
          <wp:inline distT="0" distB="0" distL="114300" distR="114300" wp14:anchorId="4E2263CD" wp14:editId="185B9F0B">
            <wp:extent cx="4311015" cy="1139825"/>
            <wp:effectExtent l="0" t="0" r="1905" b="3175"/>
            <wp:docPr id="13" name="图片 13" descr="小论文绘图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小论文绘图_04"/>
                    <pic:cNvPicPr>
                      <a:picLocks noChangeAspect="1"/>
                    </pic:cNvPicPr>
                  </pic:nvPicPr>
                  <pic:blipFill>
                    <a:blip r:embed="rId13"/>
                    <a:stretch>
                      <a:fillRect/>
                    </a:stretch>
                  </pic:blipFill>
                  <pic:spPr>
                    <a:xfrm>
                      <a:off x="0" y="0"/>
                      <a:ext cx="4311015" cy="1139825"/>
                    </a:xfrm>
                    <a:prstGeom prst="rect">
                      <a:avLst/>
                    </a:prstGeom>
                  </pic:spPr>
                </pic:pic>
              </a:graphicData>
            </a:graphic>
          </wp:inline>
        </w:drawing>
      </w:r>
    </w:p>
    <w:p w14:paraId="76D78AB6" w14:textId="77777777" w:rsidR="00B95851" w:rsidRDefault="00000000">
      <w:pPr>
        <w:pStyle w:val="a3"/>
        <w:ind w:firstLine="0"/>
        <w:jc w:val="center"/>
        <w:rPr>
          <w:rFonts w:ascii="Times" w:eastAsia="宋体" w:hAnsi="Times"/>
          <w:sz w:val="17"/>
          <w:lang w:eastAsia="de-DE"/>
        </w:rPr>
      </w:pPr>
      <w:bookmarkStart w:id="14" w:name="_Ref224921079"/>
      <w:bookmarkStart w:id="15" w:name="_Ref224920701"/>
      <w:r>
        <w:rPr>
          <w:rFonts w:ascii="Times" w:eastAsia="宋体" w:hAnsi="Times"/>
          <w:b/>
          <w:bCs/>
          <w:sz w:val="17"/>
          <w:lang w:eastAsia="de-DE"/>
        </w:rPr>
        <w:t xml:space="preserve">Fig. </w:t>
      </w:r>
      <w:r>
        <w:rPr>
          <w:rFonts w:ascii="Times" w:eastAsia="宋体" w:hAnsi="Times"/>
          <w:b/>
          <w:bCs/>
          <w:sz w:val="17"/>
          <w:lang w:eastAsia="de-DE"/>
        </w:rPr>
        <w:fldChar w:fldCharType="begin"/>
      </w:r>
      <w:r>
        <w:rPr>
          <w:rFonts w:ascii="Times" w:eastAsia="宋体" w:hAnsi="Times"/>
          <w:b/>
          <w:bCs/>
          <w:sz w:val="17"/>
          <w:lang w:eastAsia="de-DE"/>
        </w:rPr>
        <w:instrText xml:space="preserve"> SEQ Fig. \* ARABIC </w:instrText>
      </w:r>
      <w:r>
        <w:rPr>
          <w:rFonts w:ascii="Times" w:eastAsia="宋体" w:hAnsi="Times"/>
          <w:b/>
          <w:bCs/>
          <w:sz w:val="17"/>
          <w:lang w:eastAsia="de-DE"/>
        </w:rPr>
        <w:fldChar w:fldCharType="separate"/>
      </w:r>
      <w:r>
        <w:rPr>
          <w:rFonts w:ascii="Times" w:eastAsia="宋体" w:hAnsi="Times"/>
          <w:b/>
          <w:bCs/>
          <w:sz w:val="17"/>
          <w:lang w:eastAsia="de-DE"/>
        </w:rPr>
        <w:t>5</w:t>
      </w:r>
      <w:r>
        <w:rPr>
          <w:rFonts w:ascii="Times" w:eastAsia="宋体" w:hAnsi="Times"/>
          <w:b/>
          <w:bCs/>
          <w:sz w:val="17"/>
          <w:lang w:eastAsia="de-DE"/>
        </w:rPr>
        <w:fldChar w:fldCharType="end"/>
      </w:r>
      <w:bookmarkEnd w:id="14"/>
      <w:r>
        <w:rPr>
          <w:rFonts w:ascii="Times" w:eastAsia="宋体" w:hAnsi="Times" w:hint="eastAsia"/>
          <w:sz w:val="17"/>
        </w:rPr>
        <w:t xml:space="preserve"> </w:t>
      </w:r>
      <w:r>
        <w:rPr>
          <w:rFonts w:ascii="Times" w:eastAsia="宋体" w:hAnsi="Times"/>
          <w:sz w:val="17"/>
          <w:lang w:eastAsia="de-DE"/>
        </w:rPr>
        <w:t>Architecture of the MediArch agentic retrieval graph</w:t>
      </w:r>
      <w:bookmarkEnd w:id="15"/>
    </w:p>
    <w:p w14:paraId="45F1579C" w14:textId="77777777" w:rsidR="00B95851" w:rsidRDefault="00B95851">
      <w:pPr>
        <w:rPr>
          <w:lang w:eastAsia="zh-CN"/>
        </w:rPr>
      </w:pPr>
    </w:p>
    <w:p w14:paraId="56BAE04D" w14:textId="77777777" w:rsidR="00B95851" w:rsidRDefault="00000000">
      <w:pPr>
        <w:ind w:firstLineChars="100" w:firstLine="201"/>
        <w:rPr>
          <w:lang w:val="en-GB" w:eastAsia="zh-CN"/>
        </w:rPr>
      </w:pPr>
      <w:bookmarkStart w:id="16" w:name="OLE_LINK6"/>
      <w:r>
        <w:rPr>
          <w:b/>
          <w:bCs/>
          <w:lang w:val="en-GB" w:eastAsia="zh-CN"/>
        </w:rPr>
        <w:lastRenderedPageBreak/>
        <w:t>Phase 1: Orchestration</w:t>
      </w:r>
      <w:r>
        <w:rPr>
          <w:rFonts w:hint="eastAsia"/>
          <w:b/>
          <w:bCs/>
          <w:lang w:val="en-GB" w:eastAsia="zh-CN"/>
        </w:rPr>
        <w:t xml:space="preserve"> </w:t>
      </w:r>
      <w:r>
        <w:rPr>
          <w:lang w:val="en-GB" w:eastAsia="zh-CN"/>
        </w:rPr>
        <w:t xml:space="preserve">The orchestrator agent </w:t>
      </w:r>
      <w:proofErr w:type="spellStart"/>
      <w:r>
        <w:rPr>
          <w:lang w:val="en-GB" w:eastAsia="zh-CN"/>
        </w:rPr>
        <w:t>analyzes</w:t>
      </w:r>
      <w:proofErr w:type="spellEnd"/>
      <w:r>
        <w:rPr>
          <w:lang w:val="en-GB" w:eastAsia="zh-CN"/>
        </w:rPr>
        <w:t xml:space="preserve"> query intent, resolves coreferences from the conversation history, rewrites the query for retrieval, and selects the retrieval agents to activate. Off-topic or purely conversational requests are answered directly without invoking the full pipeline.</w:t>
      </w:r>
    </w:p>
    <w:p w14:paraId="5A3BC1A3" w14:textId="77777777" w:rsidR="00B95851" w:rsidRDefault="00000000">
      <w:pPr>
        <w:ind w:firstLineChars="100" w:firstLine="201"/>
        <w:rPr>
          <w:lang w:eastAsia="zh-CN"/>
        </w:rPr>
      </w:pPr>
      <w:r>
        <w:rPr>
          <w:b/>
          <w:bCs/>
          <w:lang w:eastAsia="zh-CN"/>
        </w:rPr>
        <w:t>Phase 2: Parallel Retrieval and Fusion</w:t>
      </w:r>
      <w:r>
        <w:rPr>
          <w:lang w:eastAsia="zh-CN"/>
        </w:rPr>
        <w:t xml:space="preserve"> Neo4j and Milvus run in parallel. A deterministic, LLM-free module merges their outputs into unified hints and an answer graph, and scores retrieval quality by entity coverage, chunk coverage, relation richness, and cross-modal complementarity.</w:t>
      </w:r>
    </w:p>
    <w:p w14:paraId="418077FC" w14:textId="77777777" w:rsidR="00B95851" w:rsidRDefault="00000000">
      <w:pPr>
        <w:ind w:firstLineChars="100" w:firstLine="201"/>
        <w:rPr>
          <w:lang w:eastAsia="zh-CN"/>
        </w:rPr>
      </w:pPr>
      <w:r>
        <w:rPr>
          <w:b/>
          <w:bCs/>
          <w:lang w:eastAsia="zh-CN"/>
        </w:rPr>
        <w:t>Phase 3: Evidence Grounding</w:t>
      </w:r>
      <w:r>
        <w:rPr>
          <w:rFonts w:hint="eastAsia"/>
          <w:b/>
          <w:bCs/>
          <w:lang w:eastAsia="zh-CN"/>
        </w:rPr>
        <w:t xml:space="preserve"> </w:t>
      </w:r>
      <w:proofErr w:type="gramStart"/>
      <w:r>
        <w:rPr>
          <w:lang w:eastAsia="zh-CN"/>
        </w:rPr>
        <w:t>The</w:t>
      </w:r>
      <w:proofErr w:type="gramEnd"/>
      <w:r>
        <w:rPr>
          <w:lang w:eastAsia="zh-CN"/>
        </w:rPr>
        <w:t xml:space="preserve"> MongoDB agent uses the unified hints to retrieve source passages with page-level precision, converting high-recall retrieval outputs into citation-ready evidence</w:t>
      </w:r>
      <w:r>
        <w:rPr>
          <w:rFonts w:hint="eastAsia"/>
          <w:lang w:eastAsia="zh-CN"/>
        </w:rPr>
        <w:t>.</w:t>
      </w:r>
    </w:p>
    <w:p w14:paraId="7887DC5B" w14:textId="77777777" w:rsidR="00B95851" w:rsidRDefault="00000000">
      <w:pPr>
        <w:ind w:firstLineChars="100" w:firstLine="201"/>
        <w:rPr>
          <w:lang w:eastAsia="zh-CN"/>
        </w:rPr>
      </w:pPr>
      <w:r>
        <w:rPr>
          <w:b/>
          <w:bCs/>
          <w:lang w:eastAsia="zh-CN"/>
        </w:rPr>
        <w:t>Phase 4: Quality-Gated Synthesis</w:t>
      </w:r>
      <w:r>
        <w:rPr>
          <w:rFonts w:hint="eastAsia"/>
          <w:b/>
          <w:bCs/>
          <w:lang w:eastAsia="zh-CN"/>
        </w:rPr>
        <w:t xml:space="preserve"> </w:t>
      </w:r>
      <w:r>
        <w:rPr>
          <w:lang w:eastAsia="zh-CN"/>
        </w:rPr>
        <w:t>The synthesizer combines graph evidence, semantic passages, and citation metadata into a response. An evaluation loop checks completeness, citation adequacy, and domain consistency, and regenerates if needed within the retry budge</w:t>
      </w:r>
      <w:r>
        <w:rPr>
          <w:rFonts w:hint="eastAsia"/>
          <w:lang w:eastAsia="zh-CN"/>
        </w:rPr>
        <w:t>t</w:t>
      </w:r>
      <w:r>
        <w:rPr>
          <w:lang w:eastAsia="zh-CN"/>
        </w:rPr>
        <w:t>.</w:t>
      </w:r>
    </w:p>
    <w:bookmarkEnd w:id="16"/>
    <w:p w14:paraId="0F1D78C9" w14:textId="77777777" w:rsidR="00B95851" w:rsidRDefault="00000000">
      <w:pPr>
        <w:pStyle w:val="heading1"/>
        <w:rPr>
          <w:lang w:val="en-GB" w:eastAsia="en-GB"/>
        </w:rPr>
      </w:pPr>
      <w:r>
        <w:rPr>
          <w:rFonts w:hint="eastAsia"/>
          <w:lang w:eastAsia="zh-CN"/>
        </w:rPr>
        <w:t xml:space="preserve">3 </w:t>
      </w:r>
      <w:r>
        <w:rPr>
          <w:rFonts w:hint="eastAsia"/>
          <w:lang w:val="en-GB" w:eastAsia="en-GB"/>
        </w:rPr>
        <w:t>Experiments and Evaluation</w:t>
      </w:r>
    </w:p>
    <w:p w14:paraId="78AF75E2" w14:textId="77777777" w:rsidR="00B95851" w:rsidRDefault="00000000">
      <w:pPr>
        <w:pStyle w:val="p1a"/>
        <w:rPr>
          <w:lang w:val="en-GB" w:eastAsia="zh-CN"/>
        </w:rPr>
      </w:pPr>
      <w:r>
        <w:rPr>
          <w:lang w:val="en-GB" w:eastAsia="zh-CN"/>
        </w:rPr>
        <w:t>We evaluate MediArch from two perspectives: knowledge graph construction and end-to-end question answering. The experimental corpus consists of nine source documents, including three research papers, two professional books, two national normative documents, and two policy documents. After data processing, the corpus contains 1,708 chunks in total. The first part evaluates the scale, structural coverage, and provenance support of the constructed healthcare-architecture knowledge graph. The second part examines whether the graph-supported multi-agent pipeline improves downstream evidence retrieval, answer accuracy, and response completeness.</w:t>
      </w:r>
    </w:p>
    <w:p w14:paraId="7E4A4826" w14:textId="77777777" w:rsidR="00B95851" w:rsidRDefault="00000000">
      <w:pPr>
        <w:pStyle w:val="heading2"/>
        <w:rPr>
          <w:lang w:val="en-GB" w:eastAsia="en-GB"/>
        </w:rPr>
      </w:pPr>
      <w:r>
        <w:rPr>
          <w:rFonts w:hint="eastAsia"/>
          <w:lang w:eastAsia="zh-CN"/>
        </w:rPr>
        <w:t>3</w:t>
      </w:r>
      <w:r>
        <w:rPr>
          <w:rFonts w:hint="eastAsia"/>
          <w:lang w:val="en-GB" w:eastAsia="en-GB"/>
        </w:rPr>
        <w:t>.</w:t>
      </w:r>
      <w:r>
        <w:rPr>
          <w:rFonts w:hint="eastAsia"/>
          <w:lang w:eastAsia="zh-CN"/>
        </w:rPr>
        <w:t>1</w:t>
      </w:r>
      <w:r>
        <w:rPr>
          <w:rFonts w:hint="eastAsia"/>
          <w:lang w:val="en-GB" w:eastAsia="en-GB"/>
        </w:rPr>
        <w:t xml:space="preserve"> </w:t>
      </w:r>
      <w:r>
        <w:rPr>
          <w:lang w:val="en-GB" w:eastAsia="en-GB"/>
        </w:rPr>
        <w:t>Knowledge Graph Quality</w:t>
      </w:r>
    </w:p>
    <w:p w14:paraId="02BECD20" w14:textId="77777777" w:rsidR="00B95851" w:rsidRDefault="00000000">
      <w:pPr>
        <w:ind w:firstLine="0"/>
        <w:rPr>
          <w:lang w:eastAsia="zh-CN"/>
        </w:rPr>
      </w:pPr>
      <w:r>
        <w:rPr>
          <w:rFonts w:hint="eastAsia"/>
          <w:lang w:eastAsia="zh-CN"/>
        </w:rPr>
        <w:t>This subsection summarizes the construction quality of the MediArch knowledge graph. The resulting graph contains roughly 7.2k nodes and 8.7k relationships, with most nodes and edges retaining chunk-level provenance. It also covers the full set of predefined entity and relation categories in the schema, which suggests that the pipeline can capture not only isolated design concepts but also the structural dependencies among spaces, functions, and regulatory constraints. Taken together, these results provide a useful foundation for downstream retrieval and evidence-grounded question answering.</w:t>
      </w:r>
    </w:p>
    <w:p w14:paraId="6CCFE6B7" w14:textId="77777777" w:rsidR="00B95851" w:rsidRDefault="00000000">
      <w:pPr>
        <w:pStyle w:val="heading2"/>
        <w:rPr>
          <w:lang w:val="en-GB" w:eastAsia="en-GB"/>
        </w:rPr>
      </w:pPr>
      <w:r>
        <w:rPr>
          <w:rFonts w:hint="eastAsia"/>
          <w:lang w:eastAsia="zh-CN"/>
        </w:rPr>
        <w:lastRenderedPageBreak/>
        <w:t>3</w:t>
      </w:r>
      <w:r>
        <w:rPr>
          <w:rFonts w:hint="eastAsia"/>
          <w:lang w:val="en-GB" w:eastAsia="en-GB"/>
        </w:rPr>
        <w:t>.</w:t>
      </w:r>
      <w:r>
        <w:rPr>
          <w:rFonts w:hint="eastAsia"/>
          <w:lang w:eastAsia="zh-CN"/>
        </w:rPr>
        <w:t>2</w:t>
      </w:r>
      <w:r>
        <w:rPr>
          <w:rFonts w:hint="eastAsia"/>
          <w:lang w:val="en-GB" w:eastAsia="en-GB"/>
        </w:rPr>
        <w:t xml:space="preserve"> </w:t>
      </w:r>
      <w:r>
        <w:rPr>
          <w:lang w:val="en-GB" w:eastAsia="en-GB"/>
        </w:rPr>
        <w:t>End-to-End Retrieval and QA</w:t>
      </w:r>
    </w:p>
    <w:p w14:paraId="7ED2ED1F" w14:textId="77777777" w:rsidR="00B95851" w:rsidRDefault="00000000">
      <w:pPr>
        <w:ind w:firstLine="0"/>
        <w:rPr>
          <w:lang w:val="en-GB" w:eastAsia="zh-CN"/>
        </w:rPr>
      </w:pPr>
      <w:r>
        <w:rPr>
          <w:lang w:val="en-GB" w:eastAsia="zh-CN"/>
        </w:rPr>
        <w:t>To evaluate the downstream utility of MediArch, we construct an end-to-end QA benchmark from the full experimental corpus of nine healthcare-architecture documents. The corpus includes technical standards, policy documents, academic papers, and books and reports, covering 801 pages in total and providing heterogeneous design knowledge for retrieval and answer generation. Based on this corpus, we manually curate 18 benchmark questions for evaluation. As shown in</w:t>
      </w:r>
      <w:r>
        <w:rPr>
          <w:rFonts w:hint="eastAsia"/>
          <w:lang w:val="en-GB" w:eastAsia="zh-CN"/>
        </w:rPr>
        <w:t xml:space="preserve"> </w:t>
      </w:r>
      <w:r>
        <w:rPr>
          <w:lang w:val="en-GB" w:eastAsia="zh-CN"/>
        </w:rPr>
        <w:fldChar w:fldCharType="begin"/>
      </w:r>
      <w:r>
        <w:rPr>
          <w:lang w:val="en-GB" w:eastAsia="zh-CN"/>
        </w:rPr>
        <w:instrText xml:space="preserve"> REF _Ref225452981 \h  \* MERGEFORMAT </w:instrText>
      </w:r>
      <w:r>
        <w:rPr>
          <w:lang w:val="en-GB" w:eastAsia="zh-CN"/>
        </w:rPr>
      </w:r>
      <w:r>
        <w:rPr>
          <w:lang w:val="en-GB" w:eastAsia="zh-CN"/>
        </w:rPr>
        <w:fldChar w:fldCharType="separate"/>
      </w:r>
      <w:r>
        <w:rPr>
          <w:lang w:val="en-GB" w:eastAsia="zh-CN"/>
        </w:rPr>
        <w:t xml:space="preserve">Table </w:t>
      </w:r>
      <w:r>
        <w:rPr>
          <w:color w:val="0000FF"/>
          <w:lang w:val="en-GB" w:eastAsia="zh-CN"/>
        </w:rPr>
        <w:t>3</w:t>
      </w:r>
      <w:r>
        <w:rPr>
          <w:lang w:val="en-GB" w:eastAsia="zh-CN"/>
        </w:rPr>
        <w:fldChar w:fldCharType="end"/>
      </w:r>
      <w:r>
        <w:rPr>
          <w:lang w:val="en-GB" w:eastAsia="zh-CN"/>
        </w:rPr>
        <w:t>, the benchmark is organized by source coverage rather than strict proportional sampling, including four questions from technical standards, two from policy documents, six from academic papers, and six from books and reports. This design ensures coverage of regulatory constraints, planning and management guidance, research-based evidence, and practice-oriented design knowledge. The questions further span four representative QA demands in healthcare architectural decision support: fact verification, spatial-functional reasoning, cross-document synthesis, and design recommendation. For each question, we prepare a compressed expected answer, one key reference source, and a short evidence note.</w:t>
      </w:r>
    </w:p>
    <w:p w14:paraId="7CDFABBB" w14:textId="77777777" w:rsidR="00B95851" w:rsidRDefault="00B95851">
      <w:pPr>
        <w:ind w:firstLine="0"/>
        <w:rPr>
          <w:lang w:val="en-GB" w:eastAsia="zh-CN"/>
        </w:rPr>
      </w:pPr>
    </w:p>
    <w:p w14:paraId="2BCC0D4F" w14:textId="77777777" w:rsidR="00B95851" w:rsidRDefault="00000000">
      <w:pPr>
        <w:ind w:firstLine="0"/>
        <w:jc w:val="center"/>
        <w:rPr>
          <w:lang w:val="en-GB" w:eastAsia="zh-CN"/>
        </w:rPr>
      </w:pPr>
      <w:r>
        <w:rPr>
          <w:noProof/>
          <w:lang w:val="en-GB" w:eastAsia="zh-CN"/>
        </w:rPr>
        <w:drawing>
          <wp:inline distT="0" distB="0" distL="0" distR="0" wp14:anchorId="0DF12E3C" wp14:editId="788760FA">
            <wp:extent cx="4197350" cy="83756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268894" cy="852040"/>
                    </a:xfrm>
                    <a:prstGeom prst="rect">
                      <a:avLst/>
                    </a:prstGeom>
                    <a:noFill/>
                  </pic:spPr>
                </pic:pic>
              </a:graphicData>
            </a:graphic>
          </wp:inline>
        </w:drawing>
      </w:r>
    </w:p>
    <w:p w14:paraId="4E276A96" w14:textId="77777777" w:rsidR="00B95851" w:rsidRDefault="00000000">
      <w:pPr>
        <w:pStyle w:val="a3"/>
        <w:rPr>
          <w:rFonts w:ascii="Times" w:eastAsia="宋体" w:hAnsi="Times"/>
          <w:sz w:val="17"/>
          <w:lang w:eastAsia="de-DE"/>
        </w:rPr>
      </w:pPr>
      <w:bookmarkStart w:id="17" w:name="_Ref225452981"/>
      <w:r>
        <w:rPr>
          <w:rFonts w:ascii="Times" w:eastAsia="宋体" w:hAnsi="Times"/>
          <w:b/>
          <w:bCs/>
          <w:sz w:val="17"/>
          <w:lang w:eastAsia="de-DE"/>
        </w:rPr>
        <w:t xml:space="preserve">Table </w:t>
      </w:r>
      <w:bookmarkEnd w:id="17"/>
      <w:r>
        <w:rPr>
          <w:rFonts w:ascii="Times" w:eastAsia="宋体" w:hAnsi="Times" w:hint="eastAsia"/>
          <w:b/>
          <w:bCs/>
          <w:sz w:val="17"/>
        </w:rPr>
        <w:t>3</w:t>
      </w:r>
      <w:r>
        <w:rPr>
          <w:rFonts w:ascii="Times" w:eastAsia="宋体" w:hAnsi="Times" w:hint="eastAsia"/>
          <w:sz w:val="17"/>
        </w:rPr>
        <w:t xml:space="preserve"> </w:t>
      </w:r>
      <w:r>
        <w:rPr>
          <w:rFonts w:ascii="Times" w:eastAsia="宋体" w:hAnsi="Times"/>
          <w:sz w:val="17"/>
          <w:lang w:eastAsia="de-DE"/>
        </w:rPr>
        <w:t>Source-type distribution of benchmark questions for end-to-end QA evaluation</w:t>
      </w:r>
    </w:p>
    <w:p w14:paraId="5930E2FE" w14:textId="77777777" w:rsidR="00B95851" w:rsidRDefault="00B95851"/>
    <w:p w14:paraId="438116B2" w14:textId="77777777" w:rsidR="00B95851" w:rsidRDefault="00000000">
      <w:pPr>
        <w:rPr>
          <w:lang w:eastAsia="zh-CN"/>
        </w:rPr>
      </w:pPr>
      <w:r>
        <w:rPr>
          <w:lang w:eastAsia="zh-CN"/>
        </w:rPr>
        <w:t xml:space="preserve">As shown in </w:t>
      </w:r>
      <w:r>
        <w:rPr>
          <w:lang w:val="en-GB" w:eastAsia="zh-CN"/>
        </w:rPr>
        <w:fldChar w:fldCharType="begin"/>
      </w:r>
      <w:r>
        <w:rPr>
          <w:lang w:val="en-GB" w:eastAsia="zh-CN"/>
        </w:rPr>
        <w:instrText xml:space="preserve"> </w:instrText>
      </w:r>
      <w:r>
        <w:rPr>
          <w:rFonts w:hint="eastAsia"/>
          <w:lang w:val="en-GB" w:eastAsia="zh-CN"/>
        </w:rPr>
        <w:instrText>REF _Ref225453483 \h</w:instrText>
      </w:r>
      <w:r>
        <w:rPr>
          <w:lang w:val="en-GB" w:eastAsia="zh-CN"/>
        </w:rPr>
        <w:instrText xml:space="preserve">  \* MERGEFORMAT </w:instrText>
      </w:r>
      <w:r>
        <w:rPr>
          <w:lang w:val="en-GB" w:eastAsia="zh-CN"/>
        </w:rPr>
      </w:r>
      <w:r>
        <w:rPr>
          <w:lang w:val="en-GB" w:eastAsia="zh-CN"/>
        </w:rPr>
        <w:fldChar w:fldCharType="separate"/>
      </w:r>
      <w:r>
        <w:rPr>
          <w:lang w:val="en-GB" w:eastAsia="zh-CN"/>
        </w:rPr>
        <w:t xml:space="preserve">Table </w:t>
      </w:r>
      <w:r>
        <w:rPr>
          <w:color w:val="0000FF"/>
          <w:lang w:val="en-GB" w:eastAsia="zh-CN"/>
        </w:rPr>
        <w:t>4</w:t>
      </w:r>
      <w:r>
        <w:rPr>
          <w:lang w:val="en-GB" w:eastAsia="zh-CN"/>
        </w:rPr>
        <w:fldChar w:fldCharType="end"/>
      </w:r>
      <w:r>
        <w:rPr>
          <w:lang w:eastAsia="zh-CN"/>
        </w:rPr>
        <w:t xml:space="preserve">, the three settings exhibit clear differences in QA quality. Compared with R0, R1 improves evidence coverage by incorporating graph retrieval, while R2 further improves answer accuracy and completeness through source-grounded retrieval and controlled synthesis. In particular, R0 mainly relies on semantic similarity and therefore performs reasonably on straightforward factual lookup, but it remains limited when the question requires structural understanding or integration across multiple documents. By introducing graph-based retrieval, R1 improves the system's ability to surface relationally relevant knowledge, which is especially beneficial for spatial-functional reasoning tasks. Building on this, R2 achieves the best overall performance because grounded evidence retrieval and quality-controlled synthesis reduce unsupported responses and improve citation consistency. These results suggest that healthcare architectural QA cannot be adequately supported by vector retrieval alone, but instead requires a collaborative mechanism that combines semantic recall, graph-structured reasoning, and source-level evidence grounding. Overall, the results support the effectiveness of the full MediArch pipeline for evidence-grounded design question answering. Nevertheless, the benchmark size remains limited, and future evaluation should include larger multi-institutional corpora and more fine-grained task settings to further test </w:t>
      </w:r>
      <w:r>
        <w:rPr>
          <w:lang w:eastAsia="zh-CN"/>
        </w:rPr>
        <w:lastRenderedPageBreak/>
        <w:t>the generalizability of the framework. Fig. 7 shows the evaluated QA result returned by the full MediArch pipeline.</w:t>
      </w:r>
    </w:p>
    <w:p w14:paraId="4A507E22" w14:textId="77777777" w:rsidR="00B95851" w:rsidRDefault="00B95851">
      <w:pPr>
        <w:rPr>
          <w:lang w:eastAsia="zh-CN"/>
        </w:rPr>
      </w:pPr>
    </w:p>
    <w:p w14:paraId="0D03C588" w14:textId="77777777" w:rsidR="00B95851" w:rsidRDefault="00000000">
      <w:pPr>
        <w:ind w:firstLine="0"/>
        <w:jc w:val="center"/>
        <w:rPr>
          <w:lang w:val="en-GB" w:eastAsia="zh-CN"/>
        </w:rPr>
      </w:pPr>
      <w:r>
        <w:rPr>
          <w:noProof/>
          <w:lang w:val="en-GB" w:eastAsia="zh-CN"/>
        </w:rPr>
        <w:drawing>
          <wp:inline distT="0" distB="0" distL="0" distR="0" wp14:anchorId="7CA044F6" wp14:editId="2B82922C">
            <wp:extent cx="3998595" cy="1663700"/>
            <wp:effectExtent l="0" t="0" r="9525"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l="1235" t="9580" r="1235" b="2255"/>
                    <a:stretch>
                      <a:fillRect/>
                    </a:stretch>
                  </pic:blipFill>
                  <pic:spPr>
                    <a:xfrm>
                      <a:off x="0" y="0"/>
                      <a:ext cx="3998595" cy="1663700"/>
                    </a:xfrm>
                    <a:prstGeom prst="rect">
                      <a:avLst/>
                    </a:prstGeom>
                    <a:noFill/>
                    <a:ln>
                      <a:noFill/>
                    </a:ln>
                  </pic:spPr>
                </pic:pic>
              </a:graphicData>
            </a:graphic>
          </wp:inline>
        </w:drawing>
      </w:r>
    </w:p>
    <w:p w14:paraId="64BDAA73" w14:textId="77777777" w:rsidR="00B95851" w:rsidRDefault="00000000">
      <w:pPr>
        <w:pStyle w:val="a3"/>
        <w:jc w:val="center"/>
        <w:rPr>
          <w:rFonts w:ascii="Times" w:eastAsia="宋体" w:hAnsi="Times"/>
          <w:sz w:val="17"/>
          <w:lang w:eastAsia="de-DE"/>
        </w:rPr>
      </w:pPr>
      <w:bookmarkStart w:id="18" w:name="_Ref225453483"/>
      <w:r>
        <w:rPr>
          <w:rFonts w:ascii="Times" w:eastAsia="宋体" w:hAnsi="Times"/>
          <w:b/>
          <w:bCs/>
          <w:sz w:val="17"/>
          <w:lang w:eastAsia="de-DE"/>
        </w:rPr>
        <w:t xml:space="preserve">Table </w:t>
      </w:r>
      <w:r>
        <w:rPr>
          <w:rFonts w:ascii="Times" w:eastAsia="宋体" w:hAnsi="Times"/>
          <w:b/>
          <w:bCs/>
          <w:sz w:val="17"/>
          <w:lang w:eastAsia="de-DE"/>
        </w:rPr>
        <w:fldChar w:fldCharType="begin"/>
      </w:r>
      <w:r>
        <w:rPr>
          <w:rFonts w:ascii="Times" w:eastAsia="宋体" w:hAnsi="Times"/>
          <w:b/>
          <w:bCs/>
          <w:sz w:val="17"/>
          <w:lang w:eastAsia="de-DE"/>
        </w:rPr>
        <w:instrText xml:space="preserve"> SEQ Table \* ARABIC </w:instrText>
      </w:r>
      <w:r>
        <w:rPr>
          <w:rFonts w:ascii="Times" w:eastAsia="宋体" w:hAnsi="Times"/>
          <w:b/>
          <w:bCs/>
          <w:sz w:val="17"/>
          <w:lang w:eastAsia="de-DE"/>
        </w:rPr>
        <w:fldChar w:fldCharType="separate"/>
      </w:r>
      <w:r>
        <w:rPr>
          <w:rFonts w:ascii="Times" w:eastAsia="宋体" w:hAnsi="Times"/>
          <w:b/>
          <w:bCs/>
          <w:sz w:val="17"/>
          <w:lang w:eastAsia="de-DE"/>
        </w:rPr>
        <w:t>2</w:t>
      </w:r>
      <w:r>
        <w:rPr>
          <w:rFonts w:ascii="Times" w:eastAsia="宋体" w:hAnsi="Times"/>
          <w:b/>
          <w:bCs/>
          <w:sz w:val="17"/>
          <w:lang w:eastAsia="de-DE"/>
        </w:rPr>
        <w:fldChar w:fldCharType="end"/>
      </w:r>
      <w:bookmarkEnd w:id="18"/>
      <w:r>
        <w:rPr>
          <w:rFonts w:ascii="Times" w:eastAsia="宋体" w:hAnsi="Times" w:hint="eastAsia"/>
          <w:sz w:val="17"/>
        </w:rPr>
        <w:t xml:space="preserve"> </w:t>
      </w:r>
      <w:r>
        <w:rPr>
          <w:rFonts w:ascii="Times" w:eastAsia="宋体" w:hAnsi="Times"/>
          <w:sz w:val="17"/>
          <w:lang w:eastAsia="de-DE"/>
        </w:rPr>
        <w:t>QA Performance Comparison Across R0, R1, and R2</w:t>
      </w:r>
    </w:p>
    <w:p w14:paraId="5B40F8E2" w14:textId="77777777" w:rsidR="00B95851" w:rsidRDefault="00B95851">
      <w:pPr>
        <w:rPr>
          <w:lang w:eastAsia="zh-CN"/>
        </w:rPr>
      </w:pPr>
    </w:p>
    <w:p w14:paraId="6698E0A6" w14:textId="77777777" w:rsidR="00B95851" w:rsidRDefault="00000000">
      <w:pPr>
        <w:pStyle w:val="heading1"/>
        <w:rPr>
          <w:lang w:val="en-GB" w:eastAsia="en-GB"/>
        </w:rPr>
      </w:pPr>
      <w:r>
        <w:rPr>
          <w:lang w:val="en-GB" w:eastAsia="en-GB"/>
        </w:rPr>
        <w:t>4 Conclusion</w:t>
      </w:r>
    </w:p>
    <w:p w14:paraId="11EF2563" w14:textId="77777777" w:rsidR="00B95851" w:rsidRDefault="00000000">
      <w:pPr>
        <w:ind w:firstLine="0"/>
        <w:rPr>
          <w:lang w:val="en-GB" w:eastAsia="zh-CN"/>
        </w:rPr>
      </w:pPr>
      <w:r>
        <w:rPr>
          <w:lang w:val="en-GB" w:eastAsia="zh-CN"/>
        </w:rPr>
        <w:t xml:space="preserve">This paper presented MediArch as an exploratory framework for reusable healthcare architectural knowledge within the paradigm of Circular Intelligence. By combining an LLM-driven adaptive knowledge graph, hybrid Neo4j-Milvus retrieval, and multi-agent orchestration, the framework structures fragmented design knowledge into computable decision support. Experimental results suggest that MediArch can improve retrieval quality and response completeness in hospital design </w:t>
      </w:r>
      <w:proofErr w:type="spellStart"/>
      <w:proofErr w:type="gramStart"/>
      <w:r>
        <w:rPr>
          <w:lang w:val="en-GB" w:eastAsia="zh-CN"/>
        </w:rPr>
        <w:t>scenarios.More</w:t>
      </w:r>
      <w:proofErr w:type="spellEnd"/>
      <w:proofErr w:type="gramEnd"/>
      <w:r>
        <w:rPr>
          <w:lang w:val="en-GB" w:eastAsia="zh-CN"/>
        </w:rPr>
        <w:t xml:space="preserve"> broadly, this work contributes to ongoing efforts to integrate digitalization and circularity in architectural practice through the reuse of design knowledge. In this sense, MediArch offers a practical pathway for reducing intellectual waste and supporting more informed healthcare design processes, with relevance to the broader aims of the United Nations Sustainable Development Goals, particularly SDG 9 and SDG 12.</w:t>
      </w:r>
    </w:p>
    <w:p w14:paraId="1E79FBB7" w14:textId="77777777" w:rsidR="00B95851" w:rsidRDefault="00000000">
      <w:pPr>
        <w:pStyle w:val="heading1"/>
        <w:rPr>
          <w:lang w:eastAsia="en-GB"/>
        </w:rPr>
      </w:pPr>
      <w:r>
        <w:rPr>
          <w:lang w:eastAsia="en-GB"/>
        </w:rPr>
        <w:t>References</w:t>
      </w:r>
    </w:p>
    <w:p w14:paraId="48BA7086" w14:textId="77777777" w:rsidR="00B95851" w:rsidRDefault="00000000">
      <w:pPr>
        <w:pStyle w:val="references"/>
        <w:numPr>
          <w:ilvl w:val="0"/>
          <w:numId w:val="3"/>
        </w:numPr>
        <w:rPr>
          <w:lang w:eastAsia="zh-CN"/>
        </w:rPr>
      </w:pPr>
      <w:bookmarkStart w:id="19" w:name="_Ref22119"/>
      <w:r>
        <w:rPr>
          <w:lang w:val="en-GB" w:eastAsia="en-GB"/>
        </w:rPr>
        <w:t xml:space="preserve">UNEP (2024) 2023 Global Status Report for Buildings and Construction, </w:t>
      </w:r>
      <w:proofErr w:type="spellStart"/>
      <w:r>
        <w:rPr>
          <w:lang w:val="en-GB" w:eastAsia="en-GB"/>
        </w:rPr>
        <w:t>doi</w:t>
      </w:r>
      <w:proofErr w:type="spellEnd"/>
      <w:r>
        <w:rPr>
          <w:lang w:val="en-GB" w:eastAsia="en-GB"/>
        </w:rPr>
        <w:t>: 10.59117/20.500.11822/45095</w:t>
      </w:r>
      <w:bookmarkEnd w:id="19"/>
    </w:p>
    <w:p w14:paraId="337BA4BD" w14:textId="77777777" w:rsidR="00B95851" w:rsidRDefault="00000000">
      <w:pPr>
        <w:pStyle w:val="references"/>
        <w:numPr>
          <w:ilvl w:val="0"/>
          <w:numId w:val="3"/>
        </w:numPr>
        <w:rPr>
          <w:lang w:eastAsia="zh-CN"/>
        </w:rPr>
      </w:pPr>
      <w:bookmarkStart w:id="20" w:name="_Ref225770451"/>
      <w:proofErr w:type="spellStart"/>
      <w:r>
        <w:rPr>
          <w:lang w:eastAsia="zh-CN"/>
        </w:rPr>
        <w:t>Munaro</w:t>
      </w:r>
      <w:proofErr w:type="spellEnd"/>
      <w:r>
        <w:rPr>
          <w:lang w:eastAsia="zh-CN"/>
        </w:rPr>
        <w:t xml:space="preserve"> M, Tavares SF, Braganca L (2020) Towards circular and more sustainable buildings: A systematic literature review on the circular economy in the built environment. Journal of Cleaner Production 260:121134, </w:t>
      </w:r>
      <w:proofErr w:type="spellStart"/>
      <w:r>
        <w:rPr>
          <w:lang w:eastAsia="zh-CN"/>
        </w:rPr>
        <w:t>doi</w:t>
      </w:r>
      <w:proofErr w:type="spellEnd"/>
      <w:r>
        <w:rPr>
          <w:lang w:eastAsia="zh-CN"/>
        </w:rPr>
        <w:t>: 10.1016/j.jclepro.2020.121134</w:t>
      </w:r>
      <w:bookmarkEnd w:id="20"/>
    </w:p>
    <w:p w14:paraId="296BBB42" w14:textId="77777777" w:rsidR="00B95851" w:rsidRDefault="00000000">
      <w:pPr>
        <w:pStyle w:val="references"/>
        <w:numPr>
          <w:ilvl w:val="0"/>
          <w:numId w:val="3"/>
        </w:numPr>
        <w:rPr>
          <w:lang w:eastAsia="zh-CN"/>
        </w:rPr>
      </w:pPr>
      <w:bookmarkStart w:id="21" w:name="_Ref225771725"/>
      <w:proofErr w:type="spellStart"/>
      <w:r>
        <w:rPr>
          <w:lang w:eastAsia="zh-CN"/>
        </w:rPr>
        <w:lastRenderedPageBreak/>
        <w:t>Schoormann</w:t>
      </w:r>
      <w:proofErr w:type="spellEnd"/>
      <w:r>
        <w:rPr>
          <w:lang w:eastAsia="zh-CN"/>
        </w:rPr>
        <w:t xml:space="preserve"> T, Hansen MRP, Moller F (2025) Advancing Design Knowledge Reuse: A Framework for Circular Design Principles. Communications of the Association for Information Systems 56(18), </w:t>
      </w:r>
      <w:proofErr w:type="spellStart"/>
      <w:r>
        <w:rPr>
          <w:lang w:eastAsia="zh-CN"/>
        </w:rPr>
        <w:t>doi</w:t>
      </w:r>
      <w:proofErr w:type="spellEnd"/>
      <w:r>
        <w:rPr>
          <w:lang w:eastAsia="zh-CN"/>
        </w:rPr>
        <w:t>: 10.17705/1cais.05618</w:t>
      </w:r>
      <w:bookmarkEnd w:id="21"/>
    </w:p>
    <w:p w14:paraId="24FB893A" w14:textId="77777777" w:rsidR="00B95851" w:rsidRDefault="00000000">
      <w:pPr>
        <w:pStyle w:val="references"/>
        <w:numPr>
          <w:ilvl w:val="0"/>
          <w:numId w:val="3"/>
        </w:numPr>
        <w:rPr>
          <w:lang w:eastAsia="zh-CN"/>
        </w:rPr>
      </w:pPr>
      <w:bookmarkStart w:id="22" w:name="_Ref225195752"/>
      <w:proofErr w:type="spellStart"/>
      <w:r>
        <w:rPr>
          <w:lang w:eastAsia="zh-CN"/>
        </w:rPr>
        <w:t>Halawa</w:t>
      </w:r>
      <w:proofErr w:type="spellEnd"/>
      <w:r>
        <w:rPr>
          <w:lang w:eastAsia="zh-CN"/>
        </w:rPr>
        <w:t xml:space="preserve"> F, Madathil SC, </w:t>
      </w:r>
      <w:proofErr w:type="spellStart"/>
      <w:r>
        <w:rPr>
          <w:lang w:eastAsia="zh-CN"/>
        </w:rPr>
        <w:t>Gittler</w:t>
      </w:r>
      <w:proofErr w:type="spellEnd"/>
      <w:r>
        <w:rPr>
          <w:lang w:eastAsia="zh-CN"/>
        </w:rPr>
        <w:t xml:space="preserve"> A, </w:t>
      </w:r>
      <w:proofErr w:type="spellStart"/>
      <w:r>
        <w:rPr>
          <w:lang w:eastAsia="zh-CN"/>
        </w:rPr>
        <w:t>Khasawneh</w:t>
      </w:r>
      <w:proofErr w:type="spellEnd"/>
      <w:r>
        <w:rPr>
          <w:lang w:eastAsia="zh-CN"/>
        </w:rPr>
        <w:t xml:space="preserve"> M (2020) Advancing evidence-based healthcare facility design: a systematic literature review. Health Care Management Science 23:453–480, </w:t>
      </w:r>
      <w:proofErr w:type="spellStart"/>
      <w:r>
        <w:rPr>
          <w:lang w:eastAsia="zh-CN"/>
        </w:rPr>
        <w:t>doi</w:t>
      </w:r>
      <w:proofErr w:type="spellEnd"/>
      <w:r>
        <w:rPr>
          <w:lang w:eastAsia="zh-CN"/>
        </w:rPr>
        <w:t>: 10.1007/s10729-020-09506-4</w:t>
      </w:r>
      <w:bookmarkEnd w:id="22"/>
    </w:p>
    <w:p w14:paraId="60CC3D07" w14:textId="77777777" w:rsidR="00B95851" w:rsidRDefault="00000000">
      <w:pPr>
        <w:pStyle w:val="references"/>
        <w:numPr>
          <w:ilvl w:val="0"/>
          <w:numId w:val="3"/>
        </w:numPr>
        <w:rPr>
          <w:lang w:eastAsia="zh-CN"/>
        </w:rPr>
      </w:pPr>
      <w:bookmarkStart w:id="23" w:name="_Ref225195759"/>
      <w:proofErr w:type="spellStart"/>
      <w:r>
        <w:rPr>
          <w:lang w:eastAsia="zh-CN"/>
        </w:rPr>
        <w:t>Ransolin</w:t>
      </w:r>
      <w:proofErr w:type="spellEnd"/>
      <w:r>
        <w:rPr>
          <w:lang w:eastAsia="zh-CN"/>
        </w:rPr>
        <w:t xml:space="preserve"> N, </w:t>
      </w:r>
      <w:proofErr w:type="spellStart"/>
      <w:r>
        <w:rPr>
          <w:lang w:eastAsia="zh-CN"/>
        </w:rPr>
        <w:t>Saurin</w:t>
      </w:r>
      <w:proofErr w:type="spellEnd"/>
      <w:r>
        <w:rPr>
          <w:lang w:eastAsia="zh-CN"/>
        </w:rPr>
        <w:t xml:space="preserve"> TA, Zani C, et al (2022) The Built Environment Influence on Resilient Healthcare: A Systematic Literature Review of Design Knowledge. HERD 15(2):249–272, </w:t>
      </w:r>
      <w:proofErr w:type="spellStart"/>
      <w:r>
        <w:rPr>
          <w:lang w:eastAsia="zh-CN"/>
        </w:rPr>
        <w:t>doi</w:t>
      </w:r>
      <w:proofErr w:type="spellEnd"/>
      <w:r>
        <w:rPr>
          <w:lang w:eastAsia="zh-CN"/>
        </w:rPr>
        <w:t>: 10.1177/19375867221077469</w:t>
      </w:r>
      <w:bookmarkEnd w:id="23"/>
    </w:p>
    <w:p w14:paraId="164E0FE9" w14:textId="77777777" w:rsidR="00B95851" w:rsidRDefault="00000000">
      <w:pPr>
        <w:pStyle w:val="references"/>
        <w:numPr>
          <w:ilvl w:val="0"/>
          <w:numId w:val="3"/>
        </w:numPr>
        <w:rPr>
          <w:lang w:eastAsia="zh-CN"/>
        </w:rPr>
      </w:pPr>
      <w:bookmarkStart w:id="24" w:name="_Ref225195778"/>
      <w:proofErr w:type="spellStart"/>
      <w:r>
        <w:rPr>
          <w:lang w:eastAsia="zh-CN"/>
        </w:rPr>
        <w:t>Tjebane</w:t>
      </w:r>
      <w:proofErr w:type="spellEnd"/>
      <w:r>
        <w:rPr>
          <w:lang w:eastAsia="zh-CN"/>
        </w:rPr>
        <w:t xml:space="preserve"> MM, Musonda I (2025) Artificial intelligence in healthcare facilities asset information management: mixed review. Infrastructure Asset Management 12(2):94-109. </w:t>
      </w:r>
      <w:proofErr w:type="spellStart"/>
      <w:r>
        <w:rPr>
          <w:lang w:eastAsia="zh-CN"/>
        </w:rPr>
        <w:t>doi</w:t>
      </w:r>
      <w:proofErr w:type="spellEnd"/>
      <w:r>
        <w:rPr>
          <w:lang w:eastAsia="zh-CN"/>
        </w:rPr>
        <w:t>: 10.1680/jinam.23.00033</w:t>
      </w:r>
      <w:bookmarkEnd w:id="24"/>
    </w:p>
    <w:p w14:paraId="4BC5135E" w14:textId="77777777" w:rsidR="00B95851" w:rsidRDefault="00000000">
      <w:pPr>
        <w:pStyle w:val="references"/>
        <w:numPr>
          <w:ilvl w:val="0"/>
          <w:numId w:val="3"/>
        </w:numPr>
        <w:rPr>
          <w:lang w:eastAsia="zh-CN"/>
        </w:rPr>
      </w:pPr>
      <w:bookmarkStart w:id="25" w:name="_Ref225195788"/>
      <w:r>
        <w:rPr>
          <w:lang w:eastAsia="zh-CN"/>
        </w:rPr>
        <w:t xml:space="preserve">Pan S, Luo L, Wang Y, Chen C, Wang J, Wu X (2024) Unifying Large Language Models and Knowledge Graphs: A Roadmap. IEEE Trans. </w:t>
      </w:r>
      <w:proofErr w:type="spellStart"/>
      <w:r>
        <w:rPr>
          <w:lang w:eastAsia="zh-CN"/>
        </w:rPr>
        <w:t>Knowl</w:t>
      </w:r>
      <w:proofErr w:type="spellEnd"/>
      <w:r>
        <w:rPr>
          <w:lang w:eastAsia="zh-CN"/>
        </w:rPr>
        <w:t xml:space="preserve">. Data Eng. 36(7):3580-3599. </w:t>
      </w:r>
      <w:proofErr w:type="spellStart"/>
      <w:r>
        <w:rPr>
          <w:lang w:eastAsia="zh-CN"/>
        </w:rPr>
        <w:t>doi</w:t>
      </w:r>
      <w:proofErr w:type="spellEnd"/>
      <w:r>
        <w:rPr>
          <w:lang w:eastAsia="zh-CN"/>
        </w:rPr>
        <w:t>: 10.1109/TKDE.2024.3352100</w:t>
      </w:r>
      <w:bookmarkEnd w:id="25"/>
    </w:p>
    <w:p w14:paraId="6284E00D" w14:textId="77777777" w:rsidR="00B95851" w:rsidRDefault="00000000">
      <w:pPr>
        <w:pStyle w:val="references"/>
        <w:numPr>
          <w:ilvl w:val="0"/>
          <w:numId w:val="3"/>
        </w:numPr>
        <w:rPr>
          <w:lang w:eastAsia="zh-CN"/>
        </w:rPr>
      </w:pPr>
      <w:bookmarkStart w:id="26" w:name="_Ref225195792"/>
      <w:r>
        <w:rPr>
          <w:lang w:eastAsia="zh-CN"/>
        </w:rPr>
        <w:t xml:space="preserve">Zhu Y, Wang X, Chen J, </w:t>
      </w:r>
      <w:proofErr w:type="spellStart"/>
      <w:r>
        <w:rPr>
          <w:lang w:eastAsia="zh-CN"/>
        </w:rPr>
        <w:t>Qiao</w:t>
      </w:r>
      <w:proofErr w:type="spellEnd"/>
      <w:r>
        <w:rPr>
          <w:lang w:eastAsia="zh-CN"/>
        </w:rPr>
        <w:t xml:space="preserve"> S, Ou Y, Yao Y, Deng S, Chen H, Zhang N (2024) LLMs for knowledge graph construction and reasoning: recent capabilities and future opportunities. World Wide Web 27:61. </w:t>
      </w:r>
      <w:proofErr w:type="spellStart"/>
      <w:r>
        <w:rPr>
          <w:lang w:eastAsia="zh-CN"/>
        </w:rPr>
        <w:t>doi</w:t>
      </w:r>
      <w:proofErr w:type="spellEnd"/>
      <w:r>
        <w:rPr>
          <w:lang w:eastAsia="zh-CN"/>
        </w:rPr>
        <w:t>: 10.1007/s11280-024-01297-w</w:t>
      </w:r>
      <w:bookmarkEnd w:id="26"/>
    </w:p>
    <w:p w14:paraId="1E9449F0" w14:textId="77777777" w:rsidR="00B95851" w:rsidRDefault="00000000">
      <w:pPr>
        <w:pStyle w:val="references"/>
        <w:numPr>
          <w:ilvl w:val="0"/>
          <w:numId w:val="3"/>
        </w:numPr>
        <w:rPr>
          <w:lang w:eastAsia="zh-CN"/>
        </w:rPr>
      </w:pPr>
      <w:bookmarkStart w:id="27" w:name="_Ref225195805"/>
      <w:r>
        <w:rPr>
          <w:lang w:eastAsia="zh-CN"/>
        </w:rPr>
        <w:t xml:space="preserve">Li D, Shi Y, Schwartz M, Kapadia M (2026) Early-stage architecture design assistance by LLMs and knowledge graphs. Automation in Construction 182:106756. </w:t>
      </w:r>
      <w:proofErr w:type="spellStart"/>
      <w:r>
        <w:rPr>
          <w:lang w:eastAsia="zh-CN"/>
        </w:rPr>
        <w:t>doi</w:t>
      </w:r>
      <w:proofErr w:type="spellEnd"/>
      <w:r>
        <w:rPr>
          <w:lang w:eastAsia="zh-CN"/>
        </w:rPr>
        <w:t>: 10.1016/j.autcon.2025.106756</w:t>
      </w:r>
      <w:bookmarkEnd w:id="27"/>
    </w:p>
    <w:p w14:paraId="39E52F4A" w14:textId="77777777" w:rsidR="00B95851" w:rsidRDefault="00000000">
      <w:pPr>
        <w:pStyle w:val="references"/>
        <w:numPr>
          <w:ilvl w:val="0"/>
          <w:numId w:val="3"/>
        </w:numPr>
        <w:rPr>
          <w:lang w:eastAsia="zh-CN"/>
        </w:rPr>
      </w:pPr>
      <w:bookmarkStart w:id="28" w:name="_Ref225195825"/>
      <w:proofErr w:type="spellStart"/>
      <w:r>
        <w:rPr>
          <w:lang w:eastAsia="zh-CN"/>
        </w:rPr>
        <w:t>Kamalipour</w:t>
      </w:r>
      <w:proofErr w:type="spellEnd"/>
      <w:r>
        <w:rPr>
          <w:lang w:eastAsia="zh-CN"/>
        </w:rPr>
        <w:t xml:space="preserve"> AA, </w:t>
      </w:r>
      <w:proofErr w:type="spellStart"/>
      <w:r>
        <w:rPr>
          <w:lang w:eastAsia="zh-CN"/>
        </w:rPr>
        <w:t>Asadi</w:t>
      </w:r>
      <w:proofErr w:type="spellEnd"/>
      <w:r>
        <w:rPr>
          <w:lang w:eastAsia="zh-CN"/>
        </w:rPr>
        <w:t xml:space="preserve"> S, Amiri </w:t>
      </w:r>
      <w:proofErr w:type="spellStart"/>
      <w:r>
        <w:rPr>
          <w:lang w:eastAsia="zh-CN"/>
        </w:rPr>
        <w:t>Chimeh</w:t>
      </w:r>
      <w:proofErr w:type="spellEnd"/>
      <w:r>
        <w:rPr>
          <w:lang w:eastAsia="zh-CN"/>
        </w:rPr>
        <w:t xml:space="preserve"> MM (2026) From vectors to knowledge graphs: A comprehensive analysis of modern retrieval-augmented generation architectures. Computer Science Review 61:100925. </w:t>
      </w:r>
      <w:proofErr w:type="spellStart"/>
      <w:r>
        <w:rPr>
          <w:lang w:eastAsia="zh-CN"/>
        </w:rPr>
        <w:t>doi</w:t>
      </w:r>
      <w:proofErr w:type="spellEnd"/>
      <w:r>
        <w:rPr>
          <w:lang w:eastAsia="zh-CN"/>
        </w:rPr>
        <w:t>: 10.1016/j.cosrev.2026.100925</w:t>
      </w:r>
      <w:bookmarkEnd w:id="28"/>
    </w:p>
    <w:p w14:paraId="2853FF14" w14:textId="77777777" w:rsidR="00B95851" w:rsidRDefault="00000000">
      <w:pPr>
        <w:pStyle w:val="references"/>
        <w:numPr>
          <w:ilvl w:val="0"/>
          <w:numId w:val="3"/>
        </w:numPr>
        <w:rPr>
          <w:lang w:eastAsia="zh-CN"/>
        </w:rPr>
      </w:pPr>
      <w:r>
        <w:rPr>
          <w:lang w:eastAsia="zh-CN"/>
        </w:rPr>
        <w:t xml:space="preserve">Thomsen AMS, </w:t>
      </w:r>
      <w:proofErr w:type="spellStart"/>
      <w:r>
        <w:rPr>
          <w:lang w:eastAsia="zh-CN"/>
        </w:rPr>
        <w:t>Bjornskov</w:t>
      </w:r>
      <w:proofErr w:type="spellEnd"/>
      <w:r>
        <w:rPr>
          <w:lang w:eastAsia="zh-CN"/>
        </w:rPr>
        <w:t xml:space="preserve"> J, </w:t>
      </w:r>
      <w:proofErr w:type="spellStart"/>
      <w:r>
        <w:rPr>
          <w:lang w:eastAsia="zh-CN"/>
        </w:rPr>
        <w:t>Jradi</w:t>
      </w:r>
      <w:proofErr w:type="spellEnd"/>
      <w:r>
        <w:rPr>
          <w:lang w:eastAsia="zh-CN"/>
        </w:rPr>
        <w:t xml:space="preserve"> M (2026) Ontology-driven digital twins for optimized recommissioning of hospital building operations. Journal of Building Engineering 121:115627. </w:t>
      </w:r>
      <w:proofErr w:type="spellStart"/>
      <w:r>
        <w:rPr>
          <w:lang w:eastAsia="zh-CN"/>
        </w:rPr>
        <w:t>doi</w:t>
      </w:r>
      <w:proofErr w:type="spellEnd"/>
      <w:r>
        <w:rPr>
          <w:lang w:eastAsia="zh-CN"/>
        </w:rPr>
        <w:t>: 10.1016/j.jobe.2026.115627</w:t>
      </w:r>
    </w:p>
    <w:p w14:paraId="396D69E6" w14:textId="77777777" w:rsidR="00B95851" w:rsidRDefault="00000000">
      <w:pPr>
        <w:pStyle w:val="references"/>
        <w:numPr>
          <w:ilvl w:val="0"/>
          <w:numId w:val="3"/>
        </w:numPr>
        <w:rPr>
          <w:lang w:eastAsia="zh-CN"/>
        </w:rPr>
      </w:pPr>
      <w:r>
        <w:rPr>
          <w:lang w:eastAsia="zh-CN"/>
        </w:rPr>
        <w:t xml:space="preserve">Ali M, Taha Z, </w:t>
      </w:r>
      <w:proofErr w:type="spellStart"/>
      <w:r>
        <w:rPr>
          <w:lang w:eastAsia="zh-CN"/>
        </w:rPr>
        <w:t>Morsey</w:t>
      </w:r>
      <w:proofErr w:type="spellEnd"/>
      <w:r>
        <w:rPr>
          <w:lang w:eastAsia="zh-CN"/>
        </w:rPr>
        <w:t xml:space="preserve"> MM (2026) Ontology-grounded knowledge graphs for mitigating hallucinations in large language models for clinical question answering. Journal of Biomedical Informatics 175:104993. </w:t>
      </w:r>
      <w:proofErr w:type="spellStart"/>
      <w:r>
        <w:rPr>
          <w:lang w:eastAsia="zh-CN"/>
        </w:rPr>
        <w:t>doi</w:t>
      </w:r>
      <w:proofErr w:type="spellEnd"/>
      <w:r>
        <w:rPr>
          <w:lang w:eastAsia="zh-CN"/>
        </w:rPr>
        <w:t>: 10.1016/j.jbi.2026.104993</w:t>
      </w:r>
    </w:p>
    <w:p w14:paraId="358468E8" w14:textId="77777777" w:rsidR="00B95851" w:rsidRDefault="00000000">
      <w:pPr>
        <w:pStyle w:val="references"/>
        <w:numPr>
          <w:ilvl w:val="0"/>
          <w:numId w:val="3"/>
        </w:numPr>
        <w:rPr>
          <w:lang w:eastAsia="zh-CN"/>
        </w:rPr>
      </w:pPr>
      <w:bookmarkStart w:id="29" w:name="_Ref225195834"/>
      <w:r>
        <w:rPr>
          <w:lang w:eastAsia="zh-CN"/>
        </w:rPr>
        <w:t xml:space="preserve">Lin J, Chen C, Wang T, Wang Z, Cheng L (2026) A Multi-Agent and synergistic Knowledge Graph retrieval-augmented generation framework for intelligent maintenance. Journal of Manufacturing Systems 85:557-570. </w:t>
      </w:r>
      <w:proofErr w:type="spellStart"/>
      <w:r>
        <w:rPr>
          <w:lang w:eastAsia="zh-CN"/>
        </w:rPr>
        <w:t>doi</w:t>
      </w:r>
      <w:proofErr w:type="spellEnd"/>
      <w:r>
        <w:rPr>
          <w:lang w:eastAsia="zh-CN"/>
        </w:rPr>
        <w:t>: 10.1016/j.jmsy.2026.02.016</w:t>
      </w:r>
      <w:bookmarkEnd w:id="29"/>
    </w:p>
    <w:p w14:paraId="33B969A5" w14:textId="77777777" w:rsidR="00B95851" w:rsidRDefault="00000000">
      <w:pPr>
        <w:pStyle w:val="references"/>
        <w:numPr>
          <w:ilvl w:val="0"/>
          <w:numId w:val="3"/>
        </w:numPr>
        <w:rPr>
          <w:lang w:eastAsia="zh-CN"/>
        </w:rPr>
      </w:pPr>
      <w:bookmarkStart w:id="30" w:name="_Ref225195881"/>
      <w:r>
        <w:rPr>
          <w:lang w:eastAsia="zh-CN"/>
        </w:rPr>
        <w:t xml:space="preserve">Wang Z, Liu Z, Lu W, Jia L (2025) Improving knowledge management in building engineering with hybrid retrieval-augmented generation framework. Journal of Building Engineering 103:112189. </w:t>
      </w:r>
      <w:proofErr w:type="spellStart"/>
      <w:r>
        <w:rPr>
          <w:lang w:eastAsia="zh-CN"/>
        </w:rPr>
        <w:t>doi</w:t>
      </w:r>
      <w:proofErr w:type="spellEnd"/>
      <w:r>
        <w:rPr>
          <w:lang w:eastAsia="zh-CN"/>
        </w:rPr>
        <w:t>: 10.1016/j.jobe.2025.112189</w:t>
      </w:r>
      <w:bookmarkEnd w:id="30"/>
    </w:p>
    <w:p w14:paraId="6B169EDA" w14:textId="77777777" w:rsidR="00B95851" w:rsidRDefault="00000000">
      <w:pPr>
        <w:pStyle w:val="references"/>
        <w:numPr>
          <w:ilvl w:val="0"/>
          <w:numId w:val="3"/>
        </w:numPr>
        <w:rPr>
          <w:lang w:eastAsia="zh-CN"/>
        </w:rPr>
      </w:pPr>
      <w:bookmarkStart w:id="31" w:name="_Ref225195887"/>
      <w:r>
        <w:rPr>
          <w:lang w:eastAsia="zh-CN"/>
        </w:rPr>
        <w:t xml:space="preserve">Dong Y, Zhan Z, Hu Y, Doe DM, Han Z (2025) AI BIM coordinator for non-expert interaction in building design using LLM-driven multi-agent systems. Automation in Construction 180:106563. </w:t>
      </w:r>
      <w:proofErr w:type="spellStart"/>
      <w:r>
        <w:rPr>
          <w:lang w:eastAsia="zh-CN"/>
        </w:rPr>
        <w:t>doi</w:t>
      </w:r>
      <w:proofErr w:type="spellEnd"/>
      <w:r>
        <w:rPr>
          <w:lang w:eastAsia="zh-CN"/>
        </w:rPr>
        <w:t>: 10.1016/j.autcon.2025.106563</w:t>
      </w:r>
      <w:bookmarkEnd w:id="31"/>
    </w:p>
    <w:p w14:paraId="5DD90F13" w14:textId="77777777" w:rsidR="00B95851" w:rsidRDefault="00000000">
      <w:pPr>
        <w:pStyle w:val="references"/>
        <w:numPr>
          <w:ilvl w:val="0"/>
          <w:numId w:val="3"/>
        </w:numPr>
        <w:rPr>
          <w:lang w:eastAsia="zh-CN"/>
        </w:rPr>
      </w:pPr>
      <w:bookmarkStart w:id="32" w:name="_Ref225438137"/>
      <w:r>
        <w:rPr>
          <w:lang w:eastAsia="zh-CN"/>
        </w:rPr>
        <w:t xml:space="preserve">Li M, Wang Z (2025) </w:t>
      </w:r>
      <w:proofErr w:type="spellStart"/>
      <w:r>
        <w:rPr>
          <w:lang w:eastAsia="zh-CN"/>
        </w:rPr>
        <w:t>BuildingGPT</w:t>
      </w:r>
      <w:proofErr w:type="spellEnd"/>
      <w:r>
        <w:rPr>
          <w:lang w:eastAsia="zh-CN"/>
        </w:rPr>
        <w:t xml:space="preserve">: query building semantic data using large language models and vector-graph retrieval-augmented generation. Building and Environment 271:113855. </w:t>
      </w:r>
      <w:proofErr w:type="spellStart"/>
      <w:r>
        <w:rPr>
          <w:lang w:eastAsia="zh-CN"/>
        </w:rPr>
        <w:t>doi</w:t>
      </w:r>
      <w:proofErr w:type="spellEnd"/>
      <w:r>
        <w:rPr>
          <w:lang w:eastAsia="zh-CN"/>
        </w:rPr>
        <w:t>: 10.1016/j.buildenv.2025.113855</w:t>
      </w:r>
      <w:bookmarkEnd w:id="32"/>
    </w:p>
    <w:p w14:paraId="6B242BBC" w14:textId="77777777" w:rsidR="00B95851" w:rsidRDefault="00000000">
      <w:pPr>
        <w:pStyle w:val="references"/>
        <w:numPr>
          <w:ilvl w:val="0"/>
          <w:numId w:val="3"/>
        </w:numPr>
        <w:rPr>
          <w:lang w:eastAsia="zh-CN"/>
        </w:rPr>
      </w:pPr>
      <w:bookmarkStart w:id="33" w:name="_Ref225438140"/>
      <w:r>
        <w:rPr>
          <w:lang w:eastAsia="zh-CN"/>
        </w:rPr>
        <w:t xml:space="preserve">Yin M, Tang L, Webster C, et al (2023) Two-stage Text-to-BIMQL semantic parsing for building information model extraction using graph neural networks. Automation in Construction 152:104902. </w:t>
      </w:r>
      <w:proofErr w:type="spellStart"/>
      <w:r>
        <w:rPr>
          <w:lang w:eastAsia="zh-CN"/>
        </w:rPr>
        <w:t>doi</w:t>
      </w:r>
      <w:proofErr w:type="spellEnd"/>
      <w:r>
        <w:rPr>
          <w:lang w:eastAsia="zh-CN"/>
        </w:rPr>
        <w:t>: 10.1016/j.autcon.2023.104902</w:t>
      </w:r>
      <w:bookmarkEnd w:id="33"/>
    </w:p>
    <w:sectPr w:rsidR="00B95851">
      <w:headerReference w:type="even" r:id="rId16"/>
      <w:headerReference w:type="default" r:id="rId17"/>
      <w:type w:val="oddPage"/>
      <w:pgSz w:w="11906" w:h="16838"/>
      <w:pgMar w:top="2948" w:right="2665" w:bottom="3231" w:left="2608" w:header="2381"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387B2" w14:textId="77777777" w:rsidR="00E607F0" w:rsidRDefault="00E607F0">
      <w:pPr>
        <w:spacing w:line="240" w:lineRule="auto"/>
      </w:pPr>
      <w:r>
        <w:separator/>
      </w:r>
    </w:p>
  </w:endnote>
  <w:endnote w:type="continuationSeparator" w:id="0">
    <w:p w14:paraId="4E224DBB" w14:textId="77777777" w:rsidR="00E607F0" w:rsidRDefault="00E60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default"/>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96049" w14:textId="77777777" w:rsidR="00E607F0" w:rsidRDefault="00E607F0">
      <w:pPr>
        <w:spacing w:line="240" w:lineRule="auto"/>
      </w:pPr>
      <w:r>
        <w:separator/>
      </w:r>
    </w:p>
  </w:footnote>
  <w:footnote w:type="continuationSeparator" w:id="0">
    <w:p w14:paraId="146A2203" w14:textId="77777777" w:rsidR="00E607F0" w:rsidRDefault="00E607F0">
      <w:pPr>
        <w:spacing w:line="240" w:lineRule="auto"/>
      </w:pPr>
      <w:r>
        <w:continuationSeparator/>
      </w:r>
    </w:p>
  </w:footnote>
  <w:footnote w:id="1">
    <w:p w14:paraId="4CC40F8A" w14:textId="77777777" w:rsidR="00B95851" w:rsidRDefault="00000000">
      <w:pPr>
        <w:pStyle w:val="affiliation"/>
        <w:ind w:left="0"/>
        <w:rPr>
          <w:lang w:val="en-GB"/>
        </w:rPr>
      </w:pPr>
      <w:r>
        <w:rPr>
          <w:rStyle w:val="af1"/>
        </w:rPr>
        <w:footnoteRef/>
      </w:r>
      <w:r>
        <w:rPr>
          <w:lang w:val="de-DE"/>
        </w:rPr>
        <w:t xml:space="preserve"> </w:t>
      </w:r>
      <w:r>
        <w:rPr>
          <w:rFonts w:hint="eastAsia"/>
          <w:lang w:val="de-DE"/>
        </w:rPr>
        <w:t>Yi Qi</w:t>
      </w:r>
      <w:r>
        <w:rPr>
          <w:lang w:val="de-DE"/>
        </w:rPr>
        <w:t xml:space="preserve"> (</w:t>
      </w:r>
      <w:r>
        <w:sym w:font="Wingdings" w:char="F02A"/>
      </w:r>
      <w:r>
        <w:rPr>
          <w:lang w:val="de-DE"/>
        </w:rPr>
        <w:t>)</w:t>
      </w:r>
      <w:r>
        <w:rPr>
          <w:lang w:val="de-DE"/>
        </w:rPr>
        <w:br/>
      </w:r>
      <w:r>
        <w:rPr>
          <w:rFonts w:hint="eastAsia"/>
          <w:lang w:val="de-DE" w:eastAsia="en-GB"/>
        </w:rPr>
        <w:t>School of Architecture &amp; Urban Planning,  Shenzhen University, 10590, ShenZhen, China</w:t>
      </w:r>
      <w:r>
        <w:rPr>
          <w:rFonts w:hint="eastAsia"/>
          <w:lang w:val="de-DE" w:eastAsia="zh-CN"/>
        </w:rPr>
        <w:t xml:space="preserve"> </w:t>
      </w:r>
      <w:r>
        <w:rPr>
          <w:lang w:val="en-GB" w:eastAsia="en-GB"/>
        </w:rPr>
        <w:br/>
      </w:r>
      <w:proofErr w:type="spellStart"/>
      <w:r>
        <w:t>e-mail:</w:t>
      </w:r>
      <w:r>
        <w:rPr>
          <w:rFonts w:hint="eastAsia"/>
        </w:rPr>
        <w:t>qiyi@szu.edu.cn</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52A3E" w14:textId="77777777" w:rsidR="00B95851" w:rsidRDefault="00000000">
    <w:pPr>
      <w:pStyle w:val="Runninghead-left"/>
      <w:tabs>
        <w:tab w:val="clear" w:pos="680"/>
        <w:tab w:val="clear" w:pos="6237"/>
        <w:tab w:val="clear" w:pos="6917"/>
        <w:tab w:val="right" w:pos="6634"/>
      </w:tabs>
    </w:pPr>
    <w:r>
      <w:fldChar w:fldCharType="begin"/>
    </w:r>
    <w:r>
      <w:instrText xml:space="preserve"> PAGE  \* MERGEFORMAT </w:instrText>
    </w:r>
    <w:r>
      <w:fldChar w:fldCharType="separate"/>
    </w:r>
    <w:r>
      <w:t>2</w:t>
    </w:r>
    <w: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BF2BF" w14:textId="77777777" w:rsidR="00B95851" w:rsidRDefault="00000000">
    <w:pPr>
      <w:pStyle w:val="Runninghead-right"/>
      <w:tabs>
        <w:tab w:val="clear" w:pos="680"/>
        <w:tab w:val="clear" w:pos="6237"/>
        <w:tab w:val="clear" w:pos="6917"/>
        <w:tab w:val="right" w:pos="6634"/>
      </w:tabs>
    </w:pPr>
    <w:r>
      <w:tab/>
    </w:r>
    <w:r>
      <w:fldChar w:fldCharType="begin"/>
    </w:r>
    <w:r>
      <w:instrText xml:space="preserve"> PAGE  \* MERGEFORMAT </w:instrText>
    </w:r>
    <w:r>
      <w:fldChar w:fldCharType="separate"/>
    </w:r>
    <w: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numFmt w:val="bullet"/>
      <w:pStyle w:val="Subitem"/>
      <w:lvlText w:val="–"/>
      <w:lvlJc w:val="left"/>
      <w:pPr>
        <w:tabs>
          <w:tab w:val="left"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1C5811A9"/>
    <w:multiLevelType w:val="multilevel"/>
    <w:tmpl w:val="1C5811A9"/>
    <w:lvl w:ilvl="0">
      <w:start w:val="1"/>
      <w:numFmt w:val="bullet"/>
      <w:pStyle w:val="BulletItem"/>
      <w:lvlText w:val=""/>
      <w:lvlJc w:val="left"/>
      <w:pPr>
        <w:tabs>
          <w:tab w:val="left" w:pos="238"/>
        </w:tabs>
        <w:ind w:left="238" w:hanging="23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78DC6064"/>
    <w:multiLevelType w:val="multilevel"/>
    <w:tmpl w:val="78DC6064"/>
    <w:lvl w:ilvl="0">
      <w:start w:val="1"/>
      <w:numFmt w:val="decimal"/>
      <w:suff w:val="space"/>
      <w:lvlText w:val="%1."/>
      <w:lvlJc w:val="left"/>
      <w:pPr>
        <w:ind w:left="159" w:hanging="159"/>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65108565">
    <w:abstractNumId w:val="0"/>
  </w:num>
  <w:num w:numId="2" w16cid:durableId="1230992455">
    <w:abstractNumId w:val="1"/>
  </w:num>
  <w:num w:numId="3" w16cid:durableId="540215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consecutiveHyphenLimit w:val="3"/>
  <w:hyphenationZone w:val="140"/>
  <w:doNotHyphenateCaps/>
  <w:evenAndOddHeaders/>
  <w:drawingGridHorizontalSpacing w:val="110"/>
  <w:drawingGridVerticalSpacing w:val="163"/>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25AD"/>
    <w:rsid w:val="000040CE"/>
    <w:rsid w:val="00005F1B"/>
    <w:rsid w:val="00020323"/>
    <w:rsid w:val="00023263"/>
    <w:rsid w:val="00025C1E"/>
    <w:rsid w:val="0004327A"/>
    <w:rsid w:val="00044A53"/>
    <w:rsid w:val="00056441"/>
    <w:rsid w:val="0005758F"/>
    <w:rsid w:val="00083E5D"/>
    <w:rsid w:val="000974AD"/>
    <w:rsid w:val="000A2A51"/>
    <w:rsid w:val="000B0BE7"/>
    <w:rsid w:val="000D2574"/>
    <w:rsid w:val="000E0820"/>
    <w:rsid w:val="000E2CE7"/>
    <w:rsid w:val="000E403D"/>
    <w:rsid w:val="000F4B1E"/>
    <w:rsid w:val="0010002D"/>
    <w:rsid w:val="00103A73"/>
    <w:rsid w:val="00111B78"/>
    <w:rsid w:val="00113546"/>
    <w:rsid w:val="00123C3A"/>
    <w:rsid w:val="00130B15"/>
    <w:rsid w:val="001348F1"/>
    <w:rsid w:val="00135C17"/>
    <w:rsid w:val="0013717A"/>
    <w:rsid w:val="00147B54"/>
    <w:rsid w:val="00151533"/>
    <w:rsid w:val="00155007"/>
    <w:rsid w:val="00157BF0"/>
    <w:rsid w:val="0016373B"/>
    <w:rsid w:val="00164D6A"/>
    <w:rsid w:val="00172A27"/>
    <w:rsid w:val="001814E0"/>
    <w:rsid w:val="00187D17"/>
    <w:rsid w:val="001A04A2"/>
    <w:rsid w:val="001A7959"/>
    <w:rsid w:val="001B5AA2"/>
    <w:rsid w:val="001C7ECD"/>
    <w:rsid w:val="001D0B49"/>
    <w:rsid w:val="001D73DE"/>
    <w:rsid w:val="00213F72"/>
    <w:rsid w:val="002152DE"/>
    <w:rsid w:val="002214A8"/>
    <w:rsid w:val="0022274D"/>
    <w:rsid w:val="00226F60"/>
    <w:rsid w:val="00236209"/>
    <w:rsid w:val="00243476"/>
    <w:rsid w:val="00263B68"/>
    <w:rsid w:val="002841FD"/>
    <w:rsid w:val="00290A62"/>
    <w:rsid w:val="002972EB"/>
    <w:rsid w:val="002A1DBF"/>
    <w:rsid w:val="002B2DD3"/>
    <w:rsid w:val="002B795F"/>
    <w:rsid w:val="002C09B7"/>
    <w:rsid w:val="002C3373"/>
    <w:rsid w:val="002C764E"/>
    <w:rsid w:val="002D0A7E"/>
    <w:rsid w:val="002E13DA"/>
    <w:rsid w:val="002E3FFA"/>
    <w:rsid w:val="002E6104"/>
    <w:rsid w:val="002E7799"/>
    <w:rsid w:val="002F2934"/>
    <w:rsid w:val="00301FA4"/>
    <w:rsid w:val="00305E91"/>
    <w:rsid w:val="00310819"/>
    <w:rsid w:val="00314BA0"/>
    <w:rsid w:val="00315C0D"/>
    <w:rsid w:val="00330905"/>
    <w:rsid w:val="00334FEC"/>
    <w:rsid w:val="00335219"/>
    <w:rsid w:val="00335EC0"/>
    <w:rsid w:val="00345885"/>
    <w:rsid w:val="003557BB"/>
    <w:rsid w:val="00360E7F"/>
    <w:rsid w:val="00377469"/>
    <w:rsid w:val="00390A23"/>
    <w:rsid w:val="003A4F09"/>
    <w:rsid w:val="003A55E8"/>
    <w:rsid w:val="003C3A93"/>
    <w:rsid w:val="003D178F"/>
    <w:rsid w:val="003D41D1"/>
    <w:rsid w:val="003E02C0"/>
    <w:rsid w:val="003E61D1"/>
    <w:rsid w:val="003F102A"/>
    <w:rsid w:val="003F124A"/>
    <w:rsid w:val="003F3969"/>
    <w:rsid w:val="004025A4"/>
    <w:rsid w:val="00405E55"/>
    <w:rsid w:val="00410267"/>
    <w:rsid w:val="00435C10"/>
    <w:rsid w:val="004456D8"/>
    <w:rsid w:val="00454F39"/>
    <w:rsid w:val="004552DA"/>
    <w:rsid w:val="0046154C"/>
    <w:rsid w:val="004630BB"/>
    <w:rsid w:val="0047656C"/>
    <w:rsid w:val="00493C8D"/>
    <w:rsid w:val="004963D3"/>
    <w:rsid w:val="004C0B12"/>
    <w:rsid w:val="004C26F2"/>
    <w:rsid w:val="004C51C5"/>
    <w:rsid w:val="004D442E"/>
    <w:rsid w:val="004F0A37"/>
    <w:rsid w:val="004F12B1"/>
    <w:rsid w:val="004F62B3"/>
    <w:rsid w:val="00507EA6"/>
    <w:rsid w:val="005102F9"/>
    <w:rsid w:val="005275AB"/>
    <w:rsid w:val="00533D19"/>
    <w:rsid w:val="00533E30"/>
    <w:rsid w:val="0053774C"/>
    <w:rsid w:val="00544A38"/>
    <w:rsid w:val="00544C27"/>
    <w:rsid w:val="00553B9B"/>
    <w:rsid w:val="00583E41"/>
    <w:rsid w:val="0059116B"/>
    <w:rsid w:val="00594390"/>
    <w:rsid w:val="005A393B"/>
    <w:rsid w:val="005D0A00"/>
    <w:rsid w:val="005D3277"/>
    <w:rsid w:val="005D3AF5"/>
    <w:rsid w:val="005E169A"/>
    <w:rsid w:val="005E46EB"/>
    <w:rsid w:val="005F4215"/>
    <w:rsid w:val="0060329D"/>
    <w:rsid w:val="00610087"/>
    <w:rsid w:val="006139F1"/>
    <w:rsid w:val="00617888"/>
    <w:rsid w:val="00620D5D"/>
    <w:rsid w:val="00620E29"/>
    <w:rsid w:val="0062173D"/>
    <w:rsid w:val="006237D0"/>
    <w:rsid w:val="00640694"/>
    <w:rsid w:val="006417DB"/>
    <w:rsid w:val="00653A25"/>
    <w:rsid w:val="006620E7"/>
    <w:rsid w:val="0066493C"/>
    <w:rsid w:val="00664D09"/>
    <w:rsid w:val="006667CF"/>
    <w:rsid w:val="00672566"/>
    <w:rsid w:val="00680383"/>
    <w:rsid w:val="006829A3"/>
    <w:rsid w:val="006845C1"/>
    <w:rsid w:val="0069173E"/>
    <w:rsid w:val="006922EF"/>
    <w:rsid w:val="006A4A4E"/>
    <w:rsid w:val="006A574A"/>
    <w:rsid w:val="006B0B8C"/>
    <w:rsid w:val="006C0CEE"/>
    <w:rsid w:val="006D03B4"/>
    <w:rsid w:val="006D6414"/>
    <w:rsid w:val="006E0318"/>
    <w:rsid w:val="006E3B89"/>
    <w:rsid w:val="006E723D"/>
    <w:rsid w:val="006F34E0"/>
    <w:rsid w:val="006F521D"/>
    <w:rsid w:val="0070748F"/>
    <w:rsid w:val="00710686"/>
    <w:rsid w:val="00722F8A"/>
    <w:rsid w:val="00723352"/>
    <w:rsid w:val="00740092"/>
    <w:rsid w:val="007476EE"/>
    <w:rsid w:val="00752F36"/>
    <w:rsid w:val="00772BBE"/>
    <w:rsid w:val="00774248"/>
    <w:rsid w:val="007866EB"/>
    <w:rsid w:val="0078734E"/>
    <w:rsid w:val="00791BDF"/>
    <w:rsid w:val="00794DDC"/>
    <w:rsid w:val="0079666B"/>
    <w:rsid w:val="007A1146"/>
    <w:rsid w:val="007A267C"/>
    <w:rsid w:val="007A2AD6"/>
    <w:rsid w:val="007A3DCC"/>
    <w:rsid w:val="007B50AE"/>
    <w:rsid w:val="007B61CD"/>
    <w:rsid w:val="007C0CBB"/>
    <w:rsid w:val="007C1B84"/>
    <w:rsid w:val="007C6C8E"/>
    <w:rsid w:val="007F3CE5"/>
    <w:rsid w:val="007F3D0C"/>
    <w:rsid w:val="008149B3"/>
    <w:rsid w:val="00822EF7"/>
    <w:rsid w:val="00824B9A"/>
    <w:rsid w:val="008603F5"/>
    <w:rsid w:val="0086284F"/>
    <w:rsid w:val="00862E08"/>
    <w:rsid w:val="008662CD"/>
    <w:rsid w:val="008A645A"/>
    <w:rsid w:val="008B0AB1"/>
    <w:rsid w:val="008B4542"/>
    <w:rsid w:val="008C0390"/>
    <w:rsid w:val="008C132C"/>
    <w:rsid w:val="008D6E6D"/>
    <w:rsid w:val="008E2B14"/>
    <w:rsid w:val="008F210E"/>
    <w:rsid w:val="0090334B"/>
    <w:rsid w:val="0091061C"/>
    <w:rsid w:val="009204EB"/>
    <w:rsid w:val="00923A3D"/>
    <w:rsid w:val="00933C35"/>
    <w:rsid w:val="00943746"/>
    <w:rsid w:val="009457D8"/>
    <w:rsid w:val="00947C6C"/>
    <w:rsid w:val="00954D64"/>
    <w:rsid w:val="0097475E"/>
    <w:rsid w:val="00976926"/>
    <w:rsid w:val="00981089"/>
    <w:rsid w:val="00981CD7"/>
    <w:rsid w:val="00987EF7"/>
    <w:rsid w:val="00991796"/>
    <w:rsid w:val="009960F7"/>
    <w:rsid w:val="009973AB"/>
    <w:rsid w:val="009A5235"/>
    <w:rsid w:val="009A6A59"/>
    <w:rsid w:val="009C2ED8"/>
    <w:rsid w:val="009C4FF7"/>
    <w:rsid w:val="009C57C4"/>
    <w:rsid w:val="009D0227"/>
    <w:rsid w:val="009D04DB"/>
    <w:rsid w:val="00A10459"/>
    <w:rsid w:val="00A1344F"/>
    <w:rsid w:val="00A321CB"/>
    <w:rsid w:val="00A32BF1"/>
    <w:rsid w:val="00A442FD"/>
    <w:rsid w:val="00A55D62"/>
    <w:rsid w:val="00A663EA"/>
    <w:rsid w:val="00A7006D"/>
    <w:rsid w:val="00A72563"/>
    <w:rsid w:val="00A822A9"/>
    <w:rsid w:val="00A86683"/>
    <w:rsid w:val="00A94FE4"/>
    <w:rsid w:val="00AC078B"/>
    <w:rsid w:val="00AC38BA"/>
    <w:rsid w:val="00AE2A86"/>
    <w:rsid w:val="00B059BF"/>
    <w:rsid w:val="00B06070"/>
    <w:rsid w:val="00B065E8"/>
    <w:rsid w:val="00B11671"/>
    <w:rsid w:val="00B11F8F"/>
    <w:rsid w:val="00B124F8"/>
    <w:rsid w:val="00B13CDA"/>
    <w:rsid w:val="00B160C1"/>
    <w:rsid w:val="00B20576"/>
    <w:rsid w:val="00B21397"/>
    <w:rsid w:val="00B440B5"/>
    <w:rsid w:val="00B5108A"/>
    <w:rsid w:val="00B52114"/>
    <w:rsid w:val="00B5232B"/>
    <w:rsid w:val="00B5459D"/>
    <w:rsid w:val="00B551B3"/>
    <w:rsid w:val="00B56518"/>
    <w:rsid w:val="00B61139"/>
    <w:rsid w:val="00B71F61"/>
    <w:rsid w:val="00B75A6B"/>
    <w:rsid w:val="00B8201B"/>
    <w:rsid w:val="00B85FAC"/>
    <w:rsid w:val="00B91A4B"/>
    <w:rsid w:val="00B95851"/>
    <w:rsid w:val="00B97ED3"/>
    <w:rsid w:val="00BB3D2A"/>
    <w:rsid w:val="00BB579C"/>
    <w:rsid w:val="00BC0716"/>
    <w:rsid w:val="00BC26B4"/>
    <w:rsid w:val="00BD07A2"/>
    <w:rsid w:val="00BD2B68"/>
    <w:rsid w:val="00BD3D05"/>
    <w:rsid w:val="00BD3DBF"/>
    <w:rsid w:val="00BD6608"/>
    <w:rsid w:val="00BE3849"/>
    <w:rsid w:val="00BE473C"/>
    <w:rsid w:val="00BE7AD8"/>
    <w:rsid w:val="00BF2C5E"/>
    <w:rsid w:val="00C03FF2"/>
    <w:rsid w:val="00C11347"/>
    <w:rsid w:val="00C166AD"/>
    <w:rsid w:val="00C21A5A"/>
    <w:rsid w:val="00C22245"/>
    <w:rsid w:val="00C240FE"/>
    <w:rsid w:val="00C371B3"/>
    <w:rsid w:val="00C43021"/>
    <w:rsid w:val="00C51E5B"/>
    <w:rsid w:val="00C7344F"/>
    <w:rsid w:val="00C77BAB"/>
    <w:rsid w:val="00C81E49"/>
    <w:rsid w:val="00C921ED"/>
    <w:rsid w:val="00C937C6"/>
    <w:rsid w:val="00C9398D"/>
    <w:rsid w:val="00C949B0"/>
    <w:rsid w:val="00C955C7"/>
    <w:rsid w:val="00C9597D"/>
    <w:rsid w:val="00C95C76"/>
    <w:rsid w:val="00CB5F61"/>
    <w:rsid w:val="00CC0309"/>
    <w:rsid w:val="00CC7876"/>
    <w:rsid w:val="00CD3045"/>
    <w:rsid w:val="00CD3B26"/>
    <w:rsid w:val="00CD548C"/>
    <w:rsid w:val="00CF361B"/>
    <w:rsid w:val="00CF4B33"/>
    <w:rsid w:val="00CF51AE"/>
    <w:rsid w:val="00D21DA8"/>
    <w:rsid w:val="00D22D97"/>
    <w:rsid w:val="00D27CCD"/>
    <w:rsid w:val="00D35255"/>
    <w:rsid w:val="00D36EC8"/>
    <w:rsid w:val="00D453CE"/>
    <w:rsid w:val="00D4758B"/>
    <w:rsid w:val="00D50113"/>
    <w:rsid w:val="00D52D3D"/>
    <w:rsid w:val="00D648B7"/>
    <w:rsid w:val="00D75856"/>
    <w:rsid w:val="00D776A8"/>
    <w:rsid w:val="00D77881"/>
    <w:rsid w:val="00D80AFE"/>
    <w:rsid w:val="00D82662"/>
    <w:rsid w:val="00D84A8F"/>
    <w:rsid w:val="00D8520A"/>
    <w:rsid w:val="00D86F17"/>
    <w:rsid w:val="00D9355C"/>
    <w:rsid w:val="00DB3416"/>
    <w:rsid w:val="00DB6263"/>
    <w:rsid w:val="00DC03B9"/>
    <w:rsid w:val="00DC05FD"/>
    <w:rsid w:val="00DC11A5"/>
    <w:rsid w:val="00DE0016"/>
    <w:rsid w:val="00DE081B"/>
    <w:rsid w:val="00DE23C9"/>
    <w:rsid w:val="00DF3836"/>
    <w:rsid w:val="00E0047E"/>
    <w:rsid w:val="00E0092A"/>
    <w:rsid w:val="00E01E14"/>
    <w:rsid w:val="00E10D20"/>
    <w:rsid w:val="00E140CA"/>
    <w:rsid w:val="00E16A28"/>
    <w:rsid w:val="00E2083D"/>
    <w:rsid w:val="00E359E3"/>
    <w:rsid w:val="00E35DEA"/>
    <w:rsid w:val="00E376FA"/>
    <w:rsid w:val="00E477EE"/>
    <w:rsid w:val="00E47BAC"/>
    <w:rsid w:val="00E51824"/>
    <w:rsid w:val="00E5741D"/>
    <w:rsid w:val="00E607F0"/>
    <w:rsid w:val="00E6119D"/>
    <w:rsid w:val="00E61907"/>
    <w:rsid w:val="00E636F6"/>
    <w:rsid w:val="00E665A0"/>
    <w:rsid w:val="00E76B01"/>
    <w:rsid w:val="00E77C4D"/>
    <w:rsid w:val="00E84423"/>
    <w:rsid w:val="00E85160"/>
    <w:rsid w:val="00EA2BB0"/>
    <w:rsid w:val="00EA44D1"/>
    <w:rsid w:val="00EB4C73"/>
    <w:rsid w:val="00EB6306"/>
    <w:rsid w:val="00EC3814"/>
    <w:rsid w:val="00ED4243"/>
    <w:rsid w:val="00ED6CDE"/>
    <w:rsid w:val="00ED7666"/>
    <w:rsid w:val="00EF7C20"/>
    <w:rsid w:val="00F018FF"/>
    <w:rsid w:val="00F04559"/>
    <w:rsid w:val="00F05C54"/>
    <w:rsid w:val="00F05D04"/>
    <w:rsid w:val="00F209D0"/>
    <w:rsid w:val="00F65585"/>
    <w:rsid w:val="00F67E29"/>
    <w:rsid w:val="00F75922"/>
    <w:rsid w:val="00F843DC"/>
    <w:rsid w:val="00FB0044"/>
    <w:rsid w:val="00FD1A23"/>
    <w:rsid w:val="00FF5DEF"/>
    <w:rsid w:val="02C62032"/>
    <w:rsid w:val="05760F72"/>
    <w:rsid w:val="07DB3F6C"/>
    <w:rsid w:val="091D4799"/>
    <w:rsid w:val="094E3308"/>
    <w:rsid w:val="09FD2492"/>
    <w:rsid w:val="0AD76FA7"/>
    <w:rsid w:val="0CE23EB3"/>
    <w:rsid w:val="103D25B1"/>
    <w:rsid w:val="13794AED"/>
    <w:rsid w:val="17C632B2"/>
    <w:rsid w:val="198F37EF"/>
    <w:rsid w:val="2BCA23E3"/>
    <w:rsid w:val="30924E08"/>
    <w:rsid w:val="30CD2F5B"/>
    <w:rsid w:val="32990C99"/>
    <w:rsid w:val="3431790D"/>
    <w:rsid w:val="366F6862"/>
    <w:rsid w:val="384B51D9"/>
    <w:rsid w:val="3A8A53D3"/>
    <w:rsid w:val="3ABF0EFF"/>
    <w:rsid w:val="3B787F67"/>
    <w:rsid w:val="3EA82B9D"/>
    <w:rsid w:val="3F3F5BA3"/>
    <w:rsid w:val="3F9E5AC2"/>
    <w:rsid w:val="40A67324"/>
    <w:rsid w:val="437B2282"/>
    <w:rsid w:val="4522137C"/>
    <w:rsid w:val="50771FBD"/>
    <w:rsid w:val="5137151A"/>
    <w:rsid w:val="518A40F8"/>
    <w:rsid w:val="5C1B076F"/>
    <w:rsid w:val="5FE22D60"/>
    <w:rsid w:val="62614A1E"/>
    <w:rsid w:val="62B06376"/>
    <w:rsid w:val="68A04FDE"/>
    <w:rsid w:val="71E075A8"/>
    <w:rsid w:val="740022CC"/>
    <w:rsid w:val="75D212DD"/>
    <w:rsid w:val="7B1530C3"/>
    <w:rsid w:val="7E3C65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413AF8"/>
  <w15:docId w15:val="{81E78A6F-0873-4C9F-A3DC-00D3C5C41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index 2" w:semiHidden="1" w:qFormat="1"/>
    <w:lsdException w:name="index 3" w:semiHidden="1" w:qFormat="1"/>
    <w:lsdException w:name="toc 1" w:semiHidden="1" w:qFormat="1"/>
    <w:lsdException w:name="toc 2" w:semiHidden="1" w:qFormat="1"/>
    <w:lsdException w:name="toc 3" w:semiHidden="1" w:qFormat="1"/>
    <w:lsdException w:name="toc 4" w:semiHidden="1" w:qFormat="1"/>
    <w:lsdException w:name="footnote text" w:semiHidden="1" w:qFormat="1"/>
    <w:lsdException w:name="annotation text" w:qFormat="1"/>
    <w:lsdException w:name="header" w:qFormat="1"/>
    <w:lsdException w:name="footer" w:qFormat="1"/>
    <w:lsdException w:name="caption" w:unhideWhenUsed="1" w:qFormat="1"/>
    <w:lsdException w:name="footnote reference" w:semiHidden="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spacing w:line="240" w:lineRule="atLeast"/>
      <w:ind w:firstLine="238"/>
      <w:jc w:val="both"/>
      <w:textAlignment w:val="baseline"/>
    </w:pPr>
    <w:rPr>
      <w:rFonts w:ascii="Times" w:hAnsi="Times"/>
      <w:lang w:eastAsia="de-DE"/>
    </w:rPr>
  </w:style>
  <w:style w:type="paragraph" w:styleId="1">
    <w:name w:val="heading 1"/>
    <w:basedOn w:val="a"/>
    <w:next w:val="a"/>
    <w:qFormat/>
    <w:pPr>
      <w:keepNext/>
      <w:spacing w:after="240"/>
      <w:outlineLvl w:val="0"/>
    </w:pPr>
    <w:rPr>
      <w:rFonts w:ascii="Arial" w:hAnsi="Arial"/>
      <w:b/>
      <w:bCs/>
      <w:sz w:val="28"/>
      <w:szCs w:val="24"/>
    </w:rPr>
  </w:style>
  <w:style w:type="paragraph" w:styleId="2">
    <w:name w:val="heading 2"/>
    <w:basedOn w:val="a"/>
    <w:next w:val="a"/>
    <w:qFormat/>
    <w:pPr>
      <w:keepNext/>
      <w:spacing w:before="240" w:after="120"/>
      <w:outlineLvl w:val="1"/>
    </w:pPr>
    <w:rPr>
      <w:rFonts w:ascii="Arial" w:hAnsi="Arial"/>
      <w:b/>
    </w:rPr>
  </w:style>
  <w:style w:type="paragraph" w:styleId="3">
    <w:name w:val="heading 3"/>
    <w:basedOn w:val="a"/>
    <w:next w:val="a"/>
    <w:qFormat/>
    <w:pPr>
      <w:keepNext/>
      <w:spacing w:before="180" w:after="120"/>
      <w:outlineLvl w:val="2"/>
    </w:pPr>
    <w:rPr>
      <w:rFonts w:ascii="Arial" w:hAnsi="Arial"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lang w:eastAsia="zh-CN"/>
    </w:rPr>
  </w:style>
  <w:style w:type="paragraph" w:styleId="a4">
    <w:name w:val="annotation text"/>
    <w:basedOn w:val="a"/>
    <w:link w:val="a5"/>
    <w:qFormat/>
    <w:pPr>
      <w:jc w:val="left"/>
    </w:pPr>
  </w:style>
  <w:style w:type="paragraph" w:styleId="TOC3">
    <w:name w:val="toc 3"/>
    <w:basedOn w:val="TOC1"/>
    <w:semiHidden/>
    <w:qFormat/>
    <w:pPr>
      <w:spacing w:before="0"/>
      <w:ind w:left="510"/>
    </w:pPr>
    <w:rPr>
      <w:b w:val="0"/>
    </w:rPr>
  </w:style>
  <w:style w:type="paragraph" w:styleId="TOC1">
    <w:name w:val="toc 1"/>
    <w:basedOn w:val="a"/>
    <w:next w:val="petit"/>
    <w:semiHidden/>
    <w:qFormat/>
    <w:pPr>
      <w:tabs>
        <w:tab w:val="right" w:leader="dot" w:pos="6634"/>
      </w:tabs>
      <w:spacing w:before="240"/>
      <w:ind w:firstLine="0"/>
      <w:jc w:val="left"/>
    </w:pPr>
    <w:rPr>
      <w:b/>
    </w:rPr>
  </w:style>
  <w:style w:type="paragraph" w:customStyle="1" w:styleId="petit">
    <w:name w:val="petit"/>
    <w:basedOn w:val="a"/>
    <w:qFormat/>
    <w:pPr>
      <w:spacing w:before="120" w:after="120" w:line="200" w:lineRule="atLeast"/>
    </w:pPr>
    <w:rPr>
      <w:sz w:val="17"/>
    </w:rPr>
  </w:style>
  <w:style w:type="paragraph" w:styleId="30">
    <w:name w:val="index 3"/>
    <w:basedOn w:val="a"/>
    <w:next w:val="a"/>
    <w:semiHidden/>
    <w:qFormat/>
    <w:pPr>
      <w:ind w:left="660" w:hanging="220"/>
      <w:jc w:val="left"/>
    </w:pPr>
    <w:rPr>
      <w:szCs w:val="21"/>
    </w:rPr>
  </w:style>
  <w:style w:type="paragraph" w:styleId="a6">
    <w:name w:val="footer"/>
    <w:basedOn w:val="a"/>
    <w:qFormat/>
    <w:pPr>
      <w:tabs>
        <w:tab w:val="center" w:pos="4536"/>
        <w:tab w:val="right" w:pos="9072"/>
      </w:tabs>
    </w:pPr>
  </w:style>
  <w:style w:type="paragraph" w:styleId="a7">
    <w:name w:val="header"/>
    <w:basedOn w:val="a"/>
    <w:qFormat/>
    <w:pPr>
      <w:tabs>
        <w:tab w:val="center" w:pos="4536"/>
        <w:tab w:val="right" w:pos="9072"/>
      </w:tabs>
    </w:pPr>
  </w:style>
  <w:style w:type="paragraph" w:styleId="TOC4">
    <w:name w:val="toc 4"/>
    <w:basedOn w:val="TOC3"/>
    <w:next w:val="a"/>
    <w:semiHidden/>
    <w:qFormat/>
    <w:pPr>
      <w:ind w:left="737"/>
    </w:pPr>
  </w:style>
  <w:style w:type="paragraph" w:styleId="a8">
    <w:name w:val="footnote text"/>
    <w:basedOn w:val="a"/>
    <w:semiHidden/>
    <w:qFormat/>
  </w:style>
  <w:style w:type="paragraph" w:styleId="TOC2">
    <w:name w:val="toc 2"/>
    <w:basedOn w:val="TOC1"/>
    <w:semiHidden/>
    <w:qFormat/>
    <w:pPr>
      <w:spacing w:before="0"/>
      <w:ind w:left="284"/>
    </w:pPr>
    <w:rPr>
      <w:b w:val="0"/>
    </w:rPr>
  </w:style>
  <w:style w:type="paragraph" w:styleId="a9">
    <w:name w:val="Normal (Web)"/>
    <w:basedOn w:val="a"/>
    <w:uiPriority w:val="99"/>
    <w:qFormat/>
    <w:pPr>
      <w:spacing w:beforeAutospacing="1" w:afterAutospacing="1"/>
      <w:jc w:val="left"/>
    </w:pPr>
    <w:rPr>
      <w:sz w:val="24"/>
      <w:lang w:eastAsia="zh-CN"/>
    </w:rPr>
  </w:style>
  <w:style w:type="paragraph" w:styleId="10">
    <w:name w:val="index 1"/>
    <w:basedOn w:val="petit"/>
    <w:semiHidden/>
    <w:qFormat/>
    <w:pPr>
      <w:spacing w:before="0" w:after="0"/>
      <w:ind w:left="720" w:hanging="720"/>
      <w:jc w:val="left"/>
    </w:pPr>
    <w:rPr>
      <w:szCs w:val="21"/>
    </w:rPr>
  </w:style>
  <w:style w:type="paragraph" w:styleId="20">
    <w:name w:val="index 2"/>
    <w:basedOn w:val="10"/>
    <w:semiHidden/>
    <w:qFormat/>
    <w:pPr>
      <w:ind w:left="958"/>
    </w:pPr>
  </w:style>
  <w:style w:type="paragraph" w:styleId="aa">
    <w:name w:val="annotation subject"/>
    <w:basedOn w:val="a4"/>
    <w:next w:val="a4"/>
    <w:link w:val="ab"/>
    <w:qFormat/>
    <w:rPr>
      <w:b/>
      <w:bCs/>
    </w:rPr>
  </w:style>
  <w:style w:type="table" w:styleId="ac">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page number"/>
    <w:qFormat/>
    <w:rPr>
      <w:sz w:val="20"/>
    </w:rPr>
  </w:style>
  <w:style w:type="character" w:styleId="ae">
    <w:name w:val="FollowedHyperlink"/>
    <w:basedOn w:val="a0"/>
    <w:qFormat/>
    <w:rPr>
      <w:color w:val="800080"/>
      <w:u w:val="single"/>
    </w:rPr>
  </w:style>
  <w:style w:type="character" w:styleId="af">
    <w:name w:val="Hyperlink"/>
    <w:qFormat/>
    <w:rPr>
      <w:color w:val="0000FF"/>
      <w:u w:val="single"/>
    </w:rPr>
  </w:style>
  <w:style w:type="character" w:styleId="HTML">
    <w:name w:val="HTML Code"/>
    <w:basedOn w:val="a0"/>
    <w:qFormat/>
    <w:rPr>
      <w:rFonts w:ascii="Courier New" w:hAnsi="Courier New"/>
      <w:sz w:val="20"/>
    </w:rPr>
  </w:style>
  <w:style w:type="character" w:styleId="af0">
    <w:name w:val="annotation reference"/>
    <w:basedOn w:val="a0"/>
    <w:qFormat/>
    <w:rPr>
      <w:sz w:val="21"/>
      <w:szCs w:val="21"/>
    </w:rPr>
  </w:style>
  <w:style w:type="character" w:styleId="af1">
    <w:name w:val="footnote reference"/>
    <w:semiHidden/>
    <w:qFormat/>
    <w:rPr>
      <w:position w:val="6"/>
      <w:sz w:val="12"/>
      <w:vertAlign w:val="baseline"/>
    </w:rPr>
  </w:style>
  <w:style w:type="paragraph" w:customStyle="1" w:styleId="Runninghead-left">
    <w:name w:val="Running head - left"/>
    <w:basedOn w:val="a"/>
    <w:qFormat/>
    <w:pPr>
      <w:tabs>
        <w:tab w:val="left" w:pos="680"/>
        <w:tab w:val="right" w:pos="6237"/>
        <w:tab w:val="right" w:pos="6917"/>
      </w:tabs>
      <w:spacing w:after="120" w:line="200" w:lineRule="exact"/>
      <w:ind w:firstLine="0"/>
      <w:jc w:val="left"/>
    </w:pPr>
    <w:rPr>
      <w:sz w:val="17"/>
    </w:rPr>
  </w:style>
  <w:style w:type="paragraph" w:customStyle="1" w:styleId="Runninghead-right">
    <w:name w:val="Running head - right"/>
    <w:basedOn w:val="Runninghead-left"/>
    <w:qFormat/>
    <w:pPr>
      <w:jc w:val="right"/>
    </w:pPr>
  </w:style>
  <w:style w:type="paragraph" w:customStyle="1" w:styleId="author">
    <w:name w:val="author"/>
    <w:basedOn w:val="a"/>
    <w:next w:val="a"/>
    <w:qFormat/>
    <w:pPr>
      <w:suppressAutoHyphens/>
      <w:spacing w:before="480" w:after="220"/>
      <w:ind w:firstLine="0"/>
      <w:jc w:val="left"/>
    </w:pPr>
    <w:rPr>
      <w:b/>
    </w:rPr>
  </w:style>
  <w:style w:type="paragraph" w:customStyle="1" w:styleId="table">
    <w:name w:val="table"/>
    <w:basedOn w:val="a"/>
    <w:qFormat/>
    <w:pPr>
      <w:spacing w:before="60" w:line="200" w:lineRule="atLeast"/>
      <w:ind w:firstLine="0"/>
      <w:jc w:val="left"/>
    </w:pPr>
    <w:rPr>
      <w:sz w:val="17"/>
      <w:szCs w:val="18"/>
    </w:rPr>
  </w:style>
  <w:style w:type="paragraph" w:customStyle="1" w:styleId="equation">
    <w:name w:val="equation"/>
    <w:basedOn w:val="a"/>
    <w:next w:val="a"/>
    <w:qFormat/>
    <w:pPr>
      <w:tabs>
        <w:tab w:val="center" w:pos="3204"/>
        <w:tab w:val="right" w:pos="6634"/>
      </w:tabs>
      <w:spacing w:before="240" w:after="240"/>
      <w:ind w:firstLine="0"/>
      <w:jc w:val="left"/>
    </w:pPr>
  </w:style>
  <w:style w:type="paragraph" w:customStyle="1" w:styleId="figlegend">
    <w:name w:val="figlegend"/>
    <w:basedOn w:val="a"/>
    <w:next w:val="a"/>
    <w:qFormat/>
    <w:pPr>
      <w:keepLines/>
      <w:spacing w:before="120" w:after="240" w:line="200" w:lineRule="atLeast"/>
      <w:ind w:firstLine="0"/>
    </w:pPr>
    <w:rPr>
      <w:sz w:val="17"/>
    </w:rPr>
  </w:style>
  <w:style w:type="paragraph" w:customStyle="1" w:styleId="FunotentextFootnote">
    <w:name w:val="Fußnotentext.Footnote"/>
    <w:basedOn w:val="p1a"/>
    <w:qFormat/>
    <w:pPr>
      <w:tabs>
        <w:tab w:val="left" w:pos="170"/>
      </w:tabs>
      <w:spacing w:after="40" w:line="200" w:lineRule="atLeast"/>
    </w:pPr>
    <w:rPr>
      <w:sz w:val="17"/>
    </w:rPr>
  </w:style>
  <w:style w:type="paragraph" w:customStyle="1" w:styleId="p1a">
    <w:name w:val="p1a"/>
    <w:basedOn w:val="a"/>
    <w:next w:val="a"/>
    <w:qFormat/>
    <w:pPr>
      <w:ind w:firstLine="0"/>
    </w:pPr>
  </w:style>
  <w:style w:type="paragraph" w:customStyle="1" w:styleId="heading1">
    <w:name w:val="heading1"/>
    <w:basedOn w:val="a"/>
    <w:next w:val="p1a"/>
    <w:qFormat/>
    <w:pPr>
      <w:keepNext/>
      <w:keepLines/>
      <w:tabs>
        <w:tab w:val="left" w:pos="454"/>
      </w:tabs>
      <w:suppressAutoHyphens/>
      <w:spacing w:before="600" w:after="320"/>
      <w:ind w:firstLine="0"/>
      <w:jc w:val="left"/>
      <w:outlineLvl w:val="0"/>
    </w:pPr>
    <w:rPr>
      <w:b/>
      <w:sz w:val="24"/>
    </w:rPr>
  </w:style>
  <w:style w:type="paragraph" w:customStyle="1" w:styleId="heading2">
    <w:name w:val="heading2"/>
    <w:basedOn w:val="heading1"/>
    <w:next w:val="p1a"/>
    <w:qFormat/>
    <w:pPr>
      <w:tabs>
        <w:tab w:val="left" w:pos="510"/>
      </w:tabs>
      <w:outlineLvl w:val="1"/>
    </w:pPr>
    <w:rPr>
      <w:i/>
    </w:rPr>
  </w:style>
  <w:style w:type="paragraph" w:customStyle="1" w:styleId="heading3">
    <w:name w:val="heading3"/>
    <w:basedOn w:val="p1a"/>
    <w:next w:val="p1a"/>
    <w:qFormat/>
    <w:pPr>
      <w:tabs>
        <w:tab w:val="left" w:pos="284"/>
      </w:tabs>
      <w:suppressAutoHyphens/>
      <w:spacing w:before="480" w:after="240"/>
      <w:jc w:val="left"/>
      <w:outlineLvl w:val="2"/>
    </w:pPr>
    <w:rPr>
      <w:b/>
    </w:rPr>
  </w:style>
  <w:style w:type="paragraph" w:customStyle="1" w:styleId="Subitem">
    <w:name w:val="Subitem"/>
    <w:qFormat/>
    <w:pPr>
      <w:numPr>
        <w:numId w:val="1"/>
      </w:numPr>
      <w:spacing w:after="120" w:line="240" w:lineRule="atLeast"/>
      <w:contextualSpacing/>
      <w:jc w:val="both"/>
    </w:pPr>
    <w:rPr>
      <w:rFonts w:ascii="Times" w:hAnsi="Times"/>
      <w:lang w:eastAsia="de-DE"/>
    </w:rPr>
  </w:style>
  <w:style w:type="paragraph" w:customStyle="1" w:styleId="NumberedItem">
    <w:name w:val="Numbered Item"/>
    <w:basedOn w:val="BulletItem"/>
    <w:qFormat/>
  </w:style>
  <w:style w:type="paragraph" w:customStyle="1" w:styleId="BulletItem">
    <w:name w:val="Bullet Item"/>
    <w:basedOn w:val="a"/>
    <w:qFormat/>
    <w:pPr>
      <w:numPr>
        <w:numId w:val="2"/>
      </w:numPr>
      <w:spacing w:before="120" w:after="120"/>
      <w:contextualSpacing/>
    </w:pPr>
  </w:style>
  <w:style w:type="paragraph" w:customStyle="1" w:styleId="reference">
    <w:name w:val="reference"/>
    <w:basedOn w:val="a"/>
    <w:qFormat/>
    <w:pPr>
      <w:tabs>
        <w:tab w:val="left" w:pos="340"/>
      </w:tabs>
      <w:spacing w:line="200" w:lineRule="atLeast"/>
      <w:ind w:left="238" w:hanging="238"/>
    </w:pPr>
    <w:rPr>
      <w:sz w:val="18"/>
    </w:rPr>
  </w:style>
  <w:style w:type="paragraph" w:customStyle="1" w:styleId="Important">
    <w:name w:val="Important"/>
    <w:basedOn w:val="p1a"/>
    <w:qFormat/>
    <w:pPr>
      <w:shd w:val="clear" w:color="auto" w:fill="D9D9D9"/>
      <w:spacing w:before="240" w:after="240"/>
      <w:ind w:left="238" w:right="238"/>
      <w:contextualSpacing/>
    </w:pPr>
  </w:style>
  <w:style w:type="paragraph" w:customStyle="1" w:styleId="tablelegend">
    <w:name w:val="tablelegend"/>
    <w:basedOn w:val="a"/>
    <w:next w:val="a"/>
    <w:qFormat/>
    <w:pPr>
      <w:keepNext/>
      <w:keepLines/>
      <w:spacing w:before="240" w:after="120" w:line="200" w:lineRule="atLeast"/>
      <w:ind w:firstLine="0"/>
    </w:pPr>
    <w:rPr>
      <w:sz w:val="17"/>
    </w:rPr>
  </w:style>
  <w:style w:type="paragraph" w:customStyle="1" w:styleId="tablenotes">
    <w:name w:val="tablenotes"/>
    <w:basedOn w:val="a"/>
    <w:next w:val="a"/>
    <w:qFormat/>
    <w:pPr>
      <w:widowControl w:val="0"/>
      <w:spacing w:before="20" w:line="200" w:lineRule="atLeast"/>
      <w:ind w:firstLine="0"/>
      <w:jc w:val="left"/>
    </w:pPr>
    <w:rPr>
      <w:sz w:val="17"/>
    </w:rPr>
  </w:style>
  <w:style w:type="paragraph" w:customStyle="1" w:styleId="11">
    <w:name w:val="标题1"/>
    <w:basedOn w:val="a"/>
    <w:next w:val="p1a"/>
    <w:qFormat/>
    <w:pPr>
      <w:keepNext/>
      <w:keepLines/>
      <w:pageBreakBefore/>
      <w:tabs>
        <w:tab w:val="left" w:pos="284"/>
      </w:tabs>
      <w:suppressAutoHyphens/>
      <w:spacing w:line="360" w:lineRule="atLeast"/>
      <w:ind w:firstLine="0"/>
      <w:jc w:val="left"/>
    </w:pPr>
    <w:rPr>
      <w:b/>
      <w:sz w:val="32"/>
    </w:rPr>
  </w:style>
  <w:style w:type="paragraph" w:customStyle="1" w:styleId="heading4">
    <w:name w:val="heading4"/>
    <w:basedOn w:val="p1a"/>
    <w:next w:val="p1a"/>
    <w:qFormat/>
    <w:pPr>
      <w:keepNext/>
      <w:suppressAutoHyphens/>
      <w:spacing w:before="480" w:after="240"/>
      <w:jc w:val="left"/>
    </w:pPr>
  </w:style>
  <w:style w:type="paragraph" w:customStyle="1" w:styleId="heading5">
    <w:name w:val="heading5"/>
    <w:basedOn w:val="heading4"/>
    <w:next w:val="p1a"/>
    <w:qFormat/>
    <w:pPr>
      <w:spacing w:before="360" w:after="120"/>
    </w:pPr>
    <w:rPr>
      <w:i/>
    </w:rPr>
  </w:style>
  <w:style w:type="paragraph" w:customStyle="1" w:styleId="12">
    <w:name w:val="副标题1"/>
    <w:basedOn w:val="11"/>
    <w:next w:val="author"/>
    <w:qFormat/>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qFormat/>
    <w:pPr>
      <w:spacing w:before="120"/>
    </w:pPr>
    <w:rPr>
      <w:b/>
    </w:rPr>
  </w:style>
  <w:style w:type="paragraph" w:customStyle="1" w:styleId="Run-inHeading2">
    <w:name w:val="Run-in Heading 2"/>
    <w:basedOn w:val="p1a"/>
    <w:qFormat/>
    <w:pPr>
      <w:spacing w:before="120"/>
    </w:pPr>
    <w:rPr>
      <w:i/>
    </w:rPr>
  </w:style>
  <w:style w:type="paragraph" w:customStyle="1" w:styleId="affiliation">
    <w:name w:val="affiliation"/>
    <w:basedOn w:val="a"/>
    <w:next w:val="a"/>
    <w:qFormat/>
    <w:pPr>
      <w:suppressAutoHyphens/>
      <w:spacing w:before="120" w:line="200" w:lineRule="atLeast"/>
      <w:ind w:left="238" w:firstLine="0"/>
      <w:jc w:val="left"/>
    </w:pPr>
    <w:rPr>
      <w:sz w:val="17"/>
    </w:rPr>
  </w:style>
  <w:style w:type="paragraph" w:customStyle="1" w:styleId="abstract">
    <w:name w:val="abstract"/>
    <w:basedOn w:val="a"/>
    <w:next w:val="a"/>
    <w:qFormat/>
    <w:pPr>
      <w:spacing w:before="480" w:after="480"/>
      <w:ind w:firstLine="0"/>
    </w:pPr>
  </w:style>
  <w:style w:type="paragraph" w:customStyle="1" w:styleId="quotation">
    <w:name w:val="quotation"/>
    <w:basedOn w:val="affiliation"/>
    <w:next w:val="a"/>
    <w:qFormat/>
    <w:pPr>
      <w:spacing w:after="120"/>
      <w:ind w:right="238"/>
      <w:contextualSpacing/>
    </w:pPr>
  </w:style>
  <w:style w:type="paragraph" w:customStyle="1" w:styleId="acknowledgements">
    <w:name w:val="acknowledgements"/>
    <w:basedOn w:val="affiliation"/>
    <w:next w:val="a"/>
    <w:qFormat/>
    <w:pPr>
      <w:suppressAutoHyphens w:val="0"/>
      <w:spacing w:before="240"/>
      <w:ind w:left="0"/>
      <w:jc w:val="both"/>
    </w:pPr>
  </w:style>
  <w:style w:type="paragraph" w:customStyle="1" w:styleId="references">
    <w:name w:val="references"/>
    <w:basedOn w:val="petit"/>
    <w:qFormat/>
    <w:pPr>
      <w:spacing w:before="0" w:after="0"/>
      <w:ind w:left="238" w:hanging="238"/>
    </w:pPr>
  </w:style>
  <w:style w:type="paragraph" w:customStyle="1" w:styleId="figurecitation">
    <w:name w:val="figurecitation"/>
    <w:basedOn w:val="a"/>
    <w:qFormat/>
    <w:pPr>
      <w:pBdr>
        <w:top w:val="single" w:sz="8" w:space="1" w:color="auto"/>
        <w:left w:val="single" w:sz="8" w:space="4" w:color="auto"/>
        <w:bottom w:val="single" w:sz="8" w:space="1" w:color="auto"/>
        <w:right w:val="single" w:sz="8" w:space="4" w:color="auto"/>
      </w:pBdr>
    </w:pPr>
    <w:rPr>
      <w:rFonts w:ascii="Arial" w:hAnsi="Arial"/>
      <w:b/>
      <w:sz w:val="36"/>
    </w:rPr>
  </w:style>
  <w:style w:type="character" w:customStyle="1" w:styleId="a5">
    <w:name w:val="批注文字 字符"/>
    <w:basedOn w:val="a0"/>
    <w:link w:val="a4"/>
    <w:qFormat/>
    <w:rPr>
      <w:rFonts w:ascii="Times" w:hAnsi="Times"/>
      <w:lang w:eastAsia="de-DE"/>
    </w:rPr>
  </w:style>
  <w:style w:type="character" w:customStyle="1" w:styleId="ab">
    <w:name w:val="批注主题 字符"/>
    <w:basedOn w:val="a5"/>
    <w:link w:val="aa"/>
    <w:qFormat/>
    <w:rPr>
      <w:rFonts w:ascii="Times" w:hAnsi="Times"/>
      <w:b/>
      <w:bCs/>
      <w:lang w:eastAsia="de-DE"/>
    </w:rPr>
  </w:style>
  <w:style w:type="paragraph" w:customStyle="1" w:styleId="13">
    <w:name w:val="修订1"/>
    <w:hidden/>
    <w:uiPriority w:val="99"/>
    <w:unhideWhenUsed/>
    <w:qFormat/>
    <w:rPr>
      <w:rFonts w:ascii="Times" w:hAnsi="Times"/>
      <w:lang w:eastAsia="de-DE"/>
    </w:rPr>
  </w:style>
  <w:style w:type="character" w:styleId="af2">
    <w:name w:val="Placeholder Text"/>
    <w:basedOn w:val="a0"/>
    <w:uiPriority w:val="99"/>
    <w:unhideWhenUsed/>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styleId="af3">
    <w:name w:val="List Paragraph"/>
    <w:basedOn w:val="a"/>
    <w:uiPriority w:val="99"/>
    <w:unhideWhenUsed/>
    <w:qFormat/>
    <w:pPr>
      <w:ind w:firstLineChars="200" w:firstLine="420"/>
    </w:pPr>
  </w:style>
  <w:style w:type="paragraph" w:customStyle="1" w:styleId="21">
    <w:name w:val="修订2"/>
    <w:hidden/>
    <w:uiPriority w:val="99"/>
    <w:unhideWhenUsed/>
    <w:qFormat/>
    <w:rPr>
      <w:rFonts w:ascii="Times" w:hAnsi="Times"/>
      <w:lang w:eastAsia="de-DE"/>
    </w:rPr>
  </w:style>
  <w:style w:type="character" w:styleId="af4">
    <w:name w:val="Unresolved Mention"/>
    <w:basedOn w:val="a0"/>
    <w:uiPriority w:val="99"/>
    <w:semiHidden/>
    <w:unhideWhenUsed/>
    <w:rsid w:val="003A55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41E85-AD89-4960-8EC3-59E3BA8B9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10</Pages>
  <Words>3156</Words>
  <Characters>17992</Characters>
  <Application>Microsoft Office Word</Application>
  <DocSecurity>0</DocSecurity>
  <Lines>149</Lines>
  <Paragraphs>42</Paragraphs>
  <ScaleCrop>false</ScaleCrop>
  <Company>BertelsmannSpringer</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Protherough</dc:creator>
  <cp:lastModifiedBy>实力 胡</cp:lastModifiedBy>
  <cp:revision>2</cp:revision>
  <cp:lastPrinted>2026-03-30T06:04:00Z</cp:lastPrinted>
  <dcterms:created xsi:type="dcterms:W3CDTF">2026-03-30T06:05:00Z</dcterms:created>
  <dcterms:modified xsi:type="dcterms:W3CDTF">2026-05-27T15:56:00Z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eyJoZGlkIjoiZTc2ZmZmYjNlZjk2MjA2OWQyMWZjMWZhM2EwMjJiODUiLCJ1c2VySWQiOiIzOTkxOTI0MDMifQ==</vt:lpwstr>
  </property>
  <property fmtid="{D5CDD505-2E9C-101B-9397-08002B2CF9AE}" pid="3" name="KSOProductBuildVer">
    <vt:lpwstr>2052-12.1.0.26375</vt:lpwstr>
  </property>
  <property fmtid="{D5CDD505-2E9C-101B-9397-08002B2CF9AE}" pid="4" name="ICV">
    <vt:lpwstr>8272A7CB575C4D01B7265BD0A35F108D_13</vt:lpwstr>
  </property>
</Properties>
</file>