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GCNext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For clarity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The hypothesis is that as more data becomes available to the model, the predictions will become more and more accurate.</w:t>
      </w:r>
      <w:r w:rsidRPr="0035329E">
        <w:rPr>
          <w:lang w:val="en-GB"/>
        </w:rPr>
        <w:br/>
        <w:t>Additionally it is hypothesized that for more “static” actions (i.e. Sitting, SittingDown, Posing) the initial performance will be better compared to “dynamic” actions (i.e. Walking, WalkingTogether, WalkingDog,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SittingDown, Discussion, Waiting, Phoning, Greeting, Posing Walking, WalkingTogether, WalkingDog, Directions, TakingPhoto, Purchases. The predictions are then compared to the ground truth motion using the Mean Per Joint Positions Error (MPJPE), which is the average Euclidean distance between the predicted and ground truth joint positions. The MPJPE for each </w:t>
      </w:r>
      <w:r w:rsidR="00801F42" w:rsidRPr="0035329E">
        <w:rPr>
          <w:lang w:val="en-GB"/>
        </w:rPr>
        <w:lastRenderedPageBreak/>
        <w:t>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When the model is given fiver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3BB6891"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However for </w:t>
      </w:r>
      <w:r w:rsidR="00335517" w:rsidRPr="0035329E">
        <w:rPr>
          <w:lang w:val="en-GB"/>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It is also noted that the separation between static and dynamic movements are not fully black and white; since there are 256 samples of each type of movement, only a small subset have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is able to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frames, but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r w:rsidRPr="0035329E">
        <w:rPr>
          <w:lang w:val="en-GB"/>
        </w:rPr>
        <w:t>PhysMoP</w:t>
      </w:r>
    </w:p>
    <w:p w14:paraId="74EB03EC" w14:textId="4D0F7FC7" w:rsidR="00904481" w:rsidRPr="0035329E" w:rsidRDefault="00037127" w:rsidP="00037127">
      <w:pPr>
        <w:pStyle w:val="Heading2"/>
        <w:rPr>
          <w:lang w:val="en-GB"/>
        </w:rPr>
      </w:pPr>
      <w:r w:rsidRPr="0035329E">
        <w:rPr>
          <w:lang w:val="en-GB"/>
        </w:rPr>
        <w:t>Physics branch</w:t>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GCNext model, the MPJPE approaches 0 for the two shortest prediction horizons. Additionally, it is visible that the predictions for the upper body are significantly better than the predictions for the lower body. (NOTE: Hoezo is dit?)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 xml:space="preserve">This is directly related to the model’s architecture and the implementation of the classical mechanics principles. Rather than directly predicting the future movement of each joint, the model learns to estimate the parameters of the Euler-Lagrange equations </w:t>
      </w:r>
      <w:r w:rsidRPr="0035329E">
        <w:rPr>
          <w:lang w:val="en-GB"/>
        </w:rPr>
        <w:lastRenderedPageBreak/>
        <w:t>of motion</w:t>
      </w:r>
      <w:r w:rsidR="00BE59CD" w:rsidRPr="0035329E">
        <w:rPr>
          <w:lang w:val="en-GB"/>
        </w:rPr>
        <w:t>; specifically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Once these parameters are determined from the 3-frame window, the model uses Verlet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r w:rsidRPr="009F72B1">
        <w:rPr>
          <w:lang w:val="fr-FR"/>
        </w:rPr>
        <w:t>x(t+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C31D8ED" w:rsidR="00037127" w:rsidRPr="0035329E" w:rsidRDefault="00037127" w:rsidP="00037127">
      <w:pPr>
        <w:pStyle w:val="Heading2"/>
        <w:rPr>
          <w:lang w:val="en-GB"/>
        </w:rPr>
      </w:pPr>
      <w:r w:rsidRPr="0035329E">
        <w:rPr>
          <w:lang w:val="en-GB"/>
        </w:rPr>
        <w:t>Data Branch</w:t>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where the upper body is performing quite a bit worse compared to the upper body (where this is the other way around for the GCNext model)</w:t>
      </w:r>
    </w:p>
    <w:p w14:paraId="47E9008F" w14:textId="6F551509" w:rsidR="004818B0" w:rsidRDefault="004818B0" w:rsidP="00037127">
      <w:pPr>
        <w:rPr>
          <w:lang w:val="en-GB"/>
        </w:rPr>
      </w:pPr>
      <w:r>
        <w:rPr>
          <w:lang w:val="en-GB"/>
        </w:rPr>
        <w:t>What is consistent with the GCNext model, is the dramatic decrease in prediction error as the observation length increases. More specifically, there is a large decrease in performance as the number of observed frames reaches 10-15, but notable plateaus 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t xml:space="preserve">Additionally, comparing the data-driven and physics-based branches, it is visible that for longer prediction horizons, the data-driven model outperforms the physics-based </w:t>
      </w:r>
      <w:r>
        <w:rPr>
          <w:lang w:val="en-GB"/>
        </w:rPr>
        <w:lastRenderedPageBreak/>
        <w:t>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tbl>
      <w:tblPr>
        <w:tblStyle w:val="TableGrid"/>
        <w:tblW w:w="0" w:type="auto"/>
        <w:tblLook w:val="04A0" w:firstRow="1" w:lastRow="0" w:firstColumn="1" w:lastColumn="0" w:noHBand="0" w:noVBand="1"/>
      </w:tblPr>
      <w:tblGrid>
        <w:gridCol w:w="2830"/>
        <w:gridCol w:w="1053"/>
        <w:gridCol w:w="2055"/>
        <w:gridCol w:w="1562"/>
        <w:gridCol w:w="1562"/>
      </w:tblGrid>
      <w:tr w:rsidR="00D54C49" w14:paraId="39449228" w14:textId="758D6DBC" w:rsidTr="00D22444">
        <w:tc>
          <w:tcPr>
            <w:tcW w:w="2830" w:type="dxa"/>
            <w:vMerge w:val="restart"/>
            <w:vAlign w:val="center"/>
          </w:tcPr>
          <w:p w14:paraId="65CE5E4E" w14:textId="38C4E5B9" w:rsidR="00D54C49" w:rsidRDefault="00D54C49" w:rsidP="00D54C49">
            <w:pPr>
              <w:jc w:val="center"/>
              <w:rPr>
                <w:lang w:val="en-GB"/>
              </w:rPr>
            </w:pPr>
            <w:r>
              <w:rPr>
                <w:lang w:val="en-GB"/>
              </w:rPr>
              <w:t>Metric</w:t>
            </w:r>
          </w:p>
        </w:tc>
        <w:tc>
          <w:tcPr>
            <w:tcW w:w="1053" w:type="dxa"/>
            <w:vMerge w:val="restart"/>
            <w:vAlign w:val="center"/>
          </w:tcPr>
          <w:p w14:paraId="3904C575" w14:textId="22927BE4" w:rsidR="00D54C49" w:rsidRDefault="00D54C49" w:rsidP="00D54C49">
            <w:pPr>
              <w:jc w:val="center"/>
              <w:rPr>
                <w:lang w:val="en-GB"/>
              </w:rPr>
            </w:pPr>
            <w:r>
              <w:rPr>
                <w:lang w:val="en-GB"/>
              </w:rPr>
              <w:t>GCNext</w:t>
            </w:r>
          </w:p>
        </w:tc>
        <w:tc>
          <w:tcPr>
            <w:tcW w:w="5179" w:type="dxa"/>
            <w:gridSpan w:val="3"/>
          </w:tcPr>
          <w:p w14:paraId="4DB7CC04" w14:textId="1FF22427" w:rsidR="00D54C49" w:rsidRDefault="00D54C49" w:rsidP="009F72B1">
            <w:pPr>
              <w:jc w:val="center"/>
              <w:rPr>
                <w:lang w:val="en-GB"/>
              </w:rPr>
            </w:pPr>
            <w:r>
              <w:rPr>
                <w:lang w:val="en-GB"/>
              </w:rPr>
              <w:t>PhysMoP</w:t>
            </w:r>
          </w:p>
        </w:tc>
      </w:tr>
      <w:tr w:rsidR="00D54C49" w14:paraId="0373A7B0" w14:textId="1F1AA613" w:rsidTr="00D22444">
        <w:tc>
          <w:tcPr>
            <w:tcW w:w="2830" w:type="dxa"/>
            <w:vMerge/>
          </w:tcPr>
          <w:p w14:paraId="2AAE432F" w14:textId="77777777" w:rsidR="00D54C49" w:rsidRDefault="00D54C49" w:rsidP="009F72B1">
            <w:pPr>
              <w:jc w:val="center"/>
              <w:rPr>
                <w:lang w:val="en-GB"/>
              </w:rPr>
            </w:pPr>
          </w:p>
        </w:tc>
        <w:tc>
          <w:tcPr>
            <w:tcW w:w="1053" w:type="dxa"/>
            <w:vMerge/>
          </w:tcPr>
          <w:p w14:paraId="7A542E33" w14:textId="77777777" w:rsidR="00D54C49" w:rsidRDefault="00D54C49" w:rsidP="009F72B1">
            <w:pPr>
              <w:jc w:val="center"/>
              <w:rPr>
                <w:lang w:val="en-GB"/>
              </w:rPr>
            </w:pPr>
          </w:p>
        </w:tc>
        <w:tc>
          <w:tcPr>
            <w:tcW w:w="2055" w:type="dxa"/>
          </w:tcPr>
          <w:p w14:paraId="0A7D495A" w14:textId="32187D34" w:rsidR="00D54C49" w:rsidRDefault="00D54C49" w:rsidP="009F72B1">
            <w:pPr>
              <w:jc w:val="center"/>
              <w:rPr>
                <w:lang w:val="en-GB"/>
              </w:rPr>
            </w:pPr>
            <w:r>
              <w:rPr>
                <w:lang w:val="en-GB"/>
              </w:rPr>
              <w:t>Data</w:t>
            </w:r>
          </w:p>
        </w:tc>
        <w:tc>
          <w:tcPr>
            <w:tcW w:w="1562" w:type="dxa"/>
          </w:tcPr>
          <w:p w14:paraId="7320B120" w14:textId="67320DF9" w:rsidR="00D54C49" w:rsidRDefault="00D54C49" w:rsidP="009F72B1">
            <w:pPr>
              <w:jc w:val="center"/>
              <w:rPr>
                <w:lang w:val="en-GB"/>
              </w:rPr>
            </w:pPr>
            <w:r>
              <w:rPr>
                <w:lang w:val="en-GB"/>
              </w:rPr>
              <w:t>Physics</w:t>
            </w:r>
          </w:p>
        </w:tc>
        <w:tc>
          <w:tcPr>
            <w:tcW w:w="1562" w:type="dxa"/>
          </w:tcPr>
          <w:p w14:paraId="5C61DA9A" w14:textId="04AF1079" w:rsidR="00D54C49" w:rsidRDefault="00D54C49" w:rsidP="009F72B1">
            <w:pPr>
              <w:jc w:val="center"/>
              <w:rPr>
                <w:lang w:val="en-GB"/>
              </w:rPr>
            </w:pPr>
            <w:r>
              <w:rPr>
                <w:lang w:val="en-GB"/>
              </w:rPr>
              <w:t>Fusion</w:t>
            </w:r>
          </w:p>
        </w:tc>
      </w:tr>
      <w:tr w:rsidR="009F72B1" w14:paraId="7AD2F881" w14:textId="310C2C86" w:rsidTr="00D22444">
        <w:tc>
          <w:tcPr>
            <w:tcW w:w="2830" w:type="dxa"/>
          </w:tcPr>
          <w:p w14:paraId="16A7CE11" w14:textId="6E866819" w:rsidR="009F72B1" w:rsidRDefault="00D22444" w:rsidP="009F72B1">
            <w:pPr>
              <w:jc w:val="center"/>
              <w:rPr>
                <w:lang w:val="en-GB"/>
              </w:rPr>
            </w:pPr>
            <w:r>
              <w:rPr>
                <w:lang w:val="en-GB"/>
              </w:rPr>
              <w:t>Prediction time [</w:t>
            </w:r>
            <w:r w:rsidR="0007063F">
              <w:rPr>
                <w:lang w:val="en-GB"/>
              </w:rPr>
              <w:t>m</w:t>
            </w:r>
            <w:r>
              <w:rPr>
                <w:lang w:val="en-GB"/>
              </w:rPr>
              <w:t>s]</w:t>
            </w:r>
          </w:p>
        </w:tc>
        <w:tc>
          <w:tcPr>
            <w:tcW w:w="1053" w:type="dxa"/>
          </w:tcPr>
          <w:p w14:paraId="3E992B3B" w14:textId="1BB67731" w:rsidR="009F72B1" w:rsidRDefault="0007063F" w:rsidP="009F72B1">
            <w:pPr>
              <w:jc w:val="center"/>
              <w:rPr>
                <w:lang w:val="en-GB"/>
              </w:rPr>
            </w:pPr>
            <w:r>
              <w:rPr>
                <w:lang w:val="en-GB"/>
              </w:rPr>
              <w:t>120</w:t>
            </w:r>
          </w:p>
        </w:tc>
        <w:tc>
          <w:tcPr>
            <w:tcW w:w="2055" w:type="dxa"/>
          </w:tcPr>
          <w:p w14:paraId="151C5419" w14:textId="4003BBE0" w:rsidR="009F72B1" w:rsidRDefault="00012D38" w:rsidP="009F72B1">
            <w:pPr>
              <w:jc w:val="center"/>
              <w:rPr>
                <w:lang w:val="en-GB"/>
              </w:rPr>
            </w:pPr>
            <w:r>
              <w:rPr>
                <w:lang w:val="en-GB"/>
              </w:rPr>
              <w:t>7.27</w:t>
            </w:r>
          </w:p>
        </w:tc>
        <w:tc>
          <w:tcPr>
            <w:tcW w:w="1562" w:type="dxa"/>
          </w:tcPr>
          <w:p w14:paraId="27F872FA" w14:textId="782BCAE9" w:rsidR="009F72B1" w:rsidRDefault="00012D38" w:rsidP="009F72B1">
            <w:pPr>
              <w:jc w:val="center"/>
              <w:rPr>
                <w:lang w:val="en-GB"/>
              </w:rPr>
            </w:pPr>
            <w:r w:rsidRPr="00012D38">
              <w:rPr>
                <w:lang w:val="en-GB"/>
              </w:rPr>
              <w:t>76.5</w:t>
            </w:r>
          </w:p>
        </w:tc>
        <w:tc>
          <w:tcPr>
            <w:tcW w:w="1562" w:type="dxa"/>
          </w:tcPr>
          <w:p w14:paraId="3B14DDB5" w14:textId="42877510" w:rsidR="009F72B1" w:rsidRDefault="002A44A6" w:rsidP="009F72B1">
            <w:pPr>
              <w:jc w:val="center"/>
              <w:rPr>
                <w:lang w:val="en-GB"/>
              </w:rPr>
            </w:pPr>
            <w:r w:rsidRPr="002A44A6">
              <w:rPr>
                <w:lang w:val="en-GB"/>
              </w:rPr>
              <w:t>151</w:t>
            </w:r>
          </w:p>
        </w:tc>
      </w:tr>
      <w:tr w:rsidR="009F72B1" w14:paraId="7579022F" w14:textId="2A8A381B" w:rsidTr="00D22444">
        <w:tc>
          <w:tcPr>
            <w:tcW w:w="2830" w:type="dxa"/>
          </w:tcPr>
          <w:p w14:paraId="0A945A43" w14:textId="77777777" w:rsidR="009F72B1" w:rsidRDefault="009F72B1" w:rsidP="009F72B1">
            <w:pPr>
              <w:jc w:val="center"/>
              <w:rPr>
                <w:lang w:val="en-GB"/>
              </w:rPr>
            </w:pPr>
          </w:p>
        </w:tc>
        <w:tc>
          <w:tcPr>
            <w:tcW w:w="1053" w:type="dxa"/>
          </w:tcPr>
          <w:p w14:paraId="7857774E" w14:textId="77777777" w:rsidR="009F72B1" w:rsidRDefault="009F72B1" w:rsidP="009F72B1">
            <w:pPr>
              <w:jc w:val="center"/>
              <w:rPr>
                <w:lang w:val="en-GB"/>
              </w:rPr>
            </w:pPr>
          </w:p>
        </w:tc>
        <w:tc>
          <w:tcPr>
            <w:tcW w:w="2055" w:type="dxa"/>
          </w:tcPr>
          <w:p w14:paraId="4E88E9AA" w14:textId="77777777" w:rsidR="009F72B1" w:rsidRDefault="009F72B1" w:rsidP="009F72B1">
            <w:pPr>
              <w:jc w:val="center"/>
              <w:rPr>
                <w:lang w:val="en-GB"/>
              </w:rPr>
            </w:pPr>
          </w:p>
        </w:tc>
        <w:tc>
          <w:tcPr>
            <w:tcW w:w="1562" w:type="dxa"/>
          </w:tcPr>
          <w:p w14:paraId="4C3608DB" w14:textId="77777777" w:rsidR="009F72B1" w:rsidRDefault="009F72B1" w:rsidP="009F72B1">
            <w:pPr>
              <w:jc w:val="center"/>
              <w:rPr>
                <w:lang w:val="en-GB"/>
              </w:rPr>
            </w:pPr>
          </w:p>
        </w:tc>
        <w:tc>
          <w:tcPr>
            <w:tcW w:w="1562" w:type="dxa"/>
          </w:tcPr>
          <w:p w14:paraId="13972500" w14:textId="77777777" w:rsidR="009F72B1" w:rsidRDefault="009F72B1" w:rsidP="009F72B1">
            <w:pPr>
              <w:jc w:val="center"/>
              <w:rPr>
                <w:lang w:val="en-GB"/>
              </w:rPr>
            </w:pPr>
          </w:p>
        </w:tc>
      </w:tr>
      <w:tr w:rsidR="009F72B1" w14:paraId="18B555C6" w14:textId="28732587" w:rsidTr="00D22444">
        <w:tc>
          <w:tcPr>
            <w:tcW w:w="2830" w:type="dxa"/>
          </w:tcPr>
          <w:p w14:paraId="3E55C6B3" w14:textId="77777777" w:rsidR="009F72B1" w:rsidRDefault="009F72B1" w:rsidP="009F72B1">
            <w:pPr>
              <w:jc w:val="center"/>
              <w:rPr>
                <w:lang w:val="en-GB"/>
              </w:rPr>
            </w:pPr>
          </w:p>
        </w:tc>
        <w:tc>
          <w:tcPr>
            <w:tcW w:w="1053" w:type="dxa"/>
          </w:tcPr>
          <w:p w14:paraId="7BB4A427" w14:textId="77777777" w:rsidR="009F72B1" w:rsidRDefault="009F72B1" w:rsidP="009F72B1">
            <w:pPr>
              <w:jc w:val="center"/>
              <w:rPr>
                <w:lang w:val="en-GB"/>
              </w:rPr>
            </w:pPr>
          </w:p>
        </w:tc>
        <w:tc>
          <w:tcPr>
            <w:tcW w:w="2055" w:type="dxa"/>
          </w:tcPr>
          <w:p w14:paraId="5C0A7848" w14:textId="77777777" w:rsidR="009F72B1" w:rsidRDefault="009F72B1" w:rsidP="009F72B1">
            <w:pPr>
              <w:jc w:val="center"/>
              <w:rPr>
                <w:lang w:val="en-GB"/>
              </w:rPr>
            </w:pPr>
          </w:p>
        </w:tc>
        <w:tc>
          <w:tcPr>
            <w:tcW w:w="1562" w:type="dxa"/>
          </w:tcPr>
          <w:p w14:paraId="7666564C" w14:textId="77777777" w:rsidR="009F72B1" w:rsidRDefault="009F72B1" w:rsidP="009F72B1">
            <w:pPr>
              <w:jc w:val="center"/>
              <w:rPr>
                <w:lang w:val="en-GB"/>
              </w:rPr>
            </w:pPr>
          </w:p>
        </w:tc>
        <w:tc>
          <w:tcPr>
            <w:tcW w:w="1562" w:type="dxa"/>
          </w:tcPr>
          <w:p w14:paraId="64736C2E" w14:textId="77777777" w:rsidR="009F72B1" w:rsidRDefault="009F72B1" w:rsidP="009F72B1">
            <w:pPr>
              <w:jc w:val="center"/>
              <w:rPr>
                <w:lang w:val="en-GB"/>
              </w:rPr>
            </w:pPr>
          </w:p>
        </w:tc>
      </w:tr>
      <w:tr w:rsidR="009F72B1" w14:paraId="06F229C4" w14:textId="3B0A0D22" w:rsidTr="00D22444">
        <w:tc>
          <w:tcPr>
            <w:tcW w:w="2830" w:type="dxa"/>
          </w:tcPr>
          <w:p w14:paraId="7FA84AD1" w14:textId="77777777" w:rsidR="009F72B1" w:rsidRDefault="009F72B1" w:rsidP="009F72B1">
            <w:pPr>
              <w:jc w:val="center"/>
              <w:rPr>
                <w:lang w:val="en-GB"/>
              </w:rPr>
            </w:pPr>
          </w:p>
        </w:tc>
        <w:tc>
          <w:tcPr>
            <w:tcW w:w="1053" w:type="dxa"/>
          </w:tcPr>
          <w:p w14:paraId="764B3579" w14:textId="77777777" w:rsidR="009F72B1" w:rsidRDefault="009F72B1" w:rsidP="009F72B1">
            <w:pPr>
              <w:jc w:val="center"/>
              <w:rPr>
                <w:lang w:val="en-GB"/>
              </w:rPr>
            </w:pPr>
          </w:p>
        </w:tc>
        <w:tc>
          <w:tcPr>
            <w:tcW w:w="2055" w:type="dxa"/>
          </w:tcPr>
          <w:p w14:paraId="3E4F6568" w14:textId="77777777" w:rsidR="009F72B1" w:rsidRDefault="009F72B1" w:rsidP="009F72B1">
            <w:pPr>
              <w:jc w:val="center"/>
              <w:rPr>
                <w:lang w:val="en-GB"/>
              </w:rPr>
            </w:pPr>
          </w:p>
        </w:tc>
        <w:tc>
          <w:tcPr>
            <w:tcW w:w="1562" w:type="dxa"/>
          </w:tcPr>
          <w:p w14:paraId="3E3889D4" w14:textId="77777777" w:rsidR="009F72B1" w:rsidRDefault="009F72B1" w:rsidP="009F72B1">
            <w:pPr>
              <w:jc w:val="center"/>
              <w:rPr>
                <w:lang w:val="en-GB"/>
              </w:rPr>
            </w:pPr>
          </w:p>
        </w:tc>
        <w:tc>
          <w:tcPr>
            <w:tcW w:w="1562" w:type="dxa"/>
          </w:tcPr>
          <w:p w14:paraId="0BA6A4D3" w14:textId="77777777" w:rsidR="009F72B1" w:rsidRDefault="009F72B1" w:rsidP="009F72B1">
            <w:pPr>
              <w:jc w:val="center"/>
              <w:rPr>
                <w:lang w:val="en-GB"/>
              </w:rPr>
            </w:pPr>
          </w:p>
        </w:tc>
      </w:tr>
      <w:tr w:rsidR="009F72B1" w14:paraId="2B278C87" w14:textId="130DF378" w:rsidTr="00D22444">
        <w:tc>
          <w:tcPr>
            <w:tcW w:w="2830" w:type="dxa"/>
          </w:tcPr>
          <w:p w14:paraId="1338F5A9" w14:textId="77777777" w:rsidR="009F72B1" w:rsidRDefault="009F72B1" w:rsidP="009F72B1">
            <w:pPr>
              <w:jc w:val="center"/>
              <w:rPr>
                <w:lang w:val="en-GB"/>
              </w:rPr>
            </w:pPr>
          </w:p>
        </w:tc>
        <w:tc>
          <w:tcPr>
            <w:tcW w:w="1053" w:type="dxa"/>
          </w:tcPr>
          <w:p w14:paraId="0B350361" w14:textId="77777777" w:rsidR="009F72B1" w:rsidRDefault="009F72B1" w:rsidP="009F72B1">
            <w:pPr>
              <w:jc w:val="center"/>
              <w:rPr>
                <w:lang w:val="en-GB"/>
              </w:rPr>
            </w:pPr>
          </w:p>
        </w:tc>
        <w:tc>
          <w:tcPr>
            <w:tcW w:w="2055" w:type="dxa"/>
          </w:tcPr>
          <w:p w14:paraId="0BCF4F72" w14:textId="77777777" w:rsidR="009F72B1" w:rsidRDefault="009F72B1" w:rsidP="009F72B1">
            <w:pPr>
              <w:jc w:val="center"/>
              <w:rPr>
                <w:lang w:val="en-GB"/>
              </w:rPr>
            </w:pPr>
          </w:p>
        </w:tc>
        <w:tc>
          <w:tcPr>
            <w:tcW w:w="1562" w:type="dxa"/>
          </w:tcPr>
          <w:p w14:paraId="68B8B638" w14:textId="77777777" w:rsidR="009F72B1" w:rsidRDefault="009F72B1" w:rsidP="009F72B1">
            <w:pPr>
              <w:jc w:val="center"/>
              <w:rPr>
                <w:lang w:val="en-GB"/>
              </w:rPr>
            </w:pPr>
          </w:p>
        </w:tc>
        <w:tc>
          <w:tcPr>
            <w:tcW w:w="1562" w:type="dxa"/>
          </w:tcPr>
          <w:p w14:paraId="1941FAA5" w14:textId="77777777" w:rsidR="009F72B1" w:rsidRDefault="009F72B1" w:rsidP="009F72B1">
            <w:pPr>
              <w:jc w:val="center"/>
              <w:rPr>
                <w:lang w:val="en-GB"/>
              </w:rPr>
            </w:pPr>
          </w:p>
        </w:tc>
      </w:tr>
    </w:tbl>
    <w:p w14:paraId="51E707A2" w14:textId="77777777" w:rsidR="009F72B1" w:rsidRPr="009F72B1" w:rsidRDefault="009F72B1" w:rsidP="009F72B1">
      <w:pPr>
        <w:rPr>
          <w:lang w:val="en-GB"/>
        </w:rPr>
      </w:pPr>
    </w:p>
    <w:sectPr w:rsidR="009F72B1" w:rsidRPr="009F72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12D38"/>
    <w:rsid w:val="00037127"/>
    <w:rsid w:val="0007063F"/>
    <w:rsid w:val="000A5C8A"/>
    <w:rsid w:val="000D0BE8"/>
    <w:rsid w:val="000D1D8B"/>
    <w:rsid w:val="000E2CCA"/>
    <w:rsid w:val="000E4920"/>
    <w:rsid w:val="00110ACE"/>
    <w:rsid w:val="00195F92"/>
    <w:rsid w:val="001A2424"/>
    <w:rsid w:val="001B28B0"/>
    <w:rsid w:val="001C6818"/>
    <w:rsid w:val="00245A88"/>
    <w:rsid w:val="002970CB"/>
    <w:rsid w:val="002A44A6"/>
    <w:rsid w:val="002F09FB"/>
    <w:rsid w:val="00304BA1"/>
    <w:rsid w:val="00335517"/>
    <w:rsid w:val="0035329E"/>
    <w:rsid w:val="0039725B"/>
    <w:rsid w:val="00406925"/>
    <w:rsid w:val="00410E91"/>
    <w:rsid w:val="00464633"/>
    <w:rsid w:val="004818B0"/>
    <w:rsid w:val="004F11EE"/>
    <w:rsid w:val="00517673"/>
    <w:rsid w:val="005371DD"/>
    <w:rsid w:val="005D4D92"/>
    <w:rsid w:val="005F579D"/>
    <w:rsid w:val="00643D2B"/>
    <w:rsid w:val="00727E9E"/>
    <w:rsid w:val="00780121"/>
    <w:rsid w:val="007C79FB"/>
    <w:rsid w:val="00801F42"/>
    <w:rsid w:val="0081391B"/>
    <w:rsid w:val="0088512B"/>
    <w:rsid w:val="0089368E"/>
    <w:rsid w:val="00904481"/>
    <w:rsid w:val="00947086"/>
    <w:rsid w:val="00974666"/>
    <w:rsid w:val="009A08C6"/>
    <w:rsid w:val="009D12F4"/>
    <w:rsid w:val="009D78F2"/>
    <w:rsid w:val="009F72B1"/>
    <w:rsid w:val="00A04F80"/>
    <w:rsid w:val="00B00B47"/>
    <w:rsid w:val="00B519F7"/>
    <w:rsid w:val="00BE59CD"/>
    <w:rsid w:val="00C00C16"/>
    <w:rsid w:val="00C0390A"/>
    <w:rsid w:val="00C32CC6"/>
    <w:rsid w:val="00C36350"/>
    <w:rsid w:val="00C52C29"/>
    <w:rsid w:val="00C75164"/>
    <w:rsid w:val="00CB3181"/>
    <w:rsid w:val="00D01E2F"/>
    <w:rsid w:val="00D0648C"/>
    <w:rsid w:val="00D22444"/>
    <w:rsid w:val="00D51578"/>
    <w:rsid w:val="00D54C49"/>
    <w:rsid w:val="00D9373A"/>
    <w:rsid w:val="00DC4F19"/>
    <w:rsid w:val="00DF3B67"/>
    <w:rsid w:val="00E30FAC"/>
    <w:rsid w:val="00E4774F"/>
    <w:rsid w:val="00EE04AE"/>
    <w:rsid w:val="00EE196A"/>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FC12D1B7-0248-4093-A899-E32F9C13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1447</Words>
  <Characters>7959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2</cp:revision>
  <dcterms:created xsi:type="dcterms:W3CDTF">2025-06-11T07:28:00Z</dcterms:created>
  <dcterms:modified xsi:type="dcterms:W3CDTF">2025-07-21T14:39:00Z</dcterms:modified>
</cp:coreProperties>
</file>