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517673" w:rsidRDefault="001B28B0" w:rsidP="00904481">
      <w:pPr>
        <w:pStyle w:val="Heading1"/>
        <w:rPr>
          <w:lang w:val="en-GB"/>
        </w:rPr>
      </w:pPr>
      <w:r w:rsidRPr="00517673">
        <w:rPr>
          <w:lang w:val="en-GB"/>
        </w:rPr>
        <w:t>Setup</w:t>
      </w:r>
    </w:p>
    <w:p w14:paraId="4DDDC173" w14:textId="555ED67E" w:rsidR="001B28B0" w:rsidRDefault="001B28B0" w:rsidP="001B28B0">
      <w:pPr>
        <w:rPr>
          <w:lang w:val="en-US"/>
        </w:rPr>
      </w:pPr>
      <w:r w:rsidRPr="001B28B0">
        <w:rPr>
          <w:lang w:val="en-US"/>
        </w:rPr>
        <w:t>The e</w:t>
      </w:r>
      <w:r>
        <w:rPr>
          <w:lang w:val="en-US"/>
        </w:rPr>
        <w:t xml:space="preserve">xperiment implements the GCNext model as described in </w:t>
      </w:r>
      <w:sdt>
        <w:sdtPr>
          <w:rPr>
            <w:lang w:val="en-US"/>
          </w:rPr>
          <w:id w:val="-1037734573"/>
          <w:citation/>
        </w:sdtPr>
        <w:sdtContent>
          <w:r>
            <w:rPr>
              <w:lang w:val="en-US"/>
            </w:rPr>
            <w:fldChar w:fldCharType="begin"/>
          </w:r>
          <w:r>
            <w:rPr>
              <w:lang w:val="en-US"/>
            </w:rPr>
            <w:instrText xml:space="preserve"> CITATION Xin \l 1033 </w:instrText>
          </w:r>
          <w:r>
            <w:rPr>
              <w:lang w:val="en-US"/>
            </w:rPr>
            <w:fldChar w:fldCharType="separate"/>
          </w:r>
          <w:r>
            <w:rPr>
              <w:noProof/>
              <w:lang w:val="en-US"/>
            </w:rPr>
            <w:t>(Wang, Cui, Chen, &amp; Liu, 2024)</w:t>
          </w:r>
          <w:r>
            <w:rPr>
              <w:lang w:val="en-US"/>
            </w:rPr>
            <w:fldChar w:fldCharType="end"/>
          </w:r>
        </w:sdtContent>
      </w:sdt>
      <w:r w:rsidR="00C00C16">
        <w:rPr>
          <w:lang w:val="en-US"/>
        </w:rPr>
        <w:t xml:space="preserve">. The model has been locally retrained as closely as possible to authors. While the performance slightly deviates from the reported performance by the authors, this model has been used as a proof of concept for the implementation </w:t>
      </w:r>
      <w:r w:rsidR="00643D2B">
        <w:rPr>
          <w:lang w:val="en-US"/>
        </w:rPr>
        <w:t>of a framework that allows new frames to be added to the model step wise.</w:t>
      </w:r>
    </w:p>
    <w:p w14:paraId="194AE96E" w14:textId="34876875" w:rsidR="009A08C6" w:rsidRDefault="00C32CC6" w:rsidP="001B28B0">
      <w:pPr>
        <w:rPr>
          <w:lang w:val="en-US"/>
        </w:rPr>
      </w:pPr>
      <w:r>
        <w:rPr>
          <w:lang w:val="en-US"/>
        </w:rPr>
        <w:t xml:space="preserve">Note that the model expects a consistent number of frames to predict 25 frames into the future. This model expects 50 frames of past data. </w:t>
      </w:r>
      <w:r w:rsidR="00C52C29">
        <w:rPr>
          <w:lang w:val="en-US"/>
        </w:rPr>
        <w:t xml:space="preserve">A visual example of this is shown here, where the red-blue skeletons are the predicted </w:t>
      </w:r>
      <w:r w:rsidR="00780121">
        <w:rPr>
          <w:lang w:val="en-US"/>
        </w:rPr>
        <w:t>motion</w:t>
      </w:r>
      <w:r w:rsidR="00C52C29">
        <w:rPr>
          <w:lang w:val="en-US"/>
        </w:rPr>
        <w:t xml:space="preserve"> and the green-brown skeletons are the input </w:t>
      </w:r>
      <w:r w:rsidR="00780121">
        <w:rPr>
          <w:lang w:val="en-US"/>
        </w:rPr>
        <w:t>motion</w:t>
      </w:r>
      <w:r w:rsidR="00C52C29">
        <w:rPr>
          <w:lang w:val="en-US"/>
        </w:rPr>
        <w:t xml:space="preserve"> used by the model to create predictions.</w:t>
      </w:r>
    </w:p>
    <w:p w14:paraId="0E74FBD1" w14:textId="14FBC1EA" w:rsidR="00C52C29" w:rsidRDefault="00C52C29" w:rsidP="001B28B0">
      <w:pPr>
        <w:rPr>
          <w:lang w:val="en-US"/>
        </w:rPr>
      </w:pPr>
      <w:r>
        <w:rPr>
          <w:noProof/>
          <w:lang w:val="en-US"/>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Default="00780121" w:rsidP="001B28B0">
      <w:pPr>
        <w:rPr>
          <w:lang w:val="en-US"/>
        </w:rPr>
      </w:pPr>
      <w:r>
        <w:rPr>
          <w:lang w:val="en-US"/>
        </w:rPr>
        <w:t>For clarity sake, call this complete motion sequence the full motion</w:t>
      </w:r>
      <w:r w:rsidR="00727E9E">
        <w:rPr>
          <w:lang w:val="en-US"/>
        </w:rPr>
        <w:t>.</w:t>
      </w:r>
    </w:p>
    <w:p w14:paraId="08C6E439" w14:textId="3ACCA4E1" w:rsidR="00C32CC6" w:rsidRDefault="00C32CC6" w:rsidP="001B28B0">
      <w:pPr>
        <w:rPr>
          <w:lang w:val="en-US"/>
        </w:rPr>
      </w:pPr>
      <w:r>
        <w:rPr>
          <w:lang w:val="en-US"/>
        </w:rPr>
        <w:t xml:space="preserve">For real-time applications, </w:t>
      </w:r>
      <w:r w:rsidR="00C52C29">
        <w:rPr>
          <w:lang w:val="en-US"/>
        </w:rPr>
        <w:t>the number of input frames</w:t>
      </w:r>
      <w:r>
        <w:rPr>
          <w:lang w:val="en-US"/>
        </w:rPr>
        <w:t xml:space="preserve"> will not be</w:t>
      </w:r>
      <w:r w:rsidR="00C52C29">
        <w:rPr>
          <w:lang w:val="en-US"/>
        </w:rPr>
        <w:t xml:space="preserve"> consistent</w:t>
      </w:r>
      <w:r>
        <w:rPr>
          <w:lang w:val="en-US"/>
        </w:rPr>
        <w:t xml:space="preserve"> for the first few</w:t>
      </w:r>
      <w:r w:rsidR="00C52C29">
        <w:rPr>
          <w:lang w:val="en-US"/>
        </w:rPr>
        <w:t xml:space="preserve"> timesteps, thus needing some kind of mechanism to ensure a constant number of frames is fed to the model.</w:t>
      </w:r>
      <w:r w:rsidR="009A08C6">
        <w:rPr>
          <w:lang w:val="en-US"/>
        </w:rPr>
        <w:t xml:space="preserve"> For this a padding mechanism is added, which repeats the first frame of observed motion.</w:t>
      </w:r>
    </w:p>
    <w:p w14:paraId="22FFDACE" w14:textId="3FE023EA" w:rsidR="009A08C6" w:rsidRDefault="009A08C6" w:rsidP="001B28B0">
      <w:pPr>
        <w:rPr>
          <w:lang w:val="en-US"/>
        </w:rPr>
      </w:pPr>
      <w:r>
        <w:rPr>
          <w:noProof/>
          <w:lang w:val="en-US"/>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517673" w:rsidRDefault="00410E91" w:rsidP="00410E91">
      <w:pPr>
        <w:rPr>
          <w:lang w:val="en-GB"/>
        </w:rPr>
      </w:pPr>
      <w:r>
        <w:rPr>
          <w:lang w:val="en-US"/>
        </w:rPr>
        <w:t>The hypothesis is that as more data becomes available to the model, the predictions will become more and more accurate.</w:t>
      </w:r>
      <w:r>
        <w:rPr>
          <w:lang w:val="en-US"/>
        </w:rPr>
        <w:br/>
        <w:t xml:space="preserve">Additionally it is hypothesized that for more “static” actions (i.e. </w:t>
      </w:r>
      <w:r w:rsidRPr="00410E91">
        <w:rPr>
          <w:lang w:val="en-US"/>
        </w:rPr>
        <w:t>Sitting</w:t>
      </w:r>
      <w:r>
        <w:rPr>
          <w:lang w:val="en-US"/>
        </w:rPr>
        <w:t>, SittingDown, Posing) the initial performance will be better compared to “dynamic” actions (i.e. Walking, WalkingTogether, WalkingDog, Greeting). However, as more time steps are fed to the model, it is hypothesized that the accuracy of the predictions for the dynamic actions will relatively increase more.</w:t>
      </w:r>
    </w:p>
    <w:p w14:paraId="58FDA925" w14:textId="588D81FE" w:rsidR="00801F42" w:rsidRDefault="00410E91" w:rsidP="00410E91">
      <w:pPr>
        <w:rPr>
          <w:lang w:val="en-US"/>
        </w:rPr>
      </w:pPr>
      <w:r>
        <w:rPr>
          <w:lang w:val="en-US"/>
        </w:rPr>
        <w:t xml:space="preserve">To test these hypotheses, the model has been fed samples of data. </w:t>
      </w:r>
      <w:r w:rsidR="00801F42">
        <w:rPr>
          <w:lang w:val="en-US"/>
        </w:rPr>
        <w:t xml:space="preserve">This can be done in two separate ways: </w:t>
      </w:r>
      <w:r w:rsidR="00801F42" w:rsidRPr="00D9373A">
        <w:rPr>
          <w:i/>
          <w:iCs/>
          <w:lang w:val="en-US"/>
        </w:rPr>
        <w:t>back-to-front &amp; front-to-back</w:t>
      </w:r>
      <w:r w:rsidR="00801F42">
        <w:rPr>
          <w:lang w:val="en-US"/>
        </w:rPr>
        <w:t xml:space="preserve">. This is repeated for all samples of data in the evaluation set for each type of action. More specifically, this evaluation set contains 256 samples of the actions for </w:t>
      </w:r>
      <w:r w:rsidR="00801F42" w:rsidRPr="001C6818">
        <w:rPr>
          <w:lang w:val="en-US"/>
        </w:rPr>
        <w:t>Eating, Sitting, SittingDown, Discussion, Waiting, Phoning, Greeting, Posing Walking, WalkingTogether, WalkingDog, Directions, TakingPhoto, Purchases</w:t>
      </w:r>
      <w:r w:rsidR="00801F42">
        <w:rPr>
          <w:lang w:val="en-US"/>
        </w:rPr>
        <w:t xml:space="preserve">. The predictions are then compared to the ground truth motion using the Mean Per Joint Positions Error (MPJPE), which is the average Euclidean distance between the predicted and ground truth joint positions. The MPJPE for each </w:t>
      </w:r>
      <w:r w:rsidR="00801F42">
        <w:rPr>
          <w:lang w:val="en-US"/>
        </w:rPr>
        <w:lastRenderedPageBreak/>
        <w:t>sample in a set of actions is then averaged, to get an average performance index</w:t>
      </w:r>
      <w:r w:rsidR="00D9373A">
        <w:rPr>
          <w:lang w:val="en-US"/>
        </w:rPr>
        <w:t xml:space="preserve"> for an action at 4 different prediction horizons</w:t>
      </w:r>
      <w:r w:rsidR="00801F42">
        <w:rPr>
          <w:lang w:val="en-US"/>
        </w:rPr>
        <w:t>.</w:t>
      </w:r>
    </w:p>
    <w:p w14:paraId="5F6571B3" w14:textId="2B8BBC60" w:rsidR="00801F42" w:rsidRDefault="00801F42" w:rsidP="00801F42">
      <w:pPr>
        <w:pStyle w:val="Heading2"/>
        <w:rPr>
          <w:lang w:val="en-US"/>
        </w:rPr>
      </w:pPr>
      <w:r w:rsidRPr="001B28B0">
        <w:rPr>
          <w:lang w:val="en-US"/>
        </w:rPr>
        <w:t>Back</w:t>
      </w:r>
      <w:r>
        <w:rPr>
          <w:lang w:val="en-US"/>
        </w:rPr>
        <w:t>-</w:t>
      </w:r>
      <w:r w:rsidRPr="001B28B0">
        <w:rPr>
          <w:lang w:val="en-US"/>
        </w:rPr>
        <w:t>to</w:t>
      </w:r>
      <w:r>
        <w:rPr>
          <w:lang w:val="en-US"/>
        </w:rPr>
        <w:t>-f</w:t>
      </w:r>
      <w:r w:rsidRPr="001B28B0">
        <w:rPr>
          <w:lang w:val="en-US"/>
        </w:rPr>
        <w:t>ront</w:t>
      </w:r>
    </w:p>
    <w:p w14:paraId="7A70DA6F" w14:textId="321ACDA9" w:rsidR="00801F42" w:rsidRDefault="00801F42" w:rsidP="00801F42">
      <w:pPr>
        <w:rPr>
          <w:lang w:val="en-US"/>
        </w:rPr>
      </w:pPr>
      <w:r>
        <w:rPr>
          <w:noProof/>
          <w:lang w:val="en-US"/>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Pr>
          <w:lang w:val="en-US"/>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Default="00801F42" w:rsidP="00801F42">
      <w:pPr>
        <w:rPr>
          <w:lang w:val="en-US"/>
        </w:rPr>
      </w:pPr>
      <w:r>
        <w:rPr>
          <w:lang w:val="en-US"/>
        </w:rPr>
        <w:t>This way of evaluating the data is more in line with the literature, since the predicted motion is always the same.</w:t>
      </w:r>
    </w:p>
    <w:p w14:paraId="2DBE0391" w14:textId="214BFF41" w:rsidR="00801F42" w:rsidRPr="00C75164" w:rsidRDefault="00801F42" w:rsidP="00801F42">
      <w:pPr>
        <w:pStyle w:val="Heading2"/>
        <w:rPr>
          <w:lang w:val="en-US"/>
        </w:rPr>
      </w:pPr>
      <w:r w:rsidRPr="00C75164">
        <w:rPr>
          <w:lang w:val="en-US"/>
        </w:rPr>
        <w:t>Front-to-back</w:t>
      </w:r>
    </w:p>
    <w:p w14:paraId="6D9B9183" w14:textId="62F67CAB" w:rsidR="00801F42" w:rsidRDefault="00801F42" w:rsidP="00801F42">
      <w:pPr>
        <w:rPr>
          <w:lang w:val="en-US"/>
        </w:rPr>
      </w:pPr>
      <w:r>
        <w:rPr>
          <w:noProof/>
          <w:lang w:val="en-US"/>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Default="0088512B" w:rsidP="00410E91">
      <w:pPr>
        <w:rPr>
          <w:lang w:val="en-US"/>
        </w:rPr>
      </w:pPr>
      <w:r>
        <w:rPr>
          <w:lang w:val="en-US"/>
        </w:rPr>
        <w:t>This way of evaluating the data is more in line with how real-time data acquisition will take place.</w:t>
      </w:r>
    </w:p>
    <w:p w14:paraId="1ABC070B" w14:textId="09FCE91C" w:rsidR="00801F42" w:rsidRDefault="00801F42" w:rsidP="00410E91">
      <w:pPr>
        <w:rPr>
          <w:lang w:val="en-US"/>
        </w:rPr>
      </w:pPr>
    </w:p>
    <w:p w14:paraId="75BB5BD4" w14:textId="4FFAA115" w:rsidR="00801F42" w:rsidRDefault="00D9373A" w:rsidP="00D9373A">
      <w:pPr>
        <w:pStyle w:val="Heading1"/>
        <w:rPr>
          <w:lang w:val="en-US"/>
        </w:rPr>
      </w:pPr>
      <w:r>
        <w:rPr>
          <w:lang w:val="en-US"/>
        </w:rPr>
        <w:t>Results</w:t>
      </w:r>
    </w:p>
    <w:p w14:paraId="6B46F726" w14:textId="519FEF79" w:rsidR="00517673" w:rsidRPr="00517673" w:rsidRDefault="00517673" w:rsidP="00517673">
      <w:pPr>
        <w:pStyle w:val="Heading2"/>
        <w:rPr>
          <w:lang w:val="en-US"/>
        </w:rPr>
      </w:pPr>
      <w:r>
        <w:rPr>
          <w:lang w:val="en-US"/>
        </w:rPr>
        <w:t>Static vs Dynamic</w:t>
      </w:r>
    </w:p>
    <w:p w14:paraId="41880F1F" w14:textId="2E4F6FD7" w:rsidR="00D9373A" w:rsidRDefault="00D9373A" w:rsidP="00D9373A">
      <w:pPr>
        <w:rPr>
          <w:lang w:val="en-US"/>
        </w:rPr>
      </w:pPr>
      <w:r>
        <w:rPr>
          <w:lang w:val="en-US"/>
        </w:rPr>
        <w:t xml:space="preserve">The reported performance for both back to front &amp; front-to-back </w:t>
      </w:r>
      <w:r w:rsidR="0088512B">
        <w:rPr>
          <w:lang w:val="en-US"/>
        </w:rPr>
        <w:t>are shown in the following plots. In these plots the average MPJPE for the different prediction horizons are plotted against the number of observed frames</w:t>
      </w:r>
      <w:r w:rsidR="000D1D8B">
        <w:rPr>
          <w:lang w:val="en-US"/>
        </w:rPr>
        <w:t>, grouped by static and dynamic actions.</w:t>
      </w:r>
    </w:p>
    <w:p w14:paraId="367905CC" w14:textId="77777777" w:rsidR="00B519F7" w:rsidRDefault="00B519F7" w:rsidP="001C6818">
      <w:pPr>
        <w:rPr>
          <w:lang w:val="en-US"/>
        </w:rPr>
      </w:pPr>
      <w:r>
        <w:rPr>
          <w:lang w:val="en-US"/>
        </w:rPr>
        <w:t>When the model is given fiver or fewer input frames, the average MPJPE for static actions at prediction horizons up to 560ms is lower than for dynamic actions. This indicates a better performance.</w:t>
      </w:r>
    </w:p>
    <w:p w14:paraId="1D3B1297" w14:textId="4950917A" w:rsidR="00B519F7" w:rsidRPr="00C75164" w:rsidRDefault="00C75164" w:rsidP="001C6818">
      <w:pPr>
        <w:rPr>
          <w:b/>
          <w:bCs/>
          <w:lang w:val="en-US"/>
        </w:rPr>
      </w:pPr>
      <w:r>
        <w:rPr>
          <w:noProof/>
          <w:lang w:val="en-US"/>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828C9BF"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Pr>
          <w:lang w:val="en-US"/>
        </w:rPr>
        <w:t xml:space="preserve">This increased performance for static actions continues for the lower prediction horizons. However for </w:t>
      </w:r>
      <w:r w:rsidR="00335517">
        <w:rPr>
          <w:lang w:val="en-US"/>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Pr>
          <w:lang w:val="en-US"/>
        </w:rPr>
        <w:t xml:space="preserve"> </w:t>
      </w:r>
      <w:r w:rsidRPr="00C75164">
        <w:rPr>
          <w:b/>
          <w:bCs/>
          <w:lang w:val="en-US"/>
        </w:rPr>
        <w:t xml:space="preserve">To test this </w:t>
      </w:r>
      <w:r w:rsidRPr="00C75164">
        <w:rPr>
          <w:b/>
          <w:bCs/>
          <w:lang w:val="en-US"/>
        </w:rPr>
        <w:lastRenderedPageBreak/>
        <w:t>hypothesis, it is possible to evaluate the performance of the model’s prediction separated by upper and lower body predictions.</w:t>
      </w:r>
    </w:p>
    <w:p w14:paraId="632253E8" w14:textId="25D3885C" w:rsidR="00335517" w:rsidRDefault="00335517" w:rsidP="001C6818">
      <w:pPr>
        <w:rPr>
          <w:lang w:val="en-US"/>
        </w:rPr>
      </w:pPr>
      <w:r>
        <w:rPr>
          <w:lang w:val="en-US"/>
        </w:rPr>
        <w:t>It is also noted that the separation between static and dynamic movements are not fully black and white; since there are 256 samples of each type of movement, only a small subset have been reviewed to determine whether an action is static, dynamic or somewhere in between. A good example is the action “waiting”, which intuitively would belong in the “static” group, but the reviewed samples</w:t>
      </w:r>
      <w:r w:rsidR="00C75164">
        <w:rPr>
          <w:lang w:val="en-US"/>
        </w:rPr>
        <w:t xml:space="preserve"> shows that samples in this group range from fully static, to dynamically moving around.</w:t>
      </w:r>
      <w:r w:rsidR="00C75164">
        <w:rPr>
          <w:lang w:val="en-US"/>
        </w:rPr>
        <w:br/>
        <w:t>This leads to the conclusion that this distinction between static and dynamic movements might not have been the best grouping tactic.</w:t>
      </w:r>
    </w:p>
    <w:p w14:paraId="1F6A8A07" w14:textId="5D9F3305" w:rsidR="001C6818" w:rsidRDefault="00517673" w:rsidP="00517673">
      <w:pPr>
        <w:pStyle w:val="Heading2"/>
        <w:rPr>
          <w:lang w:val="en-US"/>
        </w:rPr>
      </w:pPr>
      <w:r>
        <w:rPr>
          <w:lang w:val="en-US"/>
        </w:rPr>
        <w:t>Upper vs lower</w:t>
      </w:r>
    </w:p>
    <w:p w14:paraId="0E91C638" w14:textId="19C1AE95" w:rsidR="00517673" w:rsidRPr="00517673" w:rsidRDefault="00517673" w:rsidP="00517673">
      <w:pPr>
        <w:rPr>
          <w:lang w:val="en-US"/>
        </w:rPr>
      </w:pPr>
      <w:r w:rsidRPr="00517673">
        <w:rPr>
          <w:noProof/>
          <w:lang w:val="en-US"/>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Default="00974666" w:rsidP="00643D2B">
      <w:pPr>
        <w:rPr>
          <w:lang w:val="en-US"/>
        </w:rPr>
      </w:pPr>
      <w:r>
        <w:rPr>
          <w:lang w:val="en-US"/>
        </w:rPr>
        <w:t>The separation of the data between upper and lower body shows that over all the actions, the accuracy of the predictions of the lower body is better</w:t>
      </w:r>
      <w:r w:rsidR="001A2424">
        <w:rPr>
          <w:lang w:val="en-US"/>
        </w:rPr>
        <w:t>.</w:t>
      </w:r>
    </w:p>
    <w:p w14:paraId="2356C82B" w14:textId="77777777" w:rsidR="001A2424" w:rsidRPr="00643D2B" w:rsidRDefault="001A2424" w:rsidP="00643D2B">
      <w:pPr>
        <w:rPr>
          <w:lang w:val="en-US"/>
        </w:rPr>
      </w:pPr>
    </w:p>
    <w:p w14:paraId="3B672FE5" w14:textId="45975A07" w:rsidR="00F73B61" w:rsidRPr="00D9373A" w:rsidRDefault="00974666" w:rsidP="00904481">
      <w:pPr>
        <w:rPr>
          <w:lang w:val="en-US"/>
        </w:rPr>
      </w:pPr>
      <w:r w:rsidRPr="00974666">
        <w:rPr>
          <w:noProof/>
          <w:lang w:val="en-US"/>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974666">
        <w:rPr>
          <w:noProof/>
          <w:lang w:val="en-US"/>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US"/>
        </w:rPr>
      </w:pPr>
      <w:r>
        <w:rPr>
          <w:lang w:val="en-US"/>
        </w:rPr>
        <w:t xml:space="preserve">When looking at the distinction between </w:t>
      </w:r>
      <w:r w:rsidR="00195F92">
        <w:rPr>
          <w:lang w:val="en-US"/>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Pr>
          <w:lang w:val="en-US"/>
        </w:rPr>
        <w:t xml:space="preserve"> increase rapidly as more timesteps are given to the model. This</w:t>
      </w:r>
      <w:r w:rsidR="00EE04AE">
        <w:rPr>
          <w:lang w:val="en-US"/>
        </w:rPr>
        <w:t xml:space="preserve"> strengthens the hypothesis that the model is able to estimate different aspects of a gait cycle, such as frequency and pace.</w:t>
      </w:r>
    </w:p>
    <w:p w14:paraId="09261936" w14:textId="77777777" w:rsidR="00EE04AE" w:rsidRDefault="00EE04AE" w:rsidP="000D0BE8">
      <w:pPr>
        <w:rPr>
          <w:lang w:val="en-US"/>
        </w:rPr>
      </w:pPr>
    </w:p>
    <w:p w14:paraId="74EB03EC" w14:textId="612CC292" w:rsidR="00904481" w:rsidRDefault="002F09FB" w:rsidP="00904481">
      <w:pPr>
        <w:pStyle w:val="Heading1"/>
        <w:rPr>
          <w:lang w:val="en-GB"/>
        </w:rPr>
      </w:pPr>
      <w:r>
        <w:rPr>
          <w:lang w:val="en-GB"/>
        </w:rPr>
        <w:lastRenderedPageBreak/>
        <w:t>PhysMoP</w:t>
      </w:r>
      <w:r w:rsidRPr="002F09FB">
        <w:rPr>
          <w:lang w:val="en-GB"/>
        </w:rPr>
        <w:drawing>
          <wp:inline distT="0" distB="0" distL="0" distR="0" wp14:anchorId="0D314C8F" wp14:editId="1AFD6C37">
            <wp:extent cx="5760720" cy="3456305"/>
            <wp:effectExtent l="0" t="0" r="0" b="0"/>
            <wp:docPr id="1280185422"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85422" name="Picture 1" descr="A graph with numbers and lines&#10;&#10;AI-generated content may be incorrect."/>
                    <pic:cNvPicPr/>
                  </pic:nvPicPr>
                  <pic:blipFill>
                    <a:blip r:embed="rId17"/>
                    <a:stretch>
                      <a:fillRect/>
                    </a:stretch>
                  </pic:blipFill>
                  <pic:spPr>
                    <a:xfrm>
                      <a:off x="0" y="0"/>
                      <a:ext cx="5760720" cy="3456305"/>
                    </a:xfrm>
                    <a:prstGeom prst="rect">
                      <a:avLst/>
                    </a:prstGeom>
                  </pic:spPr>
                </pic:pic>
              </a:graphicData>
            </a:graphic>
          </wp:inline>
        </w:drawing>
      </w:r>
    </w:p>
    <w:p w14:paraId="2E76A2BA" w14:textId="77777777" w:rsidR="00B00B47" w:rsidRDefault="002F09FB" w:rsidP="002F09FB">
      <w:pPr>
        <w:rPr>
          <w:lang w:val="en-US"/>
        </w:rPr>
      </w:pPr>
      <w:r>
        <w:rPr>
          <w:lang w:val="en-US"/>
        </w:rPr>
        <w:t xml:space="preserve">When </w:t>
      </w:r>
      <w:r w:rsidR="00B00B47">
        <w:rPr>
          <w:lang w:val="en-US"/>
        </w:rPr>
        <w:t xml:space="preserve">looking at the performance for the physics model, it is notable that overall the performance is a lot better than the performance of the first model. </w:t>
      </w:r>
    </w:p>
    <w:p w14:paraId="6D383C06" w14:textId="5FED4868" w:rsidR="002F09FB" w:rsidRDefault="00B00B47" w:rsidP="002F09FB">
      <w:pPr>
        <w:rPr>
          <w:lang w:val="en-US"/>
        </w:rPr>
      </w:pPr>
      <w:r>
        <w:rPr>
          <w:lang w:val="en-US"/>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Default="00406925" w:rsidP="002F09FB">
      <w:pPr>
        <w:rPr>
          <w:lang w:val="en-US"/>
        </w:rPr>
      </w:pPr>
      <w:r>
        <w:rPr>
          <w:lang w:val="en-US"/>
        </w:rPr>
        <w:t>This is directly related to the model’s architecture and the implementation of the classical mechanics principles. Rather than directly predicting the future movement of each joint, the model learns to estimate the parameters of the Euler-Lagrange equations of motion</w:t>
      </w:r>
      <w:r w:rsidR="00BE59CD">
        <w:rPr>
          <w:lang w:val="en-US"/>
        </w:rPr>
        <w:t>; specifically the model estimates the mass matrix (M), Coriolis matrix (C), and the joint actuation forces (\tau)</w:t>
      </w:r>
    </w:p>
    <w:p w14:paraId="16B67534" w14:textId="32B0E839" w:rsidR="00C36350" w:rsidRPr="00110ACE" w:rsidRDefault="00C36350" w:rsidP="002F09FB">
      <w:pPr>
        <w:rPr>
          <w:rFonts w:eastAsiaTheme="minorEastAsia"/>
          <w:lang w:val="en-US"/>
        </w:rPr>
      </w:pPr>
      <m:oMathPara>
        <m:oMath>
          <m:r>
            <w:rPr>
              <w:rFonts w:ascii="Cambria Math" w:hAnsi="Cambria Math"/>
              <w:lang w:val="en-US"/>
            </w:rPr>
            <m:t>M(q)</m:t>
          </m:r>
          <m:acc>
            <m:accPr>
              <m:chr m:val="̈"/>
              <m:ctrlPr>
                <w:rPr>
                  <w:rFonts w:ascii="Cambria Math" w:hAnsi="Cambria Math"/>
                  <w:i/>
                  <w:lang w:val="en-US"/>
                </w:rPr>
              </m:ctrlPr>
            </m:accPr>
            <m:e>
              <m:r>
                <w:rPr>
                  <w:rFonts w:ascii="Cambria Math" w:hAnsi="Cambria Math"/>
                  <w:lang w:val="en-US"/>
                </w:rPr>
                <m:t>q</m:t>
              </m:r>
            </m:e>
          </m:acc>
          <m:r>
            <w:rPr>
              <w:rFonts w:ascii="Cambria Math" w:hAnsi="Cambria Math"/>
              <w:lang w:val="en-US"/>
            </w:rPr>
            <m:t xml:space="preserve">+C(q, </m:t>
          </m:r>
          <m:acc>
            <m:accPr>
              <m:chr m:val="̇"/>
              <m:ctrlPr>
                <w:rPr>
                  <w:rFonts w:ascii="Cambria Math" w:hAnsi="Cambria Math"/>
                  <w:i/>
                  <w:lang w:val="en-US"/>
                </w:rPr>
              </m:ctrlPr>
            </m:accPr>
            <m:e>
              <m:r>
                <w:rPr>
                  <w:rFonts w:ascii="Cambria Math" w:hAnsi="Cambria Math"/>
                  <w:lang w:val="en-US"/>
                </w:rPr>
                <m:t>q</m:t>
              </m:r>
            </m:e>
          </m:acc>
          <m:r>
            <w:rPr>
              <w:rFonts w:ascii="Cambria Math" w:hAnsi="Cambria Math"/>
              <w:lang w:val="en-US"/>
            </w:rPr>
            <m:t>)= τ</m:t>
          </m:r>
        </m:oMath>
      </m:oMathPara>
    </w:p>
    <w:p w14:paraId="101D1D77" w14:textId="77777777" w:rsidR="005F579D" w:rsidRDefault="005D4D92" w:rsidP="002F09FB">
      <w:pPr>
        <w:rPr>
          <w:lang w:val="en-US"/>
        </w:rPr>
      </w:pPr>
      <w:r>
        <w:rPr>
          <w:lang w:val="en-US"/>
        </w:rPr>
        <w:t xml:space="preserve">The model requires exactly three frames of joint positions and velocity data to </w:t>
      </w:r>
    </w:p>
    <w:p w14:paraId="11C10106" w14:textId="6A2B09A0" w:rsidR="00110ACE" w:rsidRDefault="005F579D" w:rsidP="002F09FB">
      <w:pPr>
        <w:rPr>
          <w:lang w:val="en-US"/>
        </w:rPr>
      </w:pPr>
      <w:r w:rsidRPr="005F579D">
        <w:rPr>
          <w:lang w:val="en-US"/>
        </w:rPr>
        <w:t>Once these parameters are determined from the 3-frame window, the model uses Verlet integration to recursively predict future poses. This explains why performance stabilizes after exactly 3 observed frames - the minimum required to fully parameterize the physical system - and additional frames provide minimal improvement as the model's physics branch is specifically designed around this 3-frame structure.</w:t>
      </w:r>
    </w:p>
    <w:p w14:paraId="43E5533F" w14:textId="566EF227" w:rsidR="005F579D" w:rsidRPr="005F579D" w:rsidRDefault="005F579D" w:rsidP="002F09FB">
      <w:pPr>
        <w:rPr>
          <w:lang w:val="fr-FR"/>
        </w:rPr>
      </w:pPr>
      <w:r w:rsidRPr="005F579D">
        <w:rPr>
          <w:lang w:val="fr-FR"/>
        </w:rPr>
        <w:t>x(t+</w:t>
      </w:r>
      <w:r w:rsidRPr="005F579D">
        <w:t>Δ</w:t>
      </w:r>
      <w:r w:rsidRPr="005F579D">
        <w:rPr>
          <w:lang w:val="fr-FR"/>
        </w:rPr>
        <w:t>t) = 2x(t) - x(t-</w:t>
      </w:r>
      <w:r w:rsidRPr="005F579D">
        <w:t>Δ</w:t>
      </w:r>
      <w:r w:rsidRPr="005F579D">
        <w:rPr>
          <w:lang w:val="fr-FR"/>
        </w:rPr>
        <w:t>t) + a(t)·</w:t>
      </w:r>
      <w:r w:rsidRPr="005F579D">
        <w:t>Δ</w:t>
      </w:r>
      <w:r w:rsidRPr="005F579D">
        <w:rPr>
          <w:lang w:val="fr-FR"/>
        </w:rPr>
        <w:t>t²</w:t>
      </w:r>
    </w:p>
    <w:sectPr w:rsidR="005F579D" w:rsidRPr="005F57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D0BE8"/>
    <w:rsid w:val="000D1D8B"/>
    <w:rsid w:val="000E4920"/>
    <w:rsid w:val="00110ACE"/>
    <w:rsid w:val="00195F92"/>
    <w:rsid w:val="001A2424"/>
    <w:rsid w:val="001B28B0"/>
    <w:rsid w:val="001C6818"/>
    <w:rsid w:val="002F09FB"/>
    <w:rsid w:val="00335517"/>
    <w:rsid w:val="0039725B"/>
    <w:rsid w:val="00406925"/>
    <w:rsid w:val="00410E91"/>
    <w:rsid w:val="00517673"/>
    <w:rsid w:val="005371DD"/>
    <w:rsid w:val="005D4D92"/>
    <w:rsid w:val="005F579D"/>
    <w:rsid w:val="00643D2B"/>
    <w:rsid w:val="00727E9E"/>
    <w:rsid w:val="00780121"/>
    <w:rsid w:val="00801F42"/>
    <w:rsid w:val="0081391B"/>
    <w:rsid w:val="0088512B"/>
    <w:rsid w:val="0089368E"/>
    <w:rsid w:val="00904481"/>
    <w:rsid w:val="00947086"/>
    <w:rsid w:val="00974666"/>
    <w:rsid w:val="009A08C6"/>
    <w:rsid w:val="009D12F4"/>
    <w:rsid w:val="00B00B47"/>
    <w:rsid w:val="00B519F7"/>
    <w:rsid w:val="00BE59CD"/>
    <w:rsid w:val="00C00C16"/>
    <w:rsid w:val="00C32CC6"/>
    <w:rsid w:val="00C36350"/>
    <w:rsid w:val="00C52C29"/>
    <w:rsid w:val="00C75164"/>
    <w:rsid w:val="00CB3181"/>
    <w:rsid w:val="00D01E2F"/>
    <w:rsid w:val="00D9373A"/>
    <w:rsid w:val="00E30FAC"/>
    <w:rsid w:val="00E4774F"/>
    <w:rsid w:val="00EE04AE"/>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B40185C8-210D-4136-A60C-6B6431E99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1109</Words>
  <Characters>6101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3</cp:revision>
  <dcterms:created xsi:type="dcterms:W3CDTF">2025-06-11T07:28:00Z</dcterms:created>
  <dcterms:modified xsi:type="dcterms:W3CDTF">2025-07-08T15:28:00Z</dcterms:modified>
</cp:coreProperties>
</file>