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7A3ED" w14:textId="4DFC507B" w:rsidR="00557BCF" w:rsidRPr="002614F1" w:rsidRDefault="00557BCF" w:rsidP="002614F1">
      <w:pPr>
        <w:spacing w:after="0"/>
        <w:jc w:val="center"/>
        <w:rPr>
          <w:rFonts w:ascii="Times New Roman" w:hAnsi="Times New Roman" w:cs="Times New Roman"/>
          <w:b/>
          <w:bCs/>
        </w:rPr>
      </w:pPr>
      <w:r w:rsidRPr="002614F1">
        <w:rPr>
          <w:rFonts w:ascii="Times New Roman" w:hAnsi="Times New Roman" w:cs="Times New Roman"/>
          <w:b/>
          <w:bCs/>
        </w:rPr>
        <w:t>Integration, Analysis, and clustering of FERC Region Data</w:t>
      </w:r>
    </w:p>
    <w:p w14:paraId="4CFF96DA" w14:textId="24916534" w:rsidR="00557BCF" w:rsidRPr="002614F1" w:rsidRDefault="00557BCF" w:rsidP="002614F1">
      <w:pPr>
        <w:spacing w:after="0"/>
        <w:jc w:val="center"/>
        <w:rPr>
          <w:rFonts w:ascii="Times New Roman" w:hAnsi="Times New Roman" w:cs="Times New Roman"/>
          <w:b/>
          <w:bCs/>
        </w:rPr>
      </w:pPr>
      <w:r w:rsidRPr="002614F1">
        <w:rPr>
          <w:rFonts w:ascii="Times New Roman" w:hAnsi="Times New Roman" w:cs="Times New Roman"/>
          <w:b/>
          <w:bCs/>
        </w:rPr>
        <w:t>Andrew Igdal</w:t>
      </w:r>
    </w:p>
    <w:p w14:paraId="32E9BB09" w14:textId="7BB1807B" w:rsidR="00557BCF" w:rsidRPr="00557BCF" w:rsidRDefault="00557BCF" w:rsidP="002614F1">
      <w:pPr>
        <w:spacing w:after="0"/>
        <w:jc w:val="center"/>
        <w:rPr>
          <w:rFonts w:ascii="Times New Roman" w:hAnsi="Times New Roman" w:cs="Times New Roman"/>
          <w:b/>
          <w:bCs/>
        </w:rPr>
      </w:pPr>
      <w:r w:rsidRPr="002614F1">
        <w:rPr>
          <w:rFonts w:ascii="Times New Roman" w:hAnsi="Times New Roman" w:cs="Times New Roman"/>
          <w:b/>
          <w:bCs/>
        </w:rPr>
        <w:t>12/9/24</w:t>
      </w:r>
    </w:p>
    <w:p w14:paraId="4BB9275A" w14:textId="77777777" w:rsidR="00557BCF" w:rsidRPr="00557BCF" w:rsidRDefault="00557BCF" w:rsidP="002614F1">
      <w:pPr>
        <w:spacing w:after="0"/>
        <w:rPr>
          <w:rFonts w:ascii="Times New Roman" w:hAnsi="Times New Roman" w:cs="Times New Roman"/>
          <w:b/>
          <w:bCs/>
        </w:rPr>
      </w:pPr>
      <w:r w:rsidRPr="00557BCF">
        <w:rPr>
          <w:rFonts w:ascii="Times New Roman" w:hAnsi="Times New Roman" w:cs="Times New Roman"/>
          <w:b/>
          <w:bCs/>
        </w:rPr>
        <w:t>1. Introduction</w:t>
      </w:r>
    </w:p>
    <w:p w14:paraId="5E94F205"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rPr>
        <w:t>FERC Order 1000 encourages regional coordination in transmission planning and cost allocation. Understanding the structure of these regions—both their geographic extents and the attributes of their transmission infrastructure—is essential for informed policy and investment decisions. Additionally, linking these regions to demographic and socio-economic factors enables researchers and planners to consider how infrastructure meets community needs.</w:t>
      </w:r>
    </w:p>
    <w:p w14:paraId="13158FA6"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rPr>
        <w:t>The initial proposal aimed to:</w:t>
      </w:r>
    </w:p>
    <w:p w14:paraId="3D348103"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Approximate FERC 1000 region shapefiles from balancing authority areas.</w:t>
      </w:r>
    </w:p>
    <w:p w14:paraId="2246224A"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Merge these approximated regions with transmission infrastructure data and demographic data.</w:t>
      </w:r>
    </w:p>
    <w:p w14:paraId="779E2E52"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 xml:space="preserve">Create a user-friendly analytical tool, potentially with an interactive interface (e.g., </w:t>
      </w:r>
      <w:proofErr w:type="spellStart"/>
      <w:r w:rsidRPr="00557BCF">
        <w:rPr>
          <w:rFonts w:ascii="Times New Roman" w:hAnsi="Times New Roman" w:cs="Times New Roman"/>
        </w:rPr>
        <w:t>Streamlit</w:t>
      </w:r>
      <w:proofErr w:type="spellEnd"/>
      <w:r w:rsidRPr="00557BCF">
        <w:rPr>
          <w:rFonts w:ascii="Times New Roman" w:hAnsi="Times New Roman" w:cs="Times New Roman"/>
        </w:rPr>
        <w:t>) and consider using resources like TACC for computation.</w:t>
      </w:r>
    </w:p>
    <w:p w14:paraId="0A63FDE6"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Perform unsupervised learning (e.g., clustering) on states and regions to identify patterns.</w:t>
      </w:r>
    </w:p>
    <w:p w14:paraId="391008A4" w14:textId="77777777" w:rsidR="00557BCF" w:rsidRPr="00557BCF" w:rsidRDefault="00557BCF" w:rsidP="002614F1">
      <w:pPr>
        <w:numPr>
          <w:ilvl w:val="0"/>
          <w:numId w:val="1"/>
        </w:numPr>
        <w:spacing w:after="0"/>
        <w:rPr>
          <w:rFonts w:ascii="Times New Roman" w:hAnsi="Times New Roman" w:cs="Times New Roman"/>
        </w:rPr>
      </w:pPr>
      <w:r w:rsidRPr="00557BCF">
        <w:rPr>
          <w:rFonts w:ascii="Times New Roman" w:hAnsi="Times New Roman" w:cs="Times New Roman"/>
        </w:rPr>
        <w:t>Produce dendrograms and other visualizations to facilitate future research.</w:t>
      </w:r>
    </w:p>
    <w:p w14:paraId="415F2E75" w14:textId="7A68CAC6"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Changes from the original plan:</w:t>
      </w:r>
      <w:r w:rsidRPr="00557BCF">
        <w:rPr>
          <w:rFonts w:ascii="Times New Roman" w:hAnsi="Times New Roman" w:cs="Times New Roman"/>
        </w:rPr>
        <w:t xml:space="preserve"> While the scripts successfully generated processed data, performed clustering, and produced dendrograms and heatmaps, the step involving TACC resources proved unnecessary. Additionally, integrating an online interactive tool (e.g., via </w:t>
      </w:r>
      <w:proofErr w:type="spellStart"/>
      <w:r w:rsidRPr="00557BCF">
        <w:rPr>
          <w:rFonts w:ascii="Times New Roman" w:hAnsi="Times New Roman" w:cs="Times New Roman"/>
        </w:rPr>
        <w:t>Streamlit</w:t>
      </w:r>
      <w:proofErr w:type="spellEnd"/>
      <w:r w:rsidRPr="00557BCF">
        <w:rPr>
          <w:rFonts w:ascii="Times New Roman" w:hAnsi="Times New Roman" w:cs="Times New Roman"/>
        </w:rPr>
        <w:t xml:space="preserve">) was not completed. </w:t>
      </w:r>
    </w:p>
    <w:p w14:paraId="7B861245" w14:textId="77777777" w:rsidR="00557BCF" w:rsidRPr="00557BCF" w:rsidRDefault="00557BCF" w:rsidP="002614F1">
      <w:pPr>
        <w:spacing w:after="0"/>
        <w:rPr>
          <w:rFonts w:ascii="Times New Roman" w:hAnsi="Times New Roman" w:cs="Times New Roman"/>
          <w:b/>
          <w:bCs/>
        </w:rPr>
      </w:pPr>
      <w:r w:rsidRPr="00557BCF">
        <w:rPr>
          <w:rFonts w:ascii="Times New Roman" w:hAnsi="Times New Roman" w:cs="Times New Roman"/>
          <w:b/>
          <w:bCs/>
        </w:rPr>
        <w:t>2. Methodology</w:t>
      </w:r>
    </w:p>
    <w:p w14:paraId="6177E41D"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Data and Tools:</w:t>
      </w:r>
    </w:p>
    <w:p w14:paraId="4F7720E6" w14:textId="77777777" w:rsidR="00557BCF" w:rsidRPr="00557BCF" w:rsidRDefault="00557BCF" w:rsidP="002614F1">
      <w:pPr>
        <w:numPr>
          <w:ilvl w:val="0"/>
          <w:numId w:val="2"/>
        </w:numPr>
        <w:spacing w:after="0"/>
        <w:rPr>
          <w:rFonts w:ascii="Times New Roman" w:hAnsi="Times New Roman" w:cs="Times New Roman"/>
        </w:rPr>
      </w:pPr>
      <w:r w:rsidRPr="00557BCF">
        <w:rPr>
          <w:rFonts w:ascii="Times New Roman" w:hAnsi="Times New Roman" w:cs="Times New Roman"/>
          <w:b/>
          <w:bCs/>
        </w:rPr>
        <w:t>Geospatial data:</w:t>
      </w:r>
    </w:p>
    <w:p w14:paraId="2835F4C4" w14:textId="77777777" w:rsidR="00557BCF" w:rsidRPr="00557BCF" w:rsidRDefault="00557BCF" w:rsidP="002614F1">
      <w:pPr>
        <w:numPr>
          <w:ilvl w:val="1"/>
          <w:numId w:val="2"/>
        </w:numPr>
        <w:spacing w:after="0"/>
        <w:rPr>
          <w:rFonts w:ascii="Times New Roman" w:hAnsi="Times New Roman" w:cs="Times New Roman"/>
        </w:rPr>
      </w:pPr>
      <w:r w:rsidRPr="00557BCF">
        <w:rPr>
          <w:rFonts w:ascii="Times New Roman" w:hAnsi="Times New Roman" w:cs="Times New Roman"/>
        </w:rPr>
        <w:t>Control Areas (Control__</w:t>
      </w:r>
      <w:proofErr w:type="spellStart"/>
      <w:r w:rsidRPr="00557BCF">
        <w:rPr>
          <w:rFonts w:ascii="Times New Roman" w:hAnsi="Times New Roman" w:cs="Times New Roman"/>
        </w:rPr>
        <w:t>Areas.geojson</w:t>
      </w:r>
      <w:proofErr w:type="spellEnd"/>
      <w:r w:rsidRPr="00557BCF">
        <w:rPr>
          <w:rFonts w:ascii="Times New Roman" w:hAnsi="Times New Roman" w:cs="Times New Roman"/>
        </w:rPr>
        <w:t>) representing balancing authorities.</w:t>
      </w:r>
    </w:p>
    <w:p w14:paraId="38FBDB8B" w14:textId="77777777" w:rsidR="00557BCF" w:rsidRPr="00557BCF" w:rsidRDefault="00557BCF" w:rsidP="002614F1">
      <w:pPr>
        <w:numPr>
          <w:ilvl w:val="1"/>
          <w:numId w:val="2"/>
        </w:numPr>
        <w:spacing w:after="0"/>
        <w:rPr>
          <w:rFonts w:ascii="Times New Roman" w:hAnsi="Times New Roman" w:cs="Times New Roman"/>
        </w:rPr>
      </w:pPr>
      <w:r w:rsidRPr="00557BCF">
        <w:rPr>
          <w:rFonts w:ascii="Times New Roman" w:hAnsi="Times New Roman" w:cs="Times New Roman"/>
        </w:rPr>
        <w:t>A county shapefile (US_COUNTY_SHPFILE/</w:t>
      </w:r>
      <w:proofErr w:type="spellStart"/>
      <w:r w:rsidRPr="00557BCF">
        <w:rPr>
          <w:rFonts w:ascii="Times New Roman" w:hAnsi="Times New Roman" w:cs="Times New Roman"/>
        </w:rPr>
        <w:t>US_county_cont.shp</w:t>
      </w:r>
      <w:proofErr w:type="spellEnd"/>
      <w:r w:rsidRPr="00557BCF">
        <w:rPr>
          <w:rFonts w:ascii="Times New Roman" w:hAnsi="Times New Roman" w:cs="Times New Roman"/>
        </w:rPr>
        <w:t>) for spatial reference.</w:t>
      </w:r>
    </w:p>
    <w:p w14:paraId="31224341" w14:textId="77777777" w:rsidR="00557BCF" w:rsidRPr="00557BCF" w:rsidRDefault="00557BCF" w:rsidP="002614F1">
      <w:pPr>
        <w:numPr>
          <w:ilvl w:val="1"/>
          <w:numId w:val="2"/>
        </w:numPr>
        <w:spacing w:after="0"/>
        <w:rPr>
          <w:rFonts w:ascii="Times New Roman" w:hAnsi="Times New Roman" w:cs="Times New Roman"/>
        </w:rPr>
      </w:pPr>
      <w:r w:rsidRPr="00557BCF">
        <w:rPr>
          <w:rFonts w:ascii="Times New Roman" w:hAnsi="Times New Roman" w:cs="Times New Roman"/>
        </w:rPr>
        <w:t>HIFLD transmission lines data.</w:t>
      </w:r>
    </w:p>
    <w:p w14:paraId="0A7AF3B3" w14:textId="77777777" w:rsidR="00557BCF" w:rsidRPr="00557BCF" w:rsidRDefault="00557BCF" w:rsidP="002614F1">
      <w:pPr>
        <w:numPr>
          <w:ilvl w:val="0"/>
          <w:numId w:val="2"/>
        </w:numPr>
        <w:spacing w:after="0"/>
        <w:rPr>
          <w:rFonts w:ascii="Times New Roman" w:hAnsi="Times New Roman" w:cs="Times New Roman"/>
        </w:rPr>
      </w:pPr>
      <w:r w:rsidRPr="00557BCF">
        <w:rPr>
          <w:rFonts w:ascii="Times New Roman" w:hAnsi="Times New Roman" w:cs="Times New Roman"/>
          <w:b/>
          <w:bCs/>
        </w:rPr>
        <w:t>Demographic data:</w:t>
      </w:r>
      <w:r w:rsidRPr="00557BCF">
        <w:rPr>
          <w:rFonts w:ascii="Times New Roman" w:hAnsi="Times New Roman" w:cs="Times New Roman"/>
        </w:rPr>
        <w:t xml:space="preserve"> ACS 2019 data fetched via </w:t>
      </w:r>
      <w:proofErr w:type="spellStart"/>
      <w:r w:rsidRPr="00557BCF">
        <w:rPr>
          <w:rFonts w:ascii="Times New Roman" w:hAnsi="Times New Roman" w:cs="Times New Roman"/>
        </w:rPr>
        <w:t>censusdata</w:t>
      </w:r>
      <w:proofErr w:type="spellEnd"/>
      <w:r w:rsidRPr="00557BCF">
        <w:rPr>
          <w:rFonts w:ascii="Times New Roman" w:hAnsi="Times New Roman" w:cs="Times New Roman"/>
        </w:rPr>
        <w:t xml:space="preserve"> Python package.</w:t>
      </w:r>
    </w:p>
    <w:p w14:paraId="29E3E0C3" w14:textId="77777777" w:rsidR="00557BCF" w:rsidRPr="00557BCF" w:rsidRDefault="00557BCF" w:rsidP="002614F1">
      <w:pPr>
        <w:numPr>
          <w:ilvl w:val="0"/>
          <w:numId w:val="2"/>
        </w:numPr>
        <w:spacing w:after="0"/>
        <w:rPr>
          <w:rFonts w:ascii="Times New Roman" w:hAnsi="Times New Roman" w:cs="Times New Roman"/>
        </w:rPr>
      </w:pPr>
      <w:r w:rsidRPr="00557BCF">
        <w:rPr>
          <w:rFonts w:ascii="Times New Roman" w:hAnsi="Times New Roman" w:cs="Times New Roman"/>
          <w:b/>
          <w:bCs/>
        </w:rPr>
        <w:t>Processing Libraries:</w:t>
      </w:r>
      <w:r w:rsidRPr="00557BCF">
        <w:rPr>
          <w:rFonts w:ascii="Times New Roman" w:hAnsi="Times New Roman" w:cs="Times New Roman"/>
        </w:rPr>
        <w:t xml:space="preserve"> </w:t>
      </w:r>
      <w:proofErr w:type="spellStart"/>
      <w:r w:rsidRPr="00557BCF">
        <w:rPr>
          <w:rFonts w:ascii="Times New Roman" w:hAnsi="Times New Roman" w:cs="Times New Roman"/>
        </w:rPr>
        <w:t>GeoPandas</w:t>
      </w:r>
      <w:proofErr w:type="spellEnd"/>
      <w:r w:rsidRPr="00557BCF">
        <w:rPr>
          <w:rFonts w:ascii="Times New Roman" w:hAnsi="Times New Roman" w:cs="Times New Roman"/>
        </w:rPr>
        <w:t xml:space="preserve"> for spatial operations, Pandas and NumPy for data manipulation, and Matplotlib/Seaborn for visualization.</w:t>
      </w:r>
    </w:p>
    <w:p w14:paraId="26325E4D"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Summaries:</w:t>
      </w:r>
    </w:p>
    <w:p w14:paraId="7558720E"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1:</w:t>
      </w:r>
    </w:p>
    <w:p w14:paraId="5D1C8B3B"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Approximates FERC Order 1000 regions by aggregating control areas.</w:t>
      </w:r>
    </w:p>
    <w:p w14:paraId="2B1631EC"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Cleans and merges balancing authority data (Control__</w:t>
      </w:r>
      <w:proofErr w:type="spellStart"/>
      <w:r w:rsidRPr="00557BCF">
        <w:rPr>
          <w:rFonts w:ascii="Times New Roman" w:hAnsi="Times New Roman" w:cs="Times New Roman"/>
        </w:rPr>
        <w:t>Areas.geojson</w:t>
      </w:r>
      <w:proofErr w:type="spellEnd"/>
      <w:r w:rsidRPr="00557BCF">
        <w:rPr>
          <w:rFonts w:ascii="Times New Roman" w:hAnsi="Times New Roman" w:cs="Times New Roman"/>
        </w:rPr>
        <w:t>) with a CSV (BA_FERC1000.csv) containing FERC 1000 region mappings.</w:t>
      </w:r>
    </w:p>
    <w:p w14:paraId="0D85FC42"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Filters states of interest, dissolves and merges shapefiles, and manually resolves overlaps between regions.</w:t>
      </w:r>
    </w:p>
    <w:p w14:paraId="682B3B6D"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Produces a final FERC_1000_Regions.geojson representing each aggregated region.</w:t>
      </w:r>
    </w:p>
    <w:p w14:paraId="5D93C16D" w14:textId="77777777" w:rsidR="00557BCF" w:rsidRPr="00557BCF" w:rsidRDefault="00557BCF" w:rsidP="002614F1">
      <w:pPr>
        <w:numPr>
          <w:ilvl w:val="0"/>
          <w:numId w:val="3"/>
        </w:numPr>
        <w:spacing w:after="0"/>
        <w:rPr>
          <w:rFonts w:ascii="Times New Roman" w:hAnsi="Times New Roman" w:cs="Times New Roman"/>
        </w:rPr>
      </w:pPr>
      <w:r w:rsidRPr="00557BCF">
        <w:rPr>
          <w:rFonts w:ascii="Times New Roman" w:hAnsi="Times New Roman" w:cs="Times New Roman"/>
        </w:rPr>
        <w:t>Creates a color-coded map of regions overlaid on state borders.</w:t>
      </w:r>
    </w:p>
    <w:p w14:paraId="087063F8"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lastRenderedPageBreak/>
        <w:t>SCRIPT 2:</w:t>
      </w:r>
    </w:p>
    <w:p w14:paraId="5AB7CDC0"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Loads the finalized FERC_1000_Regions.geojson and extracts individual regions (e.g., CAISO, ERCOT, ISO-NE, SE, etc.).</w:t>
      </w:r>
    </w:p>
    <w:p w14:paraId="585D227A"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 xml:space="preserve">Saves each region as its own </w:t>
      </w:r>
      <w:proofErr w:type="spellStart"/>
      <w:r w:rsidRPr="00557BCF">
        <w:rPr>
          <w:rFonts w:ascii="Times New Roman" w:hAnsi="Times New Roman" w:cs="Times New Roman"/>
        </w:rPr>
        <w:t>GeoJSON</w:t>
      </w:r>
      <w:proofErr w:type="spellEnd"/>
      <w:r w:rsidRPr="00557BCF">
        <w:rPr>
          <w:rFonts w:ascii="Times New Roman" w:hAnsi="Times New Roman" w:cs="Times New Roman"/>
        </w:rPr>
        <w:t xml:space="preserve"> (e.g., </w:t>
      </w:r>
      <w:proofErr w:type="spellStart"/>
      <w:proofErr w:type="gramStart"/>
      <w:r w:rsidRPr="00557BCF">
        <w:rPr>
          <w:rFonts w:ascii="Times New Roman" w:hAnsi="Times New Roman" w:cs="Times New Roman"/>
        </w:rPr>
        <w:t>caisogeometry.geojson</w:t>
      </w:r>
      <w:proofErr w:type="spellEnd"/>
      <w:proofErr w:type="gramEnd"/>
      <w:r w:rsidRPr="00557BCF">
        <w:rPr>
          <w:rFonts w:ascii="Times New Roman" w:hAnsi="Times New Roman" w:cs="Times New Roman"/>
        </w:rPr>
        <w:t>) for future spatial joins.</w:t>
      </w:r>
    </w:p>
    <w:p w14:paraId="08009976"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Processes HIFLD transmission lines data, cleaning and ensuring consistent CRS.</w:t>
      </w:r>
    </w:p>
    <w:p w14:paraId="1A0BF001"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Performs spatial joins with each FERC region to isolate transmission lines per region.</w:t>
      </w:r>
    </w:p>
    <w:p w14:paraId="57030950"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Plots transmission lines and region boundaries to verify alignment.</w:t>
      </w:r>
    </w:p>
    <w:p w14:paraId="2A892FAF" w14:textId="77777777" w:rsidR="00557BCF" w:rsidRPr="00557BCF" w:rsidRDefault="00557BCF" w:rsidP="002614F1">
      <w:pPr>
        <w:numPr>
          <w:ilvl w:val="0"/>
          <w:numId w:val="4"/>
        </w:numPr>
        <w:spacing w:after="0"/>
        <w:rPr>
          <w:rFonts w:ascii="Times New Roman" w:hAnsi="Times New Roman" w:cs="Times New Roman"/>
        </w:rPr>
      </w:pPr>
      <w:r w:rsidRPr="00557BCF">
        <w:rPr>
          <w:rFonts w:ascii="Times New Roman" w:hAnsi="Times New Roman" w:cs="Times New Roman"/>
        </w:rPr>
        <w:t xml:space="preserve">Exports cleaned per-region transmission line data to </w:t>
      </w:r>
      <w:proofErr w:type="spellStart"/>
      <w:r w:rsidRPr="00557BCF">
        <w:rPr>
          <w:rFonts w:ascii="Times New Roman" w:hAnsi="Times New Roman" w:cs="Times New Roman"/>
        </w:rPr>
        <w:t>GeoJSON</w:t>
      </w:r>
      <w:proofErr w:type="spellEnd"/>
      <w:r w:rsidRPr="00557BCF">
        <w:rPr>
          <w:rFonts w:ascii="Times New Roman" w:hAnsi="Times New Roman" w:cs="Times New Roman"/>
        </w:rPr>
        <w:t xml:space="preserve"> files for further analysis.</w:t>
      </w:r>
    </w:p>
    <w:p w14:paraId="6BF71C72"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3:</w:t>
      </w:r>
    </w:p>
    <w:p w14:paraId="020B3362"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Takes the previously created per-region transmission line files and reprojects them.</w:t>
      </w:r>
    </w:p>
    <w:p w14:paraId="02BEF4B9"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Cleans up column names, adds a year column based on SOURCEDATE, and estimates power capacity for AC lines.</w:t>
      </w:r>
    </w:p>
    <w:p w14:paraId="72BF0093"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Removes invalid or negative voltage lines, inspects data distributions, and provides various summary statistics and visualizations (histograms, KDEs, boxplots).</w:t>
      </w:r>
    </w:p>
    <w:p w14:paraId="2485EE0D" w14:textId="77777777" w:rsidR="00557BCF" w:rsidRPr="00557BCF" w:rsidRDefault="00557BCF" w:rsidP="002614F1">
      <w:pPr>
        <w:numPr>
          <w:ilvl w:val="0"/>
          <w:numId w:val="5"/>
        </w:numPr>
        <w:spacing w:after="0"/>
        <w:rPr>
          <w:rFonts w:ascii="Times New Roman" w:hAnsi="Times New Roman" w:cs="Times New Roman"/>
        </w:rPr>
      </w:pPr>
      <w:r w:rsidRPr="00557BCF">
        <w:rPr>
          <w:rFonts w:ascii="Times New Roman" w:hAnsi="Times New Roman" w:cs="Times New Roman"/>
        </w:rPr>
        <w:t>Finally, merges lines within each region if appropriate, recalculates line lengths and power capacity, and exports merged results.</w:t>
      </w:r>
    </w:p>
    <w:p w14:paraId="410A3513"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SCRIPT 4:</w:t>
      </w:r>
    </w:p>
    <w:p w14:paraId="3FA2F743"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Integrates ACS demographic data at the county level and links it to each region through spatial joins.</w:t>
      </w:r>
    </w:p>
    <w:p w14:paraId="69F4AB9D"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Aggregates demographic and transmission attributes at the region level, computing population-weighted averages of median age and income, and calculating demographic percentages.</w:t>
      </w:r>
    </w:p>
    <w:p w14:paraId="6A68A3EA"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Collects unique transmission line types per region.</w:t>
      </w:r>
    </w:p>
    <w:p w14:paraId="4B6527D7"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 xml:space="preserve">Creates a summary </w:t>
      </w:r>
      <w:proofErr w:type="spellStart"/>
      <w:r w:rsidRPr="00557BCF">
        <w:rPr>
          <w:rFonts w:ascii="Times New Roman" w:hAnsi="Times New Roman" w:cs="Times New Roman"/>
        </w:rPr>
        <w:t>DataFrame</w:t>
      </w:r>
      <w:proofErr w:type="spellEnd"/>
      <w:r w:rsidRPr="00557BCF">
        <w:rPr>
          <w:rFonts w:ascii="Times New Roman" w:hAnsi="Times New Roman" w:cs="Times New Roman"/>
        </w:rPr>
        <w:t xml:space="preserve"> with demographic and infrastructural attributes for each FERC region.</w:t>
      </w:r>
    </w:p>
    <w:p w14:paraId="02B64929"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Standardizes numeric features and performs hierarchical clustering (Ward’s method) to produce a dendrogram of regions.</w:t>
      </w:r>
    </w:p>
    <w:p w14:paraId="26216C82" w14:textId="77777777" w:rsidR="00557BCF" w:rsidRPr="00557BCF" w:rsidRDefault="00557BCF" w:rsidP="002614F1">
      <w:pPr>
        <w:numPr>
          <w:ilvl w:val="0"/>
          <w:numId w:val="6"/>
        </w:numPr>
        <w:spacing w:after="0"/>
        <w:rPr>
          <w:rFonts w:ascii="Times New Roman" w:hAnsi="Times New Roman" w:cs="Times New Roman"/>
        </w:rPr>
      </w:pPr>
      <w:r w:rsidRPr="00557BCF">
        <w:rPr>
          <w:rFonts w:ascii="Times New Roman" w:hAnsi="Times New Roman" w:cs="Times New Roman"/>
        </w:rPr>
        <w:t>Generates a correlation matrix heatmap and a clustered heatmap to visualize relationships among variables and similarities between regions.</w:t>
      </w:r>
    </w:p>
    <w:p w14:paraId="4250EA12" w14:textId="77777777" w:rsidR="00557BCF" w:rsidRPr="00557BCF" w:rsidRDefault="00557BCF" w:rsidP="002614F1">
      <w:pPr>
        <w:spacing w:after="0"/>
        <w:rPr>
          <w:rFonts w:ascii="Times New Roman" w:hAnsi="Times New Roman" w:cs="Times New Roman"/>
          <w:b/>
          <w:bCs/>
        </w:rPr>
      </w:pPr>
      <w:r w:rsidRPr="00557BCF">
        <w:rPr>
          <w:rFonts w:ascii="Times New Roman" w:hAnsi="Times New Roman" w:cs="Times New Roman"/>
          <w:b/>
          <w:bCs/>
        </w:rPr>
        <w:t>3. Results &amp; Conclusions</w:t>
      </w:r>
    </w:p>
    <w:p w14:paraId="353090ED" w14:textId="77777777" w:rsidR="00557BCF" w:rsidRPr="00557BCF" w:rsidRDefault="00557BCF" w:rsidP="002614F1">
      <w:pPr>
        <w:spacing w:after="0"/>
        <w:rPr>
          <w:rFonts w:ascii="Times New Roman" w:hAnsi="Times New Roman" w:cs="Times New Roman"/>
        </w:rPr>
      </w:pPr>
      <w:r w:rsidRPr="00557BCF">
        <w:rPr>
          <w:rFonts w:ascii="Times New Roman" w:hAnsi="Times New Roman" w:cs="Times New Roman"/>
          <w:b/>
          <w:bCs/>
        </w:rPr>
        <w:t>Outputs:</w:t>
      </w:r>
    </w:p>
    <w:p w14:paraId="2334AC84" w14:textId="77777777" w:rsidR="00557BCF" w:rsidRPr="00557BCF" w:rsidRDefault="00557BCF" w:rsidP="002614F1">
      <w:pPr>
        <w:numPr>
          <w:ilvl w:val="0"/>
          <w:numId w:val="7"/>
        </w:numPr>
        <w:spacing w:after="0"/>
        <w:rPr>
          <w:rFonts w:ascii="Times New Roman" w:hAnsi="Times New Roman" w:cs="Times New Roman"/>
        </w:rPr>
      </w:pPr>
      <w:r w:rsidRPr="00557BCF">
        <w:rPr>
          <w:rFonts w:ascii="Times New Roman" w:hAnsi="Times New Roman" w:cs="Times New Roman"/>
          <w:b/>
          <w:bCs/>
        </w:rPr>
        <w:t>Geospatial Products:</w:t>
      </w:r>
    </w:p>
    <w:p w14:paraId="36CB0451" w14:textId="77777777"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FERC_1000_Regions.geojson: Aggregated polygon geometries approximating the FERC Order 1000 planning regions.</w:t>
      </w:r>
    </w:p>
    <w:p w14:paraId="25717264" w14:textId="639AED03"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 xml:space="preserve">Individual region geometry </w:t>
      </w:r>
      <w:proofErr w:type="spellStart"/>
      <w:r w:rsidRPr="00557BCF">
        <w:rPr>
          <w:rFonts w:ascii="Times New Roman" w:hAnsi="Times New Roman" w:cs="Times New Roman"/>
        </w:rPr>
        <w:t>GeoJSONs</w:t>
      </w:r>
      <w:proofErr w:type="spellEnd"/>
      <w:r w:rsidRPr="00557BCF">
        <w:rPr>
          <w:rFonts w:ascii="Times New Roman" w:hAnsi="Times New Roman" w:cs="Times New Roman"/>
        </w:rPr>
        <w:t xml:space="preserve"> </w:t>
      </w:r>
    </w:p>
    <w:p w14:paraId="0C3E2D70" w14:textId="49836F5F"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 xml:space="preserve">Region-specific transmission line </w:t>
      </w:r>
      <w:proofErr w:type="spellStart"/>
      <w:r w:rsidRPr="00557BCF">
        <w:rPr>
          <w:rFonts w:ascii="Times New Roman" w:hAnsi="Times New Roman" w:cs="Times New Roman"/>
        </w:rPr>
        <w:t>GeoJSON</w:t>
      </w:r>
      <w:proofErr w:type="spellEnd"/>
      <w:r w:rsidRPr="00557BCF">
        <w:rPr>
          <w:rFonts w:ascii="Times New Roman" w:hAnsi="Times New Roman" w:cs="Times New Roman"/>
        </w:rPr>
        <w:t xml:space="preserve"> files </w:t>
      </w:r>
    </w:p>
    <w:p w14:paraId="4861E3A0" w14:textId="77777777" w:rsidR="00557BCF" w:rsidRPr="00557BCF" w:rsidRDefault="00557BCF" w:rsidP="002614F1">
      <w:pPr>
        <w:numPr>
          <w:ilvl w:val="0"/>
          <w:numId w:val="7"/>
        </w:numPr>
        <w:spacing w:after="0"/>
        <w:rPr>
          <w:rFonts w:ascii="Times New Roman" w:hAnsi="Times New Roman" w:cs="Times New Roman"/>
        </w:rPr>
      </w:pPr>
      <w:r w:rsidRPr="00557BCF">
        <w:rPr>
          <w:rFonts w:ascii="Times New Roman" w:hAnsi="Times New Roman" w:cs="Times New Roman"/>
          <w:b/>
          <w:bCs/>
        </w:rPr>
        <w:t>Analysis Products:</w:t>
      </w:r>
    </w:p>
    <w:p w14:paraId="34663247" w14:textId="51BF804B"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b/>
          <w:bCs/>
        </w:rPr>
        <w:t>Numeric Columns (e.g., VOLTAGE, YEAR, LOG_POWER_CAPACITY, LINE_LENGTH_MILES):</w:t>
      </w:r>
    </w:p>
    <w:p w14:paraId="4FA3A9F4"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lastRenderedPageBreak/>
        <w:t>Histograms with KDE overlays for distribution understanding.</w:t>
      </w:r>
    </w:p>
    <w:p w14:paraId="54BBDF83"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Boxplots for median, quartiles, and outlier detection.</w:t>
      </w:r>
    </w:p>
    <w:p w14:paraId="467A97AE"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KDE plots for smooth density estimation.</w:t>
      </w:r>
    </w:p>
    <w:p w14:paraId="6819C80C"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CDF plots to understand the cumulative distribution.</w:t>
      </w:r>
    </w:p>
    <w:p w14:paraId="401C6C65" w14:textId="77777777"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b/>
          <w:bCs/>
        </w:rPr>
        <w:t>Categorical Columns (e.g., STATUS, TYPE):</w:t>
      </w:r>
    </w:p>
    <w:p w14:paraId="1D773815"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Count plots (bar charts) to visualize frequency distribution.</w:t>
      </w:r>
    </w:p>
    <w:p w14:paraId="01AF4BDC"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Pie charts to visualize proportional breakdown of categories.</w:t>
      </w:r>
    </w:p>
    <w:p w14:paraId="3CFDDC50" w14:textId="750592A3"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b/>
          <w:bCs/>
        </w:rPr>
        <w:t>Geospatial Visualizations:</w:t>
      </w:r>
    </w:p>
    <w:p w14:paraId="71F9B50A" w14:textId="77777777" w:rsidR="00557BCF" w:rsidRPr="00557BCF"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Plots transmission lines for each region on a map.</w:t>
      </w:r>
    </w:p>
    <w:p w14:paraId="0FB50DDE" w14:textId="628D0E92" w:rsidR="00557BCF" w:rsidRPr="002614F1" w:rsidRDefault="00557BCF" w:rsidP="002614F1">
      <w:pPr>
        <w:numPr>
          <w:ilvl w:val="2"/>
          <w:numId w:val="7"/>
        </w:numPr>
        <w:spacing w:after="0"/>
        <w:rPr>
          <w:rFonts w:ascii="Times New Roman" w:hAnsi="Times New Roman" w:cs="Times New Roman"/>
        </w:rPr>
      </w:pPr>
      <w:r w:rsidRPr="00557BCF">
        <w:rPr>
          <w:rFonts w:ascii="Times New Roman" w:hAnsi="Times New Roman" w:cs="Times New Roman"/>
        </w:rPr>
        <w:t>Overlays region boundaries (in red) to show the spatial extent of the regions in relation to the transmission infrastructure.</w:t>
      </w:r>
    </w:p>
    <w:p w14:paraId="6E6644F8" w14:textId="4725C9A1"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 xml:space="preserve">A consolidated </w:t>
      </w:r>
      <w:proofErr w:type="spellStart"/>
      <w:r w:rsidRPr="00557BCF">
        <w:rPr>
          <w:rFonts w:ascii="Times New Roman" w:hAnsi="Times New Roman" w:cs="Times New Roman"/>
        </w:rPr>
        <w:t>DataFrame</w:t>
      </w:r>
      <w:proofErr w:type="spellEnd"/>
      <w:r w:rsidRPr="00557BCF">
        <w:rPr>
          <w:rFonts w:ascii="Times New Roman" w:hAnsi="Times New Roman" w:cs="Times New Roman"/>
        </w:rPr>
        <w:t xml:space="preserve"> (</w:t>
      </w:r>
      <w:proofErr w:type="spellStart"/>
      <w:r w:rsidRPr="00557BCF">
        <w:rPr>
          <w:rFonts w:ascii="Times New Roman" w:hAnsi="Times New Roman" w:cs="Times New Roman"/>
        </w:rPr>
        <w:t>summary_df</w:t>
      </w:r>
      <w:proofErr w:type="spellEnd"/>
      <w:r w:rsidRPr="00557BCF">
        <w:rPr>
          <w:rFonts w:ascii="Times New Roman" w:hAnsi="Times New Roman" w:cs="Times New Roman"/>
        </w:rPr>
        <w:t xml:space="preserve"> in SCRIPT 4) associating each region with demographic attributes and transmission infrastructure metrics.</w:t>
      </w:r>
    </w:p>
    <w:p w14:paraId="2B416EB9" w14:textId="77777777" w:rsidR="00557BCF" w:rsidRPr="002614F1"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Hierarchical clustering output: Dendrogram and identification of clusters among FERC regions.</w:t>
      </w:r>
    </w:p>
    <w:p w14:paraId="31C5D053" w14:textId="78B4A0B7" w:rsidR="00557BCF" w:rsidRPr="002614F1"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Dendrogram showing how regions group based on standardized features.</w:t>
      </w:r>
    </w:p>
    <w:p w14:paraId="7107B836" w14:textId="448688A3" w:rsidR="00557BCF" w:rsidRPr="002614F1"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Correlation heatmap highlighting relationships between variables like median income, total power capacity, and demographic percentages.</w:t>
      </w:r>
    </w:p>
    <w:p w14:paraId="6307EB86" w14:textId="7834AE4D" w:rsidR="00557BCF" w:rsidRPr="00557BCF" w:rsidRDefault="00557BCF" w:rsidP="002614F1">
      <w:pPr>
        <w:numPr>
          <w:ilvl w:val="1"/>
          <w:numId w:val="7"/>
        </w:numPr>
        <w:spacing w:after="0"/>
        <w:rPr>
          <w:rFonts w:ascii="Times New Roman" w:hAnsi="Times New Roman" w:cs="Times New Roman"/>
        </w:rPr>
      </w:pPr>
      <w:r w:rsidRPr="00557BCF">
        <w:rPr>
          <w:rFonts w:ascii="Times New Roman" w:hAnsi="Times New Roman" w:cs="Times New Roman"/>
        </w:rPr>
        <w:t>Clustered heatmap depicting region-to-region similarity patterns.</w:t>
      </w:r>
    </w:p>
    <w:p w14:paraId="4FA1D0EF" w14:textId="77777777" w:rsidR="002614F1" w:rsidRPr="002614F1" w:rsidRDefault="002614F1" w:rsidP="002614F1">
      <w:pPr>
        <w:spacing w:after="0"/>
        <w:rPr>
          <w:rFonts w:ascii="Times New Roman" w:hAnsi="Times New Roman" w:cs="Times New Roman"/>
          <w:b/>
          <w:bCs/>
        </w:rPr>
      </w:pPr>
      <w:r w:rsidRPr="002614F1">
        <w:rPr>
          <w:rFonts w:ascii="Times New Roman" w:hAnsi="Times New Roman" w:cs="Times New Roman"/>
          <w:b/>
          <w:bCs/>
        </w:rPr>
        <w:t>4. Future Work</w:t>
      </w:r>
    </w:p>
    <w:p w14:paraId="0DD94C6D" w14:textId="21B5EABC"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Interactive Tool Development:</w:t>
      </w:r>
      <w:r w:rsidRPr="002614F1">
        <w:rPr>
          <w:rFonts w:ascii="Times New Roman" w:hAnsi="Times New Roman" w:cs="Times New Roman"/>
          <w:b/>
          <w:bCs/>
        </w:rPr>
        <w:br/>
      </w:r>
      <w:r w:rsidRPr="002614F1">
        <w:rPr>
          <w:rFonts w:ascii="Times New Roman" w:hAnsi="Times New Roman" w:cs="Times New Roman"/>
        </w:rPr>
        <w:t xml:space="preserve">Build a </w:t>
      </w:r>
      <w:proofErr w:type="spellStart"/>
      <w:r w:rsidRPr="002614F1">
        <w:rPr>
          <w:rFonts w:ascii="Times New Roman" w:hAnsi="Times New Roman" w:cs="Times New Roman"/>
        </w:rPr>
        <w:t>Streamlit</w:t>
      </w:r>
      <w:proofErr w:type="spellEnd"/>
      <w:r w:rsidRPr="002614F1">
        <w:rPr>
          <w:rFonts w:ascii="Times New Roman" w:hAnsi="Times New Roman" w:cs="Times New Roman"/>
        </w:rPr>
        <w:t>-based application to allow users to explore and visualize processed data interactively, eventually integrating the tool into a personal website.</w:t>
      </w:r>
    </w:p>
    <w:p w14:paraId="64559EC7" w14:textId="2BFB8129"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Exporting and Using Probability Distribution Functions (PDFs):</w:t>
      </w:r>
      <w:r w:rsidRPr="002614F1">
        <w:rPr>
          <w:rFonts w:ascii="Times New Roman" w:hAnsi="Times New Roman" w:cs="Times New Roman"/>
          <w:b/>
          <w:bCs/>
        </w:rPr>
        <w:br/>
      </w:r>
      <w:r w:rsidR="00C26646">
        <w:rPr>
          <w:rFonts w:ascii="Times New Roman" w:hAnsi="Times New Roman" w:cs="Times New Roman"/>
        </w:rPr>
        <w:t>E</w:t>
      </w:r>
      <w:r w:rsidRPr="002614F1">
        <w:rPr>
          <w:rFonts w:ascii="Times New Roman" w:hAnsi="Times New Roman" w:cs="Times New Roman"/>
        </w:rPr>
        <w:t>xport PDFs for variables like power capacity and line lengths for use in modeling</w:t>
      </w:r>
      <w:r w:rsidR="00C26646">
        <w:rPr>
          <w:rFonts w:ascii="Times New Roman" w:hAnsi="Times New Roman" w:cs="Times New Roman"/>
        </w:rPr>
        <w:t>.</w:t>
      </w:r>
    </w:p>
    <w:p w14:paraId="43B92670" w14:textId="2DE15AED"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Expanding Data Integration:</w:t>
      </w:r>
      <w:r w:rsidRPr="002614F1">
        <w:rPr>
          <w:rFonts w:ascii="Times New Roman" w:hAnsi="Times New Roman" w:cs="Times New Roman"/>
          <w:b/>
          <w:bCs/>
        </w:rPr>
        <w:br/>
      </w:r>
      <w:r w:rsidRPr="002614F1">
        <w:rPr>
          <w:rFonts w:ascii="Times New Roman" w:hAnsi="Times New Roman" w:cs="Times New Roman"/>
        </w:rPr>
        <w:t xml:space="preserve">Incorporate additional variables such as renewable energy capacity, weather patterns, </w:t>
      </w:r>
      <w:r w:rsidR="00C26646">
        <w:rPr>
          <w:rFonts w:ascii="Times New Roman" w:hAnsi="Times New Roman" w:cs="Times New Roman"/>
        </w:rPr>
        <w:t>etc.</w:t>
      </w:r>
    </w:p>
    <w:p w14:paraId="310470FA" w14:textId="2F1A2788"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Advanced Clustering:</w:t>
      </w:r>
      <w:r w:rsidRPr="002614F1">
        <w:rPr>
          <w:rFonts w:ascii="Times New Roman" w:hAnsi="Times New Roman" w:cs="Times New Roman"/>
          <w:b/>
          <w:bCs/>
        </w:rPr>
        <w:br/>
      </w:r>
      <w:r w:rsidRPr="002614F1">
        <w:rPr>
          <w:rFonts w:ascii="Times New Roman" w:hAnsi="Times New Roman" w:cs="Times New Roman"/>
        </w:rPr>
        <w:t xml:space="preserve">Conduct more granular clustering analyses by state </w:t>
      </w:r>
      <w:r w:rsidR="00C26646">
        <w:rPr>
          <w:rFonts w:ascii="Times New Roman" w:hAnsi="Times New Roman" w:cs="Times New Roman"/>
        </w:rPr>
        <w:t>within FERC regions</w:t>
      </w:r>
    </w:p>
    <w:p w14:paraId="126EFBF1" w14:textId="77777777" w:rsidR="002614F1" w:rsidRPr="002614F1" w:rsidRDefault="002614F1" w:rsidP="002614F1">
      <w:pPr>
        <w:pStyle w:val="ListParagraph"/>
        <w:numPr>
          <w:ilvl w:val="0"/>
          <w:numId w:val="12"/>
        </w:numPr>
        <w:spacing w:after="0"/>
        <w:rPr>
          <w:rFonts w:ascii="Times New Roman" w:hAnsi="Times New Roman" w:cs="Times New Roman"/>
        </w:rPr>
      </w:pPr>
      <w:r w:rsidRPr="002614F1">
        <w:rPr>
          <w:rFonts w:ascii="Times New Roman" w:hAnsi="Times New Roman" w:cs="Times New Roman"/>
          <w:b/>
          <w:bCs/>
        </w:rPr>
        <w:t>Policy and Modeling Applications:</w:t>
      </w:r>
      <w:r w:rsidRPr="002614F1">
        <w:rPr>
          <w:rFonts w:ascii="Times New Roman" w:hAnsi="Times New Roman" w:cs="Times New Roman"/>
          <w:b/>
          <w:bCs/>
        </w:rPr>
        <w:br/>
      </w:r>
      <w:r w:rsidRPr="002614F1">
        <w:rPr>
          <w:rFonts w:ascii="Times New Roman" w:hAnsi="Times New Roman" w:cs="Times New Roman"/>
        </w:rPr>
        <w:t>Use the processed datasets and insights for research on transmission expansion, grid reliability, and renewable energy integration to inform energy policy decisions.</w:t>
      </w:r>
    </w:p>
    <w:p w14:paraId="4ACB4E21" w14:textId="77777777" w:rsidR="002614F1" w:rsidRDefault="002614F1" w:rsidP="002614F1">
      <w:pPr>
        <w:spacing w:after="0"/>
        <w:rPr>
          <w:rFonts w:ascii="Times New Roman" w:hAnsi="Times New Roman" w:cs="Times New Roman"/>
        </w:rPr>
      </w:pPr>
    </w:p>
    <w:p w14:paraId="4F725F50" w14:textId="7B20E5DE" w:rsidR="002614F1" w:rsidRPr="002614F1" w:rsidRDefault="002614F1" w:rsidP="002614F1">
      <w:pPr>
        <w:pStyle w:val="ListParagraph"/>
        <w:spacing w:after="0"/>
        <w:rPr>
          <w:rFonts w:ascii="Times New Roman" w:hAnsi="Times New Roman" w:cs="Times New Roman"/>
        </w:rPr>
      </w:pPr>
    </w:p>
    <w:p w14:paraId="3523B70C" w14:textId="46C40D37" w:rsidR="00557BCF" w:rsidRPr="002614F1" w:rsidRDefault="00557BCF" w:rsidP="002614F1">
      <w:pPr>
        <w:spacing w:after="0"/>
        <w:rPr>
          <w:rFonts w:ascii="Times New Roman" w:hAnsi="Times New Roman" w:cs="Times New Roman"/>
          <w:b/>
          <w:bCs/>
        </w:rPr>
      </w:pPr>
    </w:p>
    <w:sectPr w:rsidR="00557BCF" w:rsidRPr="002614F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1B55A" w14:textId="77777777" w:rsidR="00F52D54" w:rsidRDefault="00F52D54" w:rsidP="00557BCF">
      <w:pPr>
        <w:spacing w:after="0" w:line="240" w:lineRule="auto"/>
      </w:pPr>
      <w:r>
        <w:separator/>
      </w:r>
    </w:p>
  </w:endnote>
  <w:endnote w:type="continuationSeparator" w:id="0">
    <w:p w14:paraId="4E33904E" w14:textId="77777777" w:rsidR="00F52D54" w:rsidRDefault="00F52D54" w:rsidP="0055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C0034" w14:textId="77777777" w:rsidR="00F52D54" w:rsidRDefault="00F52D54" w:rsidP="00557BCF">
      <w:pPr>
        <w:spacing w:after="0" w:line="240" w:lineRule="auto"/>
      </w:pPr>
      <w:r>
        <w:separator/>
      </w:r>
    </w:p>
  </w:footnote>
  <w:footnote w:type="continuationSeparator" w:id="0">
    <w:p w14:paraId="21D5F993" w14:textId="77777777" w:rsidR="00F52D54" w:rsidRDefault="00F52D54" w:rsidP="00557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69252752"/>
      <w:docPartObj>
        <w:docPartGallery w:val="Page Numbers (Top of Page)"/>
        <w:docPartUnique/>
      </w:docPartObj>
    </w:sdtPr>
    <w:sdtContent>
      <w:p w14:paraId="7502CB59" w14:textId="3D0622DE" w:rsidR="00557BCF" w:rsidRDefault="00557BCF" w:rsidP="007104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CCB511" w14:textId="77777777" w:rsidR="00557BCF" w:rsidRDefault="00557BCF" w:rsidP="00557B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5057978"/>
      <w:docPartObj>
        <w:docPartGallery w:val="Page Numbers (Top of Page)"/>
        <w:docPartUnique/>
      </w:docPartObj>
    </w:sdtPr>
    <w:sdtContent>
      <w:p w14:paraId="4CD24EC7" w14:textId="39C2CC9E" w:rsidR="00557BCF" w:rsidRDefault="00557BCF" w:rsidP="007104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0FF494" w14:textId="5004FCBD" w:rsidR="00557BCF" w:rsidRDefault="00557BCF" w:rsidP="00557BCF">
    <w:pPr>
      <w:pStyle w:val="Header"/>
      <w:ind w:right="360"/>
    </w:pPr>
    <w:r>
      <w:t>Andrew Igdal</w:t>
    </w:r>
    <w:r>
      <w:tab/>
      <w:t>ME397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C82"/>
    <w:multiLevelType w:val="multilevel"/>
    <w:tmpl w:val="C36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5651"/>
    <w:multiLevelType w:val="multilevel"/>
    <w:tmpl w:val="5D34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06EE2"/>
    <w:multiLevelType w:val="multilevel"/>
    <w:tmpl w:val="580C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673EC"/>
    <w:multiLevelType w:val="multilevel"/>
    <w:tmpl w:val="E27A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83DCD"/>
    <w:multiLevelType w:val="multilevel"/>
    <w:tmpl w:val="2F203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54C39"/>
    <w:multiLevelType w:val="multilevel"/>
    <w:tmpl w:val="2F203D0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2253C13"/>
    <w:multiLevelType w:val="multilevel"/>
    <w:tmpl w:val="C04C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726BC"/>
    <w:multiLevelType w:val="multilevel"/>
    <w:tmpl w:val="683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E357F"/>
    <w:multiLevelType w:val="multilevel"/>
    <w:tmpl w:val="F116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35503"/>
    <w:multiLevelType w:val="hybridMultilevel"/>
    <w:tmpl w:val="C3B69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8C02E3"/>
    <w:multiLevelType w:val="multilevel"/>
    <w:tmpl w:val="D33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52377"/>
    <w:multiLevelType w:val="multilevel"/>
    <w:tmpl w:val="709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209648">
    <w:abstractNumId w:val="1"/>
  </w:num>
  <w:num w:numId="2" w16cid:durableId="570703566">
    <w:abstractNumId w:val="8"/>
  </w:num>
  <w:num w:numId="3" w16cid:durableId="2125424151">
    <w:abstractNumId w:val="2"/>
  </w:num>
  <w:num w:numId="4" w16cid:durableId="139003726">
    <w:abstractNumId w:val="7"/>
  </w:num>
  <w:num w:numId="5" w16cid:durableId="1224371904">
    <w:abstractNumId w:val="10"/>
  </w:num>
  <w:num w:numId="6" w16cid:durableId="1212687889">
    <w:abstractNumId w:val="0"/>
  </w:num>
  <w:num w:numId="7" w16cid:durableId="543907377">
    <w:abstractNumId w:val="6"/>
  </w:num>
  <w:num w:numId="8" w16cid:durableId="2085839547">
    <w:abstractNumId w:val="3"/>
  </w:num>
  <w:num w:numId="9" w16cid:durableId="789518887">
    <w:abstractNumId w:val="11"/>
  </w:num>
  <w:num w:numId="10" w16cid:durableId="1485048527">
    <w:abstractNumId w:val="4"/>
  </w:num>
  <w:num w:numId="11" w16cid:durableId="1776829189">
    <w:abstractNumId w:val="5"/>
  </w:num>
  <w:num w:numId="12" w16cid:durableId="53703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CF"/>
    <w:rsid w:val="000E0EC2"/>
    <w:rsid w:val="002614F1"/>
    <w:rsid w:val="00557BCF"/>
    <w:rsid w:val="00617BCC"/>
    <w:rsid w:val="00C26646"/>
    <w:rsid w:val="00D03039"/>
    <w:rsid w:val="00E725C7"/>
    <w:rsid w:val="00F5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1D3"/>
  <w15:chartTrackingRefBased/>
  <w15:docId w15:val="{946152B2-6DEB-A449-A98C-E64EECCF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BCF"/>
    <w:rPr>
      <w:rFonts w:eastAsiaTheme="majorEastAsia" w:cstheme="majorBidi"/>
      <w:color w:val="272727" w:themeColor="text1" w:themeTint="D8"/>
    </w:rPr>
  </w:style>
  <w:style w:type="paragraph" w:styleId="Title">
    <w:name w:val="Title"/>
    <w:basedOn w:val="Normal"/>
    <w:next w:val="Normal"/>
    <w:link w:val="TitleChar"/>
    <w:uiPriority w:val="10"/>
    <w:qFormat/>
    <w:rsid w:val="0055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BCF"/>
    <w:pPr>
      <w:spacing w:before="160"/>
      <w:jc w:val="center"/>
    </w:pPr>
    <w:rPr>
      <w:i/>
      <w:iCs/>
      <w:color w:val="404040" w:themeColor="text1" w:themeTint="BF"/>
    </w:rPr>
  </w:style>
  <w:style w:type="character" w:customStyle="1" w:styleId="QuoteChar">
    <w:name w:val="Quote Char"/>
    <w:basedOn w:val="DefaultParagraphFont"/>
    <w:link w:val="Quote"/>
    <w:uiPriority w:val="29"/>
    <w:rsid w:val="00557BCF"/>
    <w:rPr>
      <w:i/>
      <w:iCs/>
      <w:color w:val="404040" w:themeColor="text1" w:themeTint="BF"/>
    </w:rPr>
  </w:style>
  <w:style w:type="paragraph" w:styleId="ListParagraph">
    <w:name w:val="List Paragraph"/>
    <w:basedOn w:val="Normal"/>
    <w:uiPriority w:val="34"/>
    <w:qFormat/>
    <w:rsid w:val="00557BCF"/>
    <w:pPr>
      <w:ind w:left="720"/>
      <w:contextualSpacing/>
    </w:pPr>
  </w:style>
  <w:style w:type="character" w:styleId="IntenseEmphasis">
    <w:name w:val="Intense Emphasis"/>
    <w:basedOn w:val="DefaultParagraphFont"/>
    <w:uiPriority w:val="21"/>
    <w:qFormat/>
    <w:rsid w:val="00557BCF"/>
    <w:rPr>
      <w:i/>
      <w:iCs/>
      <w:color w:val="0F4761" w:themeColor="accent1" w:themeShade="BF"/>
    </w:rPr>
  </w:style>
  <w:style w:type="paragraph" w:styleId="IntenseQuote">
    <w:name w:val="Intense Quote"/>
    <w:basedOn w:val="Normal"/>
    <w:next w:val="Normal"/>
    <w:link w:val="IntenseQuoteChar"/>
    <w:uiPriority w:val="30"/>
    <w:qFormat/>
    <w:rsid w:val="0055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BCF"/>
    <w:rPr>
      <w:i/>
      <w:iCs/>
      <w:color w:val="0F4761" w:themeColor="accent1" w:themeShade="BF"/>
    </w:rPr>
  </w:style>
  <w:style w:type="character" w:styleId="IntenseReference">
    <w:name w:val="Intense Reference"/>
    <w:basedOn w:val="DefaultParagraphFont"/>
    <w:uiPriority w:val="32"/>
    <w:qFormat/>
    <w:rsid w:val="00557BCF"/>
    <w:rPr>
      <w:b/>
      <w:bCs/>
      <w:smallCaps/>
      <w:color w:val="0F4761" w:themeColor="accent1" w:themeShade="BF"/>
      <w:spacing w:val="5"/>
    </w:rPr>
  </w:style>
  <w:style w:type="paragraph" w:styleId="Header">
    <w:name w:val="header"/>
    <w:basedOn w:val="Normal"/>
    <w:link w:val="HeaderChar"/>
    <w:uiPriority w:val="99"/>
    <w:unhideWhenUsed/>
    <w:rsid w:val="00557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BCF"/>
  </w:style>
  <w:style w:type="paragraph" w:styleId="Footer">
    <w:name w:val="footer"/>
    <w:basedOn w:val="Normal"/>
    <w:link w:val="FooterChar"/>
    <w:uiPriority w:val="99"/>
    <w:unhideWhenUsed/>
    <w:rsid w:val="00557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BCF"/>
  </w:style>
  <w:style w:type="character" w:styleId="PageNumber">
    <w:name w:val="page number"/>
    <w:basedOn w:val="DefaultParagraphFont"/>
    <w:uiPriority w:val="99"/>
    <w:semiHidden/>
    <w:unhideWhenUsed/>
    <w:rsid w:val="00557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306">
      <w:bodyDiv w:val="1"/>
      <w:marLeft w:val="0"/>
      <w:marRight w:val="0"/>
      <w:marTop w:val="0"/>
      <w:marBottom w:val="0"/>
      <w:divBdr>
        <w:top w:val="none" w:sz="0" w:space="0" w:color="auto"/>
        <w:left w:val="none" w:sz="0" w:space="0" w:color="auto"/>
        <w:bottom w:val="none" w:sz="0" w:space="0" w:color="auto"/>
        <w:right w:val="none" w:sz="0" w:space="0" w:color="auto"/>
      </w:divBdr>
    </w:div>
    <w:div w:id="41827557">
      <w:bodyDiv w:val="1"/>
      <w:marLeft w:val="0"/>
      <w:marRight w:val="0"/>
      <w:marTop w:val="0"/>
      <w:marBottom w:val="0"/>
      <w:divBdr>
        <w:top w:val="none" w:sz="0" w:space="0" w:color="auto"/>
        <w:left w:val="none" w:sz="0" w:space="0" w:color="auto"/>
        <w:bottom w:val="none" w:sz="0" w:space="0" w:color="auto"/>
        <w:right w:val="none" w:sz="0" w:space="0" w:color="auto"/>
      </w:divBdr>
    </w:div>
    <w:div w:id="269506415">
      <w:bodyDiv w:val="1"/>
      <w:marLeft w:val="0"/>
      <w:marRight w:val="0"/>
      <w:marTop w:val="0"/>
      <w:marBottom w:val="0"/>
      <w:divBdr>
        <w:top w:val="none" w:sz="0" w:space="0" w:color="auto"/>
        <w:left w:val="none" w:sz="0" w:space="0" w:color="auto"/>
        <w:bottom w:val="none" w:sz="0" w:space="0" w:color="auto"/>
        <w:right w:val="none" w:sz="0" w:space="0" w:color="auto"/>
      </w:divBdr>
    </w:div>
    <w:div w:id="339358610">
      <w:bodyDiv w:val="1"/>
      <w:marLeft w:val="0"/>
      <w:marRight w:val="0"/>
      <w:marTop w:val="0"/>
      <w:marBottom w:val="0"/>
      <w:divBdr>
        <w:top w:val="none" w:sz="0" w:space="0" w:color="auto"/>
        <w:left w:val="none" w:sz="0" w:space="0" w:color="auto"/>
        <w:bottom w:val="none" w:sz="0" w:space="0" w:color="auto"/>
        <w:right w:val="none" w:sz="0" w:space="0" w:color="auto"/>
      </w:divBdr>
    </w:div>
    <w:div w:id="365254350">
      <w:bodyDiv w:val="1"/>
      <w:marLeft w:val="0"/>
      <w:marRight w:val="0"/>
      <w:marTop w:val="0"/>
      <w:marBottom w:val="0"/>
      <w:divBdr>
        <w:top w:val="none" w:sz="0" w:space="0" w:color="auto"/>
        <w:left w:val="none" w:sz="0" w:space="0" w:color="auto"/>
        <w:bottom w:val="none" w:sz="0" w:space="0" w:color="auto"/>
        <w:right w:val="none" w:sz="0" w:space="0" w:color="auto"/>
      </w:divBdr>
    </w:div>
    <w:div w:id="838429741">
      <w:bodyDiv w:val="1"/>
      <w:marLeft w:val="0"/>
      <w:marRight w:val="0"/>
      <w:marTop w:val="0"/>
      <w:marBottom w:val="0"/>
      <w:divBdr>
        <w:top w:val="none" w:sz="0" w:space="0" w:color="auto"/>
        <w:left w:val="none" w:sz="0" w:space="0" w:color="auto"/>
        <w:bottom w:val="none" w:sz="0" w:space="0" w:color="auto"/>
        <w:right w:val="none" w:sz="0" w:space="0" w:color="auto"/>
      </w:divBdr>
    </w:div>
    <w:div w:id="911499654">
      <w:bodyDiv w:val="1"/>
      <w:marLeft w:val="0"/>
      <w:marRight w:val="0"/>
      <w:marTop w:val="0"/>
      <w:marBottom w:val="0"/>
      <w:divBdr>
        <w:top w:val="none" w:sz="0" w:space="0" w:color="auto"/>
        <w:left w:val="none" w:sz="0" w:space="0" w:color="auto"/>
        <w:bottom w:val="none" w:sz="0" w:space="0" w:color="auto"/>
        <w:right w:val="none" w:sz="0" w:space="0" w:color="auto"/>
      </w:divBdr>
    </w:div>
    <w:div w:id="1168399073">
      <w:bodyDiv w:val="1"/>
      <w:marLeft w:val="0"/>
      <w:marRight w:val="0"/>
      <w:marTop w:val="0"/>
      <w:marBottom w:val="0"/>
      <w:divBdr>
        <w:top w:val="none" w:sz="0" w:space="0" w:color="auto"/>
        <w:left w:val="none" w:sz="0" w:space="0" w:color="auto"/>
        <w:bottom w:val="none" w:sz="0" w:space="0" w:color="auto"/>
        <w:right w:val="none" w:sz="0" w:space="0" w:color="auto"/>
      </w:divBdr>
    </w:div>
    <w:div w:id="1251426546">
      <w:bodyDiv w:val="1"/>
      <w:marLeft w:val="0"/>
      <w:marRight w:val="0"/>
      <w:marTop w:val="0"/>
      <w:marBottom w:val="0"/>
      <w:divBdr>
        <w:top w:val="none" w:sz="0" w:space="0" w:color="auto"/>
        <w:left w:val="none" w:sz="0" w:space="0" w:color="auto"/>
        <w:bottom w:val="none" w:sz="0" w:space="0" w:color="auto"/>
        <w:right w:val="none" w:sz="0" w:space="0" w:color="auto"/>
      </w:divBdr>
    </w:div>
    <w:div w:id="1269267435">
      <w:bodyDiv w:val="1"/>
      <w:marLeft w:val="0"/>
      <w:marRight w:val="0"/>
      <w:marTop w:val="0"/>
      <w:marBottom w:val="0"/>
      <w:divBdr>
        <w:top w:val="none" w:sz="0" w:space="0" w:color="auto"/>
        <w:left w:val="none" w:sz="0" w:space="0" w:color="auto"/>
        <w:bottom w:val="none" w:sz="0" w:space="0" w:color="auto"/>
        <w:right w:val="none" w:sz="0" w:space="0" w:color="auto"/>
      </w:divBdr>
    </w:div>
    <w:div w:id="1271429451">
      <w:bodyDiv w:val="1"/>
      <w:marLeft w:val="0"/>
      <w:marRight w:val="0"/>
      <w:marTop w:val="0"/>
      <w:marBottom w:val="0"/>
      <w:divBdr>
        <w:top w:val="none" w:sz="0" w:space="0" w:color="auto"/>
        <w:left w:val="none" w:sz="0" w:space="0" w:color="auto"/>
        <w:bottom w:val="none" w:sz="0" w:space="0" w:color="auto"/>
        <w:right w:val="none" w:sz="0" w:space="0" w:color="auto"/>
      </w:divBdr>
    </w:div>
    <w:div w:id="1274632715">
      <w:bodyDiv w:val="1"/>
      <w:marLeft w:val="0"/>
      <w:marRight w:val="0"/>
      <w:marTop w:val="0"/>
      <w:marBottom w:val="0"/>
      <w:divBdr>
        <w:top w:val="none" w:sz="0" w:space="0" w:color="auto"/>
        <w:left w:val="none" w:sz="0" w:space="0" w:color="auto"/>
        <w:bottom w:val="none" w:sz="0" w:space="0" w:color="auto"/>
        <w:right w:val="none" w:sz="0" w:space="0" w:color="auto"/>
      </w:divBdr>
    </w:div>
    <w:div w:id="1651518143">
      <w:bodyDiv w:val="1"/>
      <w:marLeft w:val="0"/>
      <w:marRight w:val="0"/>
      <w:marTop w:val="0"/>
      <w:marBottom w:val="0"/>
      <w:divBdr>
        <w:top w:val="none" w:sz="0" w:space="0" w:color="auto"/>
        <w:left w:val="none" w:sz="0" w:space="0" w:color="auto"/>
        <w:bottom w:val="none" w:sz="0" w:space="0" w:color="auto"/>
        <w:right w:val="none" w:sz="0" w:space="0" w:color="auto"/>
      </w:divBdr>
    </w:div>
    <w:div w:id="18319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Igdal, Andrew</dc:creator>
  <cp:keywords/>
  <dc:description/>
  <cp:lastModifiedBy>Igdal, Andrew</cp:lastModifiedBy>
  <cp:revision>2</cp:revision>
  <dcterms:created xsi:type="dcterms:W3CDTF">2024-12-09T17:21:00Z</dcterms:created>
  <dcterms:modified xsi:type="dcterms:W3CDTF">2024-12-10T14:01:00Z</dcterms:modified>
</cp:coreProperties>
</file>