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i w:val="0"/>
          <w:color w:val="000000"/>
          <w:sz w:val="46"/>
        </w:rPr>
        <w:t>澄湾科技可持续发展政策与目标</w:t>
      </w:r>
    </w:p>
    <w:p>
      <w:pPr>
        <w:spacing w:after="280"/>
      </w:pPr>
      <w:r>
        <w:rPr>
          <w:rFonts w:ascii="Microsoft YaHei" w:hAnsi="Microsoft YaHei" w:eastAsia="Microsoft YaHei"/>
          <w:b w:val="0"/>
          <w:i w:val="0"/>
          <w:color w:val="444444"/>
          <w:sz w:val="26"/>
        </w:rPr>
        <w:t>董事会批准版本（模拟）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生效日期：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2025-03-20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责任部门：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可持续发展部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适用范围：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澄湾科技运营控制范围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复审周期：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每年一次</w:t>
      </w:r>
    </w:p>
    <w:p>
      <w:pPr>
        <w:spacing w:before="200" w:after="240"/>
      </w:pPr>
      <w:r>
        <w:rPr>
          <w:rFonts w:ascii="Microsoft YaHei" w:hAnsi="Microsoft YaHei" w:eastAsia="Microsoft YaHei"/>
          <w:b/>
          <w:i w:val="0"/>
          <w:color w:val="7A5A00"/>
          <w:sz w:val="19"/>
        </w:rPr>
        <w:t>提示：本文档中的企业、地点、人员、数值和结论均为模拟内容。</w:t>
      </w:r>
    </w:p>
    <w:p>
      <w:pPr>
        <w:pStyle w:val="Heading1"/>
      </w:pPr>
      <w:r>
        <w:t>1. 政策承诺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公司承诺在遵守适用法律法规的基础上，提升能源与资源效率，减少温室气体排放，保护员工健康安全，推动负责任采购，并以审慎、可追溯的方式公开可持续发展信息。发生数据不确定、口径调整或目标偏离时，公司应说明原因，不得将估算值表述为已核实事实。</w:t>
      </w:r>
    </w:p>
    <w:p>
      <w:pPr>
        <w:pStyle w:val="Heading1"/>
      </w:pPr>
      <w:r>
        <w:t>2. 目标与 2025 年进展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1900"/>
        <w:gridCol w:w="2500"/>
        <w:gridCol w:w="12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议题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基准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2030 目标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2025 进展</w:t>
            </w:r>
          </w:p>
        </w:tc>
        <w:tc>
          <w:tcPr>
            <w:tcW w:type="dxa" w:w="1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状态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范围一与二（市场法）排放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2023：11,300 tCO2e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绝对量下降 35%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9,040 tCO2e；下降 20.0%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按计划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可再生能源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2023：14.1%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占总能耗 60%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30.0%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按计划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生产废弃物资源化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2023：89.0%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达到 95%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92.6%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按计划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产品平均再生材料占比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2023：58%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达到 80%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67%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需加速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TRIR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2023：0.83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低于 0.40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0.58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需加速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高风险供应商整改关闭率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2024：75%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达到 100%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83.3%（10/12）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需加速</w:t>
            </w:r>
          </w:p>
        </w:tc>
      </w:tr>
    </w:tbl>
    <w:p>
      <w:pPr>
        <w:spacing w:after="20"/>
      </w:pPr>
    </w:p>
    <w:p>
      <w:pPr>
        <w:pStyle w:val="Heading1"/>
      </w:pPr>
      <w:r>
        <w:t>3. 环境与气候行动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2025 年公司完成 2.4 MW 屋顶光伏并网、采购 3,100 MWh 绿电，优化两条挤出线温控，并用闭式循环水替代部分一次冷却水。范围三数据仍是筛查结果，不能与范围一、范围二等同表述。</w:t>
      </w:r>
    </w:p>
    <w:p>
      <w:pPr>
        <w:pStyle w:val="Heading1"/>
      </w:pPr>
      <w:r>
        <w:t>4. 人员、安全与供应链行动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公司执行班前风险确认、承包商入场培训和高风险作业许可。采购部门对 78 家高风险供应商开展文件评估或现场审核，提出 12 项整改要求，其中 10 项于年末前关闭。生活工资覆盖率和分包商安全数据尚未形成统一口径。</w:t>
      </w:r>
    </w:p>
    <w:p>
      <w:pPr>
        <w:pStyle w:val="Heading1"/>
      </w:pPr>
      <w:r>
        <w:t>5. 目标治理与调整机制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可持续发展与风险委员会每季度审阅目标进展。若发生重大并购、组织边界变化、排放因子更新或基准年数据错误，公司应评估是否重算基准，并在报告中披露原因和影响。2025 年未发生基准年重算。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6666"/>
        <w:sz w:val="18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i w:val="0"/>
        <w:color w:val="666666"/>
        <w:sz w:val="18"/>
      </w:rPr>
      <w:t>政策与目标  |  完全虚构测试资料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