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YaHei" w:hAnsi="Microsoft YaHei" w:eastAsia="Microsoft YaHei"/>
          <w:b/>
          <w:i w:val="0"/>
          <w:color w:val="000000"/>
          <w:sz w:val="46"/>
        </w:rPr>
        <w:t>澄湾科技供应链与商业道德资料</w:t>
      </w:r>
    </w:p>
    <w:p>
      <w:pPr>
        <w:spacing w:after="280"/>
      </w:pPr>
      <w:r>
        <w:rPr>
          <w:rFonts w:ascii="Microsoft YaHei" w:hAnsi="Microsoft YaHei" w:eastAsia="Microsoft YaHei"/>
          <w:b w:val="0"/>
          <w:i w:val="0"/>
          <w:color w:val="444444"/>
          <w:sz w:val="26"/>
        </w:rPr>
        <w:t>2025 年度内部汇总</w:t>
      </w:r>
    </w:p>
    <w:p>
      <w:pPr>
        <w:spacing w:after="40"/>
      </w:pPr>
      <w:r>
        <w:rPr>
          <w:rFonts w:ascii="Microsoft YaHei" w:hAnsi="Microsoft YaHei" w:eastAsia="Microsoft YaHei"/>
          <w:b/>
          <w:i w:val="0"/>
          <w:color w:val="000000"/>
          <w:sz w:val="22"/>
        </w:rPr>
        <w:t>责任部门：</w:t>
      </w:r>
      <w:r>
        <w:rPr>
          <w:rFonts w:ascii="Microsoft YaHei" w:hAnsi="Microsoft YaHei" w:eastAsia="Microsoft YaHei"/>
          <w:b w:val="0"/>
          <w:i w:val="0"/>
          <w:color w:val="000000"/>
          <w:sz w:val="22"/>
        </w:rPr>
        <w:t>采购中心 / 法务与合规部</w:t>
      </w:r>
    </w:p>
    <w:p>
      <w:pPr>
        <w:spacing w:after="40"/>
      </w:pPr>
      <w:r>
        <w:rPr>
          <w:rFonts w:ascii="Microsoft YaHei" w:hAnsi="Microsoft YaHei" w:eastAsia="Microsoft YaHei"/>
          <w:b/>
          <w:i w:val="0"/>
          <w:color w:val="000000"/>
          <w:sz w:val="22"/>
        </w:rPr>
        <w:t>统计日期：</w:t>
      </w:r>
      <w:r>
        <w:rPr>
          <w:rFonts w:ascii="Microsoft YaHei" w:hAnsi="Microsoft YaHei" w:eastAsia="Microsoft YaHei"/>
          <w:b w:val="0"/>
          <w:i w:val="0"/>
          <w:color w:val="000000"/>
          <w:sz w:val="22"/>
        </w:rPr>
        <w:t>2025-12-31</w:t>
      </w:r>
    </w:p>
    <w:p>
      <w:pPr>
        <w:spacing w:after="40"/>
      </w:pPr>
      <w:r>
        <w:rPr>
          <w:rFonts w:ascii="Microsoft YaHei" w:hAnsi="Microsoft YaHei" w:eastAsia="Microsoft YaHei"/>
          <w:b/>
          <w:i w:val="0"/>
          <w:color w:val="000000"/>
          <w:sz w:val="22"/>
        </w:rPr>
        <w:t>内部复核：</w:t>
      </w:r>
      <w:r>
        <w:rPr>
          <w:rFonts w:ascii="Microsoft YaHei" w:hAnsi="Microsoft YaHei" w:eastAsia="Microsoft YaHei"/>
          <w:b w:val="0"/>
          <w:i w:val="0"/>
          <w:color w:val="000000"/>
          <w:sz w:val="22"/>
        </w:rPr>
        <w:t>采购总监与合规负责人</w:t>
      </w:r>
    </w:p>
    <w:p>
      <w:pPr>
        <w:spacing w:before="200" w:after="240"/>
      </w:pPr>
      <w:r>
        <w:rPr>
          <w:rFonts w:ascii="Microsoft YaHei" w:hAnsi="Microsoft YaHei" w:eastAsia="Microsoft YaHei"/>
          <w:b/>
          <w:i w:val="0"/>
          <w:color w:val="7A5A00"/>
          <w:sz w:val="19"/>
        </w:rPr>
        <w:t>提示：本文档中的企业、地点、人员、数值和结论均为模拟内容。</w:t>
      </w:r>
    </w:p>
    <w:p>
      <w:pPr>
        <w:pStyle w:val="Heading1"/>
      </w:pPr>
      <w:r>
        <w:t>1. 供应商管理</w:t>
      </w:r>
    </w:p>
    <w:tbl>
      <w:tblPr>
        <w:tblStyle w:val="TableGrid"/>
        <w:tblW w:type="dxa" w:w="9360"/>
        <w:jc w:val="left"/>
        <w:tblLayout w:type="fixed"/>
        <w:tblLook w:firstColumn="1" w:firstRow="1" w:lastColumn="0" w:lastRow="0" w:noHBand="0" w:noVBand="1" w:val="04A0"/>
        <w:tblInd w:w="120" w:type="dxa"/>
      </w:tblPr>
      <w:tblGrid>
        <w:gridCol w:w="3000"/>
        <w:gridCol w:w="1200"/>
        <w:gridCol w:w="1200"/>
        <w:gridCol w:w="3960"/>
      </w:tblGrid>
      <w:tr>
        <w:tc>
          <w:tcPr>
            <w:tcW w:type="dxa" w:w="3000"/>
            <w:shd w:fill="F2F4F7"/>
            <w:vAlign w:val="center"/>
            <w:tcMar>
              <w:top w:w="80" w:type="dxa"/>
              <w:start w:w="120" w:type="dxa"/>
              <w:bottom w:w="80" w:type="dxa"/>
              <w:end w:w="120" w:type="dxa"/>
            </w:tcMar>
          </w:tcPr>
          <w:p>
            <w:pPr>
              <w:jc w:val="center"/>
            </w:pPr>
            <w:r>
              <w:rPr>
                <w:rFonts w:ascii="Microsoft YaHei" w:hAnsi="Microsoft YaHei" w:eastAsia="Microsoft YaHei"/>
                <w:b/>
                <w:i w:val="0"/>
                <w:color w:val="000000"/>
                <w:sz w:val="19"/>
              </w:rPr>
              <w:t>指标</w:t>
            </w:r>
          </w:p>
        </w:tc>
        <w:tc>
          <w:tcPr>
            <w:tcW w:type="dxa" w:w="1200"/>
            <w:shd w:fill="F2F4F7"/>
            <w:vAlign w:val="center"/>
            <w:tcMar>
              <w:top w:w="80" w:type="dxa"/>
              <w:start w:w="120" w:type="dxa"/>
              <w:bottom w:w="80" w:type="dxa"/>
              <w:end w:w="120" w:type="dxa"/>
            </w:tcMar>
          </w:tcPr>
          <w:p>
            <w:pPr>
              <w:jc w:val="center"/>
            </w:pPr>
            <w:r>
              <w:rPr>
                <w:rFonts w:ascii="Microsoft YaHei" w:hAnsi="Microsoft YaHei" w:eastAsia="Microsoft YaHei"/>
                <w:b/>
                <w:i w:val="0"/>
                <w:color w:val="000000"/>
                <w:sz w:val="19"/>
              </w:rPr>
              <w:t>2024</w:t>
            </w:r>
          </w:p>
        </w:tc>
        <w:tc>
          <w:tcPr>
            <w:tcW w:type="dxa" w:w="1200"/>
            <w:shd w:fill="F2F4F7"/>
            <w:vAlign w:val="center"/>
            <w:tcMar>
              <w:top w:w="80" w:type="dxa"/>
              <w:start w:w="120" w:type="dxa"/>
              <w:bottom w:w="80" w:type="dxa"/>
              <w:end w:w="120" w:type="dxa"/>
            </w:tcMar>
          </w:tcPr>
          <w:p>
            <w:pPr>
              <w:jc w:val="center"/>
            </w:pPr>
            <w:r>
              <w:rPr>
                <w:rFonts w:ascii="Microsoft YaHei" w:hAnsi="Microsoft YaHei" w:eastAsia="Microsoft YaHei"/>
                <w:b/>
                <w:i w:val="0"/>
                <w:color w:val="000000"/>
                <w:sz w:val="19"/>
              </w:rPr>
              <w:t>2025</w:t>
            </w:r>
          </w:p>
        </w:tc>
        <w:tc>
          <w:tcPr>
            <w:tcW w:type="dxa" w:w="3960"/>
            <w:shd w:fill="F2F4F7"/>
            <w:vAlign w:val="center"/>
            <w:tcMar>
              <w:top w:w="80" w:type="dxa"/>
              <w:start w:w="120" w:type="dxa"/>
              <w:bottom w:w="80" w:type="dxa"/>
              <w:end w:w="120" w:type="dxa"/>
            </w:tcMar>
          </w:tcPr>
          <w:p>
            <w:pPr>
              <w:jc w:val="center"/>
            </w:pPr>
            <w:r>
              <w:rPr>
                <w:rFonts w:ascii="Microsoft YaHei" w:hAnsi="Microsoft YaHei" w:eastAsia="Microsoft YaHei"/>
                <w:b/>
                <w:i w:val="0"/>
                <w:color w:val="000000"/>
                <w:sz w:val="19"/>
              </w:rPr>
              <w:t>口径</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活跃供应商数量</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298</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312</w:t>
            </w:r>
          </w:p>
        </w:tc>
        <w:tc>
          <w:tcPr>
            <w:tcW w:type="dxa" w:w="39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报告期内有采购交易</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供应商行为准则覆盖采购额</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93%</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96%</w:t>
            </w:r>
          </w:p>
        </w:tc>
        <w:tc>
          <w:tcPr>
            <w:tcW w:type="dxa" w:w="39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已签署准则供应商采购额/总采购额</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高风险供应商</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65</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78</w:t>
            </w:r>
          </w:p>
        </w:tc>
        <w:tc>
          <w:tcPr>
            <w:tcW w:type="dxa" w:w="39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按国家、品类、用工和环境风险评分</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完成评估或审核的高风险供应商</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51</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78</w:t>
            </w:r>
          </w:p>
        </w:tc>
        <w:tc>
          <w:tcPr>
            <w:tcW w:type="dxa" w:w="39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文件评估或现场审核至少一项</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提出整改项</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16</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12</w:t>
            </w:r>
          </w:p>
        </w:tc>
        <w:tc>
          <w:tcPr>
            <w:tcW w:type="dxa" w:w="39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年度新增整改项</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年末已关闭整改项</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12</w:t>
            </w:r>
          </w:p>
        </w:tc>
        <w:tc>
          <w:tcPr>
            <w:tcW w:type="dxa" w:w="120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10</w:t>
            </w:r>
          </w:p>
        </w:tc>
        <w:tc>
          <w:tcPr>
            <w:tcW w:type="dxa" w:w="39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经采购复核关闭</w:t>
            </w:r>
          </w:p>
        </w:tc>
      </w:tr>
    </w:tbl>
    <w:p>
      <w:pPr>
        <w:spacing w:after="20"/>
      </w:pPr>
    </w:p>
    <w:p>
      <w:r>
        <w:rPr>
          <w:rFonts w:ascii="Microsoft YaHei" w:hAnsi="Microsoft YaHei" w:eastAsia="Microsoft YaHei"/>
          <w:b w:val="0"/>
          <w:i w:val="0"/>
          <w:color w:val="000000"/>
          <w:sz w:val="22"/>
        </w:rPr>
        <w:t>2025 年两项未关闭整改分别涉及一家具备替代供应源的包装辅材供应商之加班记录不完整，以及一家物流承运商分包商培训记录缺失。两项均未发现强迫劳动或童工证据；计划于 2026 年第二季度复核。</w:t>
      </w:r>
    </w:p>
    <w:p>
      <w:pPr>
        <w:pStyle w:val="Heading1"/>
      </w:pPr>
      <w:r>
        <w:t>2. 商业道德与举报</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F2F4F7"/>
            <w:vAlign w:val="center"/>
            <w:tcMar>
              <w:top w:w="80" w:type="dxa"/>
              <w:start w:w="120" w:type="dxa"/>
              <w:bottom w:w="80" w:type="dxa"/>
              <w:end w:w="120" w:type="dxa"/>
            </w:tcMar>
          </w:tcPr>
          <w:p>
            <w:pPr>
              <w:jc w:val="center"/>
            </w:pPr>
            <w:r>
              <w:rPr>
                <w:rFonts w:ascii="Microsoft YaHei" w:hAnsi="Microsoft YaHei" w:eastAsia="Microsoft YaHei"/>
                <w:b/>
                <w:i w:val="0"/>
                <w:color w:val="000000"/>
                <w:sz w:val="19"/>
              </w:rPr>
              <w:t>事项</w:t>
            </w:r>
          </w:p>
        </w:tc>
        <w:tc>
          <w:tcPr>
            <w:tcW w:type="dxa" w:w="6360"/>
            <w:shd w:fill="F2F4F7"/>
            <w:vAlign w:val="center"/>
            <w:tcMar>
              <w:top w:w="80" w:type="dxa"/>
              <w:start w:w="120" w:type="dxa"/>
              <w:bottom w:w="80" w:type="dxa"/>
              <w:end w:w="120" w:type="dxa"/>
            </w:tcMar>
          </w:tcPr>
          <w:p>
            <w:pPr>
              <w:jc w:val="center"/>
            </w:pPr>
            <w:r>
              <w:rPr>
                <w:rFonts w:ascii="Microsoft YaHei" w:hAnsi="Microsoft YaHei" w:eastAsia="Microsoft YaHei"/>
                <w:b/>
                <w:i w:val="0"/>
                <w:color w:val="000000"/>
                <w:sz w:val="19"/>
              </w:rPr>
              <w:t>2025 结果</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反商业贿赂培训</w:t>
            </w:r>
          </w:p>
        </w:tc>
        <w:tc>
          <w:tcPr>
            <w:tcW w:type="dxa" w:w="636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管理人员与高风险岗位 214 人，完成率 98.1%</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举报渠道</w:t>
            </w:r>
          </w:p>
        </w:tc>
        <w:tc>
          <w:tcPr>
            <w:tcW w:type="dxa" w:w="63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邮箱、热线和现场信箱；允许匿名举报</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收到举报</w:t>
            </w:r>
          </w:p>
        </w:tc>
        <w:tc>
          <w:tcPr>
            <w:tcW w:type="dxa" w:w="63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7 件</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经调查确认</w:t>
            </w:r>
          </w:p>
        </w:tc>
        <w:tc>
          <w:tcPr>
            <w:tcW w:type="dxa" w:w="636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2 件：费用报销违规 1 件、利益冲突未申报 1 件</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重大腐败或监管处罚</w:t>
            </w:r>
          </w:p>
        </w:tc>
        <w:tc>
          <w:tcPr>
            <w:tcW w:type="dxa" w:w="6360"/>
            <w:vAlign w:val="center"/>
            <w:tcMar>
              <w:top w:w="80" w:type="dxa"/>
              <w:start w:w="120" w:type="dxa"/>
              <w:bottom w:w="80" w:type="dxa"/>
              <w:end w:w="120" w:type="dxa"/>
            </w:tcMar>
          </w:tcPr>
          <w:p>
            <w:pPr>
              <w:jc w:val="center"/>
            </w:pPr>
            <w:r>
              <w:rPr>
                <w:rFonts w:ascii="Microsoft YaHei" w:hAnsi="Microsoft YaHei" w:eastAsia="Microsoft YaHei"/>
                <w:b w:val="0"/>
                <w:i w:val="0"/>
                <w:color w:val="000000"/>
                <w:sz w:val="19"/>
              </w:rPr>
              <w:t>0 件</w:t>
            </w:r>
          </w:p>
        </w:tc>
      </w:tr>
      <w:tr>
        <w:tc>
          <w:tcPr>
            <w:tcW w:type="dxa" w:w="300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处理结果</w:t>
            </w:r>
          </w:p>
        </w:tc>
        <w:tc>
          <w:tcPr>
            <w:tcW w:type="dxa" w:w="6360"/>
            <w:vAlign w:val="center"/>
            <w:tcMar>
              <w:top w:w="80" w:type="dxa"/>
              <w:start w:w="120" w:type="dxa"/>
              <w:bottom w:w="80" w:type="dxa"/>
              <w:end w:w="120" w:type="dxa"/>
            </w:tcMar>
          </w:tcPr>
          <w:p>
            <w:pPr>
              <w:jc w:val="left"/>
            </w:pPr>
            <w:r>
              <w:rPr>
                <w:rFonts w:ascii="Microsoft YaHei" w:hAnsi="Microsoft YaHei" w:eastAsia="Microsoft YaHei"/>
                <w:b w:val="0"/>
                <w:i w:val="0"/>
                <w:color w:val="000000"/>
                <w:sz w:val="19"/>
              </w:rPr>
              <w:t>纪律处分 2 人；更新利益冲突年度申报流程</w:t>
            </w:r>
          </w:p>
        </w:tc>
      </w:tr>
    </w:tbl>
    <w:p>
      <w:pPr>
        <w:spacing w:after="20"/>
      </w:pPr>
    </w:p>
    <w:p>
      <w:pPr>
        <w:pStyle w:val="Heading1"/>
      </w:pPr>
      <w:r>
        <w:t>3. 数据限制</w:t>
      </w:r>
    </w:p>
    <w:p>
      <w:r>
        <w:rPr>
          <w:rFonts w:ascii="Microsoft YaHei" w:hAnsi="Microsoft YaHei" w:eastAsia="Microsoft YaHei"/>
          <w:b w:val="0"/>
          <w:i w:val="0"/>
          <w:color w:val="000000"/>
          <w:sz w:val="22"/>
        </w:rPr>
        <w:t>公司尚未形成供应链生活工资覆盖率、分包商职业健康安全和原料全链条追溯率的统一数据。同行案例中的供应商指标不得用于填补本公司事实缺口。</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i w:val="0"/>
        <w:color w:val="666666"/>
        <w:sz w:val="18"/>
      </w:rPr>
      <w:t xml:space="preserve">第 </w:t>
    </w:r>
    <w:fldSimple w:instr="PAGE">
      <w:r>
        <w:t>1</w:t>
      </w:r>
    </w:fldSimple>
    <w:r>
      <w:rPr>
        <w:rFonts w:ascii="Microsoft YaHei" w:hAnsi="Microsoft YaHe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val="0"/>
        <w:i w:val="0"/>
        <w:color w:val="666666"/>
        <w:sz w:val="18"/>
      </w:rPr>
      <w:t>供应链与商业道德  |  完全虚构测试资料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