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i w:val="0"/>
          <w:color w:val="000000"/>
          <w:sz w:val="46"/>
        </w:rPr>
        <w:t>澄湾科技 2024 可持续发展回顾</w:t>
      </w:r>
    </w:p>
    <w:p>
      <w:pPr>
        <w:spacing w:after="280"/>
      </w:pPr>
      <w:r>
        <w:rPr>
          <w:rFonts w:ascii="Microsoft YaHei" w:hAnsi="Microsoft YaHei" w:eastAsia="Microsoft YaHei"/>
          <w:b w:val="0"/>
          <w:i w:val="0"/>
          <w:color w:val="444444"/>
          <w:sz w:val="26"/>
        </w:rPr>
        <w:t>既有结构与文风参考（模拟）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发布日期：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2025-04-30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报告期间：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2024-01-01 至 2024-12-31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用途：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测试既有报告结构保留</w:t>
      </w:r>
    </w:p>
    <w:p>
      <w:pPr>
        <w:spacing w:before="200" w:after="240"/>
      </w:pPr>
      <w:r>
        <w:rPr>
          <w:rFonts w:ascii="Microsoft YaHei" w:hAnsi="Microsoft YaHei" w:eastAsia="Microsoft YaHei"/>
          <w:b/>
          <w:i w:val="0"/>
          <w:color w:val="7A5A00"/>
          <w:sz w:val="19"/>
        </w:rPr>
        <w:t>提示：本文档中的企业、地点、人员、数值和结论均为模拟内容。</w:t>
      </w:r>
    </w:p>
    <w:p>
      <w:pPr>
        <w:pStyle w:val="Heading1"/>
      </w:pPr>
      <w:r>
        <w:t>关于本回顾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本回顾围绕“稳健治理、低碳运营、循环产品、共益职场、责任伙伴”五个栏目，简要说明公司 2024 年进展。2025 年报告建议保留这一叙事顺序，但应增加报告边界、数据口径、目标进度和信息缺口说明。</w:t>
      </w:r>
    </w:p>
    <w:p>
      <w:pPr>
        <w:pStyle w:val="Heading1"/>
      </w:pPr>
      <w:r>
        <w:t>稳健治理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2024 年公司成立可持续发展与风险委员会，明确董事会监督、管理层执行和职能部门数据责任。</w:t>
      </w:r>
    </w:p>
    <w:p>
      <w:pPr>
        <w:pStyle w:val="Heading1"/>
      </w:pPr>
      <w:r>
        <w:t>低碳运营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2024 年范围一与范围二（市场法）排放合计 10,250 tCO2e，总能耗 18,050 MWh，可再生能源占比 21.6%。</w:t>
      </w:r>
    </w:p>
    <w:p>
      <w:pPr>
        <w:pStyle w:val="Heading1"/>
      </w:pPr>
      <w:r>
        <w:t>循环产品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2024 年产品平均再生材料占比达到 62%，生产废弃物资源化率达到 91.2%。</w:t>
      </w:r>
    </w:p>
    <w:p>
      <w:pPr>
        <w:pStyle w:val="Heading1"/>
      </w:pPr>
      <w:r>
        <w:t>共益职场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2024 年末员工 476 人，女性占比 41.8%，TRIR 为 0.78。</w:t>
      </w:r>
    </w:p>
    <w:p>
      <w:pPr>
        <w:pStyle w:val="Heading1"/>
      </w:pPr>
      <w:r>
        <w:t>责任伙伴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2024 年供应商行为准则覆盖采购额的 93%，高风险供应商整改关闭率为 75%。</w:t>
      </w:r>
    </w:p>
    <w:p>
      <w:pPr>
        <w:pStyle w:val="Heading1"/>
      </w:pPr>
      <w:r>
        <w:t>编制说明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本回顾未依据正式披露准则编制，数据未经第三方鉴证。其内容只作为 2025 年报告的既有结构和文风输入，2025 年事实应以本资料包对应年度证据为准。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66666"/>
        <w:sz w:val="18"/>
      </w:rPr>
      <w:t>既有报告  |  完全虚构测试资料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