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i w:val="0"/>
          <w:color w:val="000000"/>
          <w:sz w:val="46"/>
        </w:rPr>
        <w:t>澄湾科技 2025 年可持续发展报告任务书</w:t>
      </w:r>
    </w:p>
    <w:p>
      <w:pPr>
        <w:spacing w:after="280"/>
      </w:pPr>
      <w:r>
        <w:rPr>
          <w:rFonts w:ascii="Microsoft YaHei" w:hAnsi="Microsoft YaHei" w:eastAsia="Microsoft YaHei"/>
          <w:b w:val="0"/>
          <w:i w:val="0"/>
          <w:color w:val="444444"/>
          <w:sz w:val="26"/>
        </w:rPr>
        <w:t>内容与交付模板（模拟）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委托部门：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董事会办公室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目标读者：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管理层、客户、员工与顾问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目标篇幅：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约 12,000 中文字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目标发布日期：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2026-06-30</w:t>
      </w:r>
    </w:p>
    <w:p>
      <w:pPr>
        <w:spacing w:before="200" w:after="240"/>
      </w:pPr>
      <w:r>
        <w:rPr>
          <w:rFonts w:ascii="Microsoft YaHei" w:hAnsi="Microsoft YaHei" w:eastAsia="Microsoft YaHei"/>
          <w:b/>
          <w:i w:val="0"/>
          <w:color w:val="7A5A00"/>
          <w:sz w:val="19"/>
        </w:rPr>
        <w:t>提示：本文档中的企业、地点、人员、数值和结论均为模拟内容。</w:t>
      </w:r>
    </w:p>
    <w:p>
      <w:pPr>
        <w:pStyle w:val="Heading1"/>
      </w:pPr>
      <w:r>
        <w:t>1. 报告目的与原则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报告用于内部专业审阅演练，并测试 Sustainability Report Harness 的资料解析、证据追溯、映射、起草、缺口提示和 Markdown 交付能力。报告开篇必须说明全部企业和数据均为虚构测试内容。</w:t>
      </w:r>
    </w:p>
    <w:p>
      <w:pPr>
        <w:pStyle w:val="Heading1"/>
      </w:pPr>
      <w:r>
        <w:t>2. 必须覆盖的目录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58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顺序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章节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核心内容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关于本报告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边界、期间、口径、未鉴证说明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企业概况与稳健治理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商业模式、治理架构、数据控制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重要性与利益相关方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参与方式、重要议题、排序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低碳运营与气候韧性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排放、能源、气候风险与行动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循环产品与资源效率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再生材料、水、废弃物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共益职场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员工结构、培训、健康安全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责任伙伴与商业道德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供应商、举报、合规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指标附录与信息缺口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三年数据、公式口径、缺口</w:t>
            </w:r>
          </w:p>
        </w:tc>
      </w:tr>
    </w:tbl>
    <w:p>
      <w:pPr>
        <w:spacing w:after="20"/>
      </w:pPr>
    </w:p>
    <w:p>
      <w:pPr>
        <w:pStyle w:val="Heading1"/>
      </w:pPr>
      <w:r>
        <w:t>3. 写作和证据要求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文风应专业、清晰、审慎，保留 2024 回顾的五个栏目名称。客户事实必须绑定客户证据；同行案例只能用于结构、表达或质量对标。目标、实际结果、估算、推断和信息缺口必须明确区分。定量指标同时披露期间、单位和边界。</w:t>
      </w:r>
    </w:p>
    <w:p>
      <w:pPr>
        <w:pStyle w:val="Heading1"/>
      </w:pPr>
      <w:r>
        <w:t>4. 图表建议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用途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建议形式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所需字段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三年温室气体趋势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堆叠柱形图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年度、范围一、范围二市场法、单位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目标进度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目标进度表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基准、2030 目标、2025 结果、状态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重要议题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二维重要性矩阵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对企业影响、对利益相关方重要性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员工与安全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三年指标表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员工人数、性别、培训、工时、工伤、TRIR</w:t>
            </w:r>
          </w:p>
        </w:tc>
      </w:tr>
    </w:tbl>
    <w:p>
      <w:pPr>
        <w:spacing w:after="20"/>
      </w:pPr>
    </w:p>
    <w:p>
      <w:pPr>
        <w:pStyle w:val="Heading1"/>
      </w:pPr>
      <w:r>
        <w:t>5. 交付要求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主交付为母版 Markdown、两套模拟准则适配 Markdown 和报告 manifest；同时保留回应矩阵、缺口清单和证据清单。任何正式发布、外部披露或合规判断均不在本测试范围。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66666"/>
        <w:sz w:val="18"/>
      </w:rPr>
      <w:t>报告任务书  |  完全虚构测试资料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