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m:oMath>
        <m:r>
          <w:rPr>
            <w:sz w:val="32"/>
            <w:szCs w:val="32"/>
          </w:rPr>
          <m:t xml:space="preserve">Задача 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0000"/>
          <w:sz w:val="32"/>
          <w:szCs w:val="32"/>
        </w:rPr>
      </w:pPr>
      <m:oMath>
        <m:r>
          <w:rPr>
            <w:color w:val="ff0000"/>
            <w:sz w:val="32"/>
            <w:szCs w:val="32"/>
          </w:rPr>
          <m:t xml:space="preserve">Дано: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стоимость квартиры - 3 500 000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процентная ставка - 10%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ежемесячный платеж - 40 000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срок выплаты - 10 лет</w:t>
      </w:r>
    </w:p>
    <w:p w:rsidR="00000000" w:rsidDel="00000000" w:rsidP="00000000" w:rsidRDefault="00000000" w:rsidRPr="00000000" w14:paraId="00000008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ff0000"/>
          <w:sz w:val="32"/>
          <w:szCs w:val="32"/>
        </w:rPr>
      </w:pPr>
      <m:oMath>
        <m:r>
          <w:rPr>
            <w:color w:val="ff0000"/>
            <w:sz w:val="32"/>
            <w:szCs w:val="32"/>
          </w:rPr>
          <m:t xml:space="preserve">Решение: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Сумма процентной ставки за 10 лет равна 3 500 000 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Ежемесячный платеж за весь срок выплат равен 4 800 000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3 500 000 (стоимость квартиры) + 3 500 000 (сумма процентной ставки за весь срок) = 7 000 000 (вся сумма выплат) 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7 000 000 - 4 800 000 (сумма ежемесячного платежа) = 2 200 000 (первоначальный взнос)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Ответ:</w:t>
      </w:r>
      <w:r w:rsidDel="00000000" w:rsidR="00000000" w:rsidRPr="00000000">
        <w:rPr>
          <w:sz w:val="32"/>
          <w:szCs w:val="32"/>
          <w:rtl w:val="0"/>
        </w:rPr>
        <w:t xml:space="preserve"> 2 200 000 сумма первоначального взноса.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