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F4E79"/>
          <w:sz w:val="52"/>
        </w:rPr>
        <w:t>N2O / Paraffin Hybrid</w:t>
      </w:r>
    </w:p>
    <w:p>
      <w:pPr>
        <w:jc w:val="center"/>
      </w:pPr>
      <w:r>
        <w:rPr>
          <w:b/>
          <w:color w:val="1F4E79"/>
          <w:sz w:val="52"/>
        </w:rPr>
        <w:t>Injector Sizing Tool</w:t>
      </w:r>
    </w:p>
    <w:p>
      <w:pPr>
        <w:jc w:val="center"/>
      </w:pPr>
      <w:r>
        <w:rPr>
          <w:color w:val="595959"/>
          <w:sz w:val="32"/>
        </w:rPr>
        <w:t>Validation Report</w:t>
      </w:r>
    </w:p>
    <w:p/>
    <w:p>
      <w:pPr>
        <w:jc w:val="center"/>
      </w:pPr>
      <w:r>
        <w:rPr>
          <w:i/>
          <w:color w:val="595959"/>
          <w:sz w:val="22"/>
        </w:rPr>
        <w:t>What has been verified, what has not, and what it would take</w:t>
      </w:r>
    </w:p>
    <w:p/>
    <w:p/>
    <w:p/>
    <w:p/>
    <w:p/>
    <w:p/>
    <w:p/>
    <w:p/>
    <w:p/>
    <w:p/>
    <w:p>
      <w:pPr>
        <w:jc w:val="center"/>
      </w:pPr>
      <w:r>
        <w:rPr>
          <w:color w:val="595959"/>
          <w:sz w:val="18"/>
        </w:rPr>
        <w:t>Generated 26 September 2026</w:t>
      </w:r>
    </w:p>
    <w:p>
      <w:r>
        <w:br w:type="page"/>
      </w:r>
    </w:p>
    <w:p>
      <w:r>
        <w:rPr>
          <w:b/>
          <w:color w:val="1F4E79"/>
          <w:sz w:val="32"/>
        </w:rPr>
        <w:t>Contents</w:t>
      </w:r>
    </w:p>
    <w:p>
      <w:fldSimple w:instr="TOC \o &quot;1-3&quot; \h \z \u">
        <w:r>
          <w:t>Right-click here and choose “Update Field” to build the contents.</w:t>
        </w:r>
      </w:fldSimple>
    </w:p>
    <w:p>
      <w:r>
        <w:br w:type="page"/>
      </w:r>
    </w:p>
    <w:p>
      <w:r>
        <w:br w:type="page"/>
      </w:r>
    </w:p>
    <w:p>
      <w:pPr>
        <w:pStyle w:val="Heading1"/>
        <w:spacing w:before="280"/>
      </w:pPr>
      <w:r>
        <w:rPr>
          <w:b w:val="0"/>
          <w:i w:val="0"/>
          <w:color w:val="1F4E79"/>
        </w:rPr>
        <w:t>Validation status, roadmap, and known limitations</w:t>
      </w:r>
    </w:p>
    <w:p>
      <w:pPr>
        <w:spacing w:after="140"/>
      </w:pPr>
      <w:r>
        <w:rPr>
          <w:b w:val="0"/>
          <w:i w:val="0"/>
        </w:rPr>
        <w:t>Read this before using the tool for hardware decisions.</w:t>
      </w:r>
    </w:p>
    <w:p>
      <w:pPr>
        <w:spacing w:after="140"/>
      </w:pPr>
      <w:r>
        <w:rPr>
          <w:b/>
          <w:i w:val="0"/>
        </w:rPr>
        <w:t>Bottom line:</w:t>
      </w:r>
      <w:r>
        <w:rPr>
          <w:b w:val="0"/>
          <w:i w:val="0"/>
        </w:rPr>
        <w:t xml:space="preserve"> the injector flow models have now been checked against </w:t>
      </w:r>
      <w:r>
        <w:rPr>
          <w:b/>
          <w:i w:val="0"/>
        </w:rPr>
        <w:t>real measured N2O cold-flow data</w:t>
      </w:r>
      <w:r>
        <w:rPr>
          <w:b w:val="0"/>
          <w:i w:val="0"/>
        </w:rPr>
        <w:t xml:space="preserve"> (§1.4) and land where theory says they should. The tool has still never been compared against a static fire or a real HRAP run, and the </w:t>
      </w:r>
      <w:r>
        <w:rPr>
          <w:b w:val="0"/>
          <w:i/>
        </w:rPr>
        <w:t>motor</w:t>
      </w:r>
      <w:r>
        <w:rPr>
          <w:b w:val="0"/>
          <w:i w:val="0"/>
        </w:rPr>
        <w:t xml:space="preserve"> side — regression, blowdown, chamber — remains unvalidated against hardware. Trust the injector models to a few percent for orifices similar to the tested ones; do not yet trust predicted burn time, O/F history, or impulse without your own firing data.</w:t>
      </w:r>
    </w:p>
    <w:p>
      <w:pPr>
        <w:pStyle w:val="Heading2"/>
        <w:spacing w:before="280"/>
      </w:pPr>
      <w:r>
        <w:rPr>
          <w:b w:val="0"/>
          <w:i w:val="0"/>
          <w:color w:val="1F4E79"/>
        </w:rPr>
        <w:t>1. What was built, and how it was verified</w:t>
      </w:r>
    </w:p>
    <w:p>
      <w:pPr>
        <w:pStyle w:val="Heading3"/>
        <w:spacing w:before="200"/>
      </w:pPr>
      <w:r>
        <w:rPr>
          <w:b w:val="0"/>
          <w:i w:val="0"/>
          <w:color w:val="1F4E79"/>
        </w:rPr>
        <w:t>Workflow followed</w:t>
      </w:r>
    </w:p>
    <w:p>
      <w:pPr>
        <w:pStyle w:val="ListNumber"/>
        <w:spacing w:after="60"/>
      </w:pPr>
      <w:r>
        <w:rPr>
          <w:b/>
          <w:i w:val="0"/>
        </w:rPr>
        <w:t>Read HRAP's actual source</w:t>
      </w:r>
      <w:r>
        <w:rPr>
          <w:b w:val="0"/>
          <w:i w:val="0"/>
        </w:rPr>
        <w:t xml:space="preserve"> rather than assuming its behaviour — the MATLAB </w:t>
      </w:r>
      <w:r>
        <w:rPr>
          <w:rFonts w:ascii="Consolas" w:hAnsi="Consolas"/>
          <w:b w:val="0"/>
          <w:i w:val="0"/>
          <w:color w:val="A31515"/>
          <w:sz w:val="19"/>
        </w:rPr>
        <w:t>util/*.m</w:t>
      </w:r>
      <w:r>
        <w:rPr>
          <w:b w:val="0"/>
          <w:i w:val="0"/>
        </w:rPr>
        <w:t xml:space="preserve">, the Python </w:t>
      </w:r>
      <w:r>
        <w:rPr>
          <w:rFonts w:ascii="Consolas" w:hAnsi="Consolas"/>
          <w:b w:val="0"/>
          <w:i w:val="0"/>
          <w:color w:val="A31515"/>
          <w:sz w:val="19"/>
        </w:rPr>
        <w:t>hrap/*.py</w:t>
      </w:r>
      <w:r>
        <w:rPr>
          <w:b w:val="0"/>
          <w:i w:val="0"/>
        </w:rPr>
        <w:t xml:space="preserve">, the </w:t>
      </w:r>
      <w:r>
        <w:rPr>
          <w:rFonts w:ascii="Consolas" w:hAnsi="Consolas"/>
          <w:b w:val="0"/>
          <w:i w:val="0"/>
          <w:color w:val="A31515"/>
          <w:sz w:val="19"/>
        </w:rPr>
        <w:t>HRAP.mlapp</w:t>
      </w:r>
      <w:r>
        <w:rPr>
          <w:b w:val="0"/>
          <w:i w:val="0"/>
        </w:rPr>
        <w:t xml:space="preserve"> GUI internals, and the theory PDF that ships in the repo. This established: HRAP's injector is SPI only; its N2O properties are ESDU 91022; its CEA tables come from RPA; its regression law uses oxidiser flux; and its exact unit and state-flag conventions.</w:t>
      </w:r>
    </w:p>
    <w:p>
      <w:pPr>
        <w:pStyle w:val="ListNumber"/>
        <w:spacing w:after="60"/>
      </w:pPr>
      <w:r>
        <w:rPr>
          <w:b/>
          <w:i w:val="0"/>
        </w:rPr>
        <w:t>Implemented the fluid properties first</w:t>
      </w:r>
      <w:r>
        <w:rPr>
          <w:b w:val="0"/>
          <w:i w:val="0"/>
        </w:rPr>
        <w:t xml:space="preserve"> and cross-validated them against an independent reference EOS before building anything on top.</w:t>
      </w:r>
    </w:p>
    <w:p>
      <w:pPr>
        <w:pStyle w:val="ListNumber"/>
        <w:spacing w:after="60"/>
      </w:pPr>
      <w:r>
        <w:rPr>
          <w:b/>
          <w:i w:val="0"/>
        </w:rPr>
        <w:t>Implemented the three flow models</w:t>
      </w:r>
      <w:r>
        <w:rPr>
          <w:b w:val="0"/>
          <w:i w:val="0"/>
        </w:rPr>
        <w:t>, then checked each against the physical limits it must satisfy rather than against expected output values.</w:t>
      </w:r>
    </w:p>
    <w:p>
      <w:pPr>
        <w:pStyle w:val="ListNumber"/>
        <w:spacing w:after="60"/>
      </w:pPr>
      <w:r>
        <w:rPr>
          <w:b/>
          <w:i w:val="0"/>
        </w:rPr>
        <w:t>Built the burn simulation</w:t>
      </w:r>
      <w:r>
        <w:rPr>
          <w:b w:val="0"/>
          <w:i w:val="0"/>
        </w:rPr>
        <w:t xml:space="preserve"> to HRAP's formulation so that SPI mode is a like-for-like reproduction.</w:t>
      </w:r>
    </w:p>
    <w:p>
      <w:pPr>
        <w:pStyle w:val="ListNumber"/>
        <w:spacing w:after="60"/>
      </w:pPr>
      <w:r>
        <w:rPr>
          <w:b/>
          <w:i w:val="0"/>
        </w:rPr>
        <w:t>Built the sizing solver</w:t>
      </w:r>
      <w:r>
        <w:rPr>
          <w:b w:val="0"/>
          <w:i w:val="0"/>
        </w:rPr>
        <w:t xml:space="preserve"> on top, then the GUI, then HRAP import.</w:t>
      </w:r>
    </w:p>
    <w:p>
      <w:pPr>
        <w:pStyle w:val="ListNumber"/>
        <w:spacing w:after="60"/>
      </w:pPr>
      <w:r>
        <w:rPr>
          <w:b w:val="0"/>
          <w:i w:val="0"/>
        </w:rPr>
        <w:t>Every stage got tests before moving on; two genuine physics bugs and two robustness bugs were caught this way (listed in §1.3).</w:t>
      </w:r>
    </w:p>
    <w:p>
      <w:pPr>
        <w:pStyle w:val="Heading3"/>
        <w:spacing w:before="200"/>
      </w:pPr>
      <w:r>
        <w:rPr>
          <w:b w:val="0"/>
          <w:i w:val="0"/>
          <w:color w:val="1F4E79"/>
        </w:rPr>
        <w:t>Testing performed — 102 tests, all passing</w:t>
      </w:r>
    </w:p>
    <w:p>
      <w:pPr>
        <w:spacing w:before="120" w:after="120"/>
        <w:ind w:left="360"/>
        <w:shd w:val="clear" w:color="auto" w:fill="F2F2F2"/>
      </w:pPr>
      <w:r>
        <w:rPr>
          <w:rFonts w:ascii="Consolas" w:hAnsi="Consolas"/>
          <w:sz w:val="18"/>
        </w:rPr>
        <w:t>python -m pytest tests/ -q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DEEAF6"/>
          </w:tcPr>
          <w:p>
            <w:r/>
            <w:r>
              <w:rPr>
                <w:b/>
                <w:i w:val="0"/>
                <w:sz w:val="19"/>
              </w:rPr>
              <w:t>Group</w:t>
            </w:r>
          </w:p>
        </w:tc>
        <w:tc>
          <w:tcPr>
            <w:tcW w:type="dxa" w:w="4824"/>
            <w:shd w:val="clear" w:color="auto" w:fill="DEEAF6"/>
          </w:tcPr>
          <w:p>
            <w:r/>
            <w:r>
              <w:rPr>
                <w:b/>
                <w:i w:val="0"/>
                <w:sz w:val="19"/>
              </w:rPr>
              <w:t>What is actually checked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i w:val="0"/>
                <w:sz w:val="19"/>
              </w:rPr>
              <w:t>Fluid properties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i w:val="0"/>
                <w:sz w:val="19"/>
              </w:rPr>
              <w:t xml:space="preserve">ESDU vs published saturated N2O at 20 °C (P, ρ_l, ρ_v to 1–2 %); critical point exact; monotonicity of the saturation curve; </w:t>
            </w:r>
            <w:r>
              <w:rPr>
                <w:b w:val="0"/>
                <w:i/>
                <w:sz w:val="19"/>
              </w:rPr>
              <w:t>T</w:t>
            </w:r>
            <w:r>
              <w:rPr>
                <w:b w:val="0"/>
                <w:i/>
                <w:sz w:val="19"/>
                <w:vertAlign w:val="subscript"/>
              </w:rPr>
              <w:t>sat</w:t>
            </w:r>
            <w:r>
              <w:rPr>
                <w:b w:val="0"/>
                <w:i w:val="0"/>
                <w:sz w:val="19"/>
              </w:rPr>
              <w:t xml:space="preserve"> inverts </w:t>
            </w:r>
            <w:r>
              <w:rPr>
                <w:b w:val="0"/>
                <w:i/>
                <w:sz w:val="19"/>
              </w:rPr>
              <w:t>P</w:t>
            </w:r>
            <w:r>
              <w:rPr>
                <w:b w:val="0"/>
                <w:i/>
                <w:sz w:val="19"/>
                <w:vertAlign w:val="subscript"/>
              </w:rPr>
              <w:t>sat</w:t>
            </w:r>
            <w:r>
              <w:rPr>
                <w:b w:val="0"/>
                <w:i w:val="0"/>
                <w:sz w:val="19"/>
              </w:rPr>
              <w:t xml:space="preserve">; latent heat decreases toward critical; </w:t>
            </w:r>
            <w:r>
              <w:rPr>
                <w:rFonts w:ascii="Consolas" w:hAnsi="Consolas"/>
                <w:b w:val="0"/>
                <w:i w:val="0"/>
                <w:color w:val="A31515"/>
                <w:sz w:val="19"/>
              </w:rPr>
              <w:t>s_fg = h_fg/T</w:t>
            </w:r>
            <w:r>
              <w:rPr>
                <w:b w:val="0"/>
                <w:i w:val="0"/>
                <w:sz w:val="19"/>
              </w:rPr>
              <w:t xml:space="preserve"> exactly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i w:val="0"/>
                <w:sz w:val="19"/>
              </w:rPr>
              <w:t>Cross-backend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i w:val="0"/>
                <w:sz w:val="19"/>
              </w:rPr>
              <w:t xml:space="preserve">ESDU curve fits vs CoolProp's reference EOS over −20…+30 °C: pressure 0.1 %, ρ_l &lt;1 %, ρ_v &lt;3 %, </w:t>
            </w:r>
            <w:r>
              <w:rPr>
                <w:b w:val="0"/>
                <w:i w:val="0"/>
                <w:sz w:val="19"/>
              </w:rPr>
              <w:t>h</w:t>
            </w:r>
            <w:r>
              <w:rPr>
                <w:b w:val="0"/>
                <w:i w:val="0"/>
                <w:sz w:val="19"/>
                <w:vertAlign w:val="subscript"/>
              </w:rPr>
              <w:t>fg</w:t>
            </w:r>
            <w:r>
              <w:rPr>
                <w:b w:val="0"/>
                <w:i w:val="0"/>
                <w:sz w:val="19"/>
              </w:rPr>
              <w:t xml:space="preserve"> &lt;2 %, </w:t>
            </w:r>
            <w:r>
              <w:rPr>
                <w:b/>
                <w:i w:val="0"/>
                <w:sz w:val="19"/>
              </w:rPr>
              <w:t>s</w:t>
            </w:r>
            <w:r>
              <w:rPr>
                <w:b/>
                <w:i w:val="0"/>
                <w:sz w:val="19"/>
                <w:vertAlign w:val="subscript"/>
              </w:rPr>
              <w:t>fg</w:t>
            </w:r>
            <w:r>
              <w:rPr>
                <w:b/>
                <w:i w:val="0"/>
                <w:sz w:val="19"/>
              </w:rPr>
              <w:t xml:space="preserve"> 0.4 %</w:t>
            </w:r>
            <w:r>
              <w:rPr>
                <w:b w:val="0"/>
                <w:i w:val="0"/>
                <w:sz w:val="19"/>
              </w:rPr>
              <w:t xml:space="preserve">. HEM mass flux agrees to </w:t>
            </w:r>
            <w:r>
              <w:rPr>
                <w:b/>
                <w:i w:val="0"/>
                <w:sz w:val="19"/>
              </w:rPr>
              <w:t>0.05 %</w:t>
            </w:r>
            <w:r>
              <w:rPr>
                <w:b w:val="0"/>
                <w:i w:val="0"/>
                <w:sz w:val="19"/>
              </w:rPr>
              <w:t xml:space="preserve"> between the two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i w:val="0"/>
                <w:sz w:val="19"/>
              </w:rPr>
              <w:t>Flow-model limits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i w:val="0"/>
                <w:sz w:val="19"/>
              </w:rPr>
              <w:t>SPI is exactly √(2ρΔP); SPI &gt; Dyer &gt; HEM for a saturated feed; κ = 1 when saturated, making Dyer the exact mean; Dyer → SPI when the feed cannot flash; more subcooling raises κ; L/D → 0 gives SPI and large L/D gives HEM; HEM chokes and plateaus; critical pressure ratio 0.72; no flow when downstream ≥ upstream; flux monotone in chamber pressure; fast precomputed curve matches the direct solver to 0.2 %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i w:val="0"/>
                <w:sz w:val="19"/>
              </w:rPr>
              <w:t>HRAP parity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i w:val="0"/>
                <w:sz w:val="19"/>
              </w:rPr>
              <w:t xml:space="preserve">SPI reproduces HRAP's </w:t>
            </w:r>
            <w:r>
              <w:rPr>
                <w:rFonts w:ascii="Consolas" w:hAnsi="Consolas"/>
                <w:b w:val="0"/>
                <w:i w:val="0"/>
                <w:color w:val="A31515"/>
                <w:sz w:val="19"/>
              </w:rPr>
              <w:t>dLoss = K/(NA)²</w:t>
            </w:r>
            <w:r>
              <w:rPr>
                <w:b w:val="0"/>
                <w:i w:val="0"/>
                <w:sz w:val="19"/>
              </w:rPr>
              <w:t xml:space="preserve">, </w:t>
            </w:r>
            <w:r>
              <w:rPr>
                <w:b w:val="0"/>
                <w:i/>
                <w:sz w:val="19"/>
              </w:rPr>
              <w:t>ṁ = √(2ρΔP/dLoss)</w:t>
            </w:r>
            <w:r>
              <w:rPr>
                <w:b w:val="0"/>
                <w:i w:val="0"/>
                <w:sz w:val="19"/>
              </w:rPr>
              <w:t xml:space="preserve"> to machine precision; liquid-mass split, regression law and c* formula match HRAP's; constant-O/F matches </w:t>
            </w:r>
            <w:r>
              <w:rPr>
                <w:rFonts w:ascii="Consolas" w:hAnsi="Consolas"/>
                <w:b w:val="0"/>
                <w:i w:val="0"/>
                <w:color w:val="A31515"/>
                <w:sz w:val="19"/>
              </w:rPr>
              <w:t>const_OF.m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i w:val="0"/>
                <w:sz w:val="19"/>
              </w:rPr>
              <w:t>HRAP import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i w:val="0"/>
                <w:sz w:val="19"/>
              </w:rPr>
              <w:t xml:space="preserve">Unit factors match HRAP's initialiser (incl. its </w:t>
            </w:r>
            <w:r>
              <w:rPr>
                <w:rFonts w:ascii="Consolas" w:hAnsi="Consolas"/>
                <w:b w:val="0"/>
                <w:i w:val="0"/>
                <w:color w:val="A31515"/>
                <w:sz w:val="19"/>
              </w:rPr>
              <w:t>psi = 101325/14.696</w:t>
            </w:r>
            <w:r>
              <w:rPr>
                <w:b w:val="0"/>
                <w:i w:val="0"/>
                <w:sz w:val="19"/>
              </w:rPr>
              <w:t xml:space="preserve">); imperial and metric; both tank-volume modes; tank state as temperature or pressure; fill as mass or percentage; nozzle as ratio or exit diameter; C/K/F/R round-trip; export→import round-trip; propellant </w:t>
            </w:r>
            <w:r>
              <w:rPr>
                <w:rFonts w:ascii="Consolas" w:hAnsi="Consolas"/>
                <w:b w:val="0"/>
                <w:i w:val="0"/>
                <w:color w:val="A31515"/>
                <w:sz w:val="19"/>
              </w:rPr>
              <w:t>.mat</w:t>
            </w:r>
            <w:r>
              <w:rPr>
                <w:b w:val="0"/>
                <w:i w:val="0"/>
                <w:sz w:val="19"/>
              </w:rPr>
              <w:t xml:space="preserve"> with transposed CEA grids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i w:val="0"/>
                <w:sz w:val="19"/>
              </w:rPr>
              <w:t>HRAP CSV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i w:val="0"/>
                <w:sz w:val="19"/>
              </w:rPr>
              <w:t>Unit conversion; 13- and 15-column variants; recovery of the true injector ΔP; rejects non-HRAP files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i w:val="0"/>
                <w:sz w:val="19"/>
              </w:rPr>
              <w:t>Comparison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i w:val="0"/>
                <w:sz w:val="19"/>
              </w:rPr>
              <w:t>Identical runs → ~0 % error; an injected 10 % perturbation shows up as one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i w:val="0"/>
                <w:sz w:val="19"/>
              </w:rPr>
              <w:t>Conservation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i w:val="0"/>
                <w:sz w:val="19"/>
              </w:rPr>
              <w:t>Integrated oxidiser and fuel flow match tank/grain depletion to 2 %; port opens monotonically; tank stays on the saturation curve; chamber always below tank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i w:val="0"/>
                <w:sz w:val="19"/>
              </w:rPr>
              <w:t>Failure modes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i w:val="0"/>
                <w:sz w:val="19"/>
              </w:rPr>
              <w:t>Liquid-full and vapour-only tanks, out-of-range temperature, ports that don't fit, sub-minimum holes, n ≥ 1, degenerate designs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b w:val="0"/>
          <w:i w:val="0"/>
        </w:rPr>
        <w:t>Two internal consistency results worth noting, because they were not designed in and could have failed:</w:t>
      </w:r>
    </w:p>
    <w:p>
      <w:pPr>
        <w:pStyle w:val="ListBullet"/>
        <w:spacing w:after="60"/>
      </w:pPr>
      <w:r>
        <w:rPr>
          <w:b w:val="0"/>
          <w:i w:val="0"/>
        </w:rPr>
        <w:t xml:space="preserve">The </w:t>
      </w:r>
      <w:r>
        <w:rPr>
          <w:b/>
          <w:i w:val="0"/>
        </w:rPr>
        <w:t>two chamber models converge</w:t>
      </w:r>
      <w:r>
        <w:rPr>
          <w:b w:val="0"/>
          <w:i w:val="0"/>
        </w:rPr>
        <w:t xml:space="preserve"> — quasi-steady and HRAP's transient ODE end at 32.04 vs 32.06 bar with total impulse within 3 %.</w:t>
      </w:r>
    </w:p>
    <w:p>
      <w:pPr>
        <w:pStyle w:val="ListBullet"/>
        <w:spacing w:after="60"/>
      </w:pPr>
      <w:r>
        <w:rPr>
          <w:b w:val="0"/>
          <w:i w:val="0"/>
        </w:rPr>
        <w:t xml:space="preserve">The </w:t>
      </w:r>
      <w:r>
        <w:rPr>
          <w:b/>
          <w:i w:val="0"/>
        </w:rPr>
        <w:t>two property backends agree on HEM flux to 0.05 %</w:t>
      </w:r>
      <w:r>
        <w:rPr>
          <w:b w:val="0"/>
          <w:i w:val="0"/>
        </w:rPr>
        <w:t>, even though ESDU carries no entropy data and the entropy had to be reconstructed thermodynamically. That is the strongest evidence the HEM branch is right.</w:t>
      </w:r>
    </w:p>
    <w:p>
      <w:pPr>
        <w:pStyle w:val="Heading3"/>
        <w:spacing w:before="200"/>
      </w:pPr>
      <w:r>
        <w:rPr>
          <w:b w:val="0"/>
          <w:i w:val="0"/>
          <w:color w:val="1F4E79"/>
        </w:rPr>
        <w:t>1.4 External validation against measured NASA/Stanford data</w:t>
      </w:r>
    </w:p>
    <w:p>
      <w:pPr>
        <w:spacing w:after="140"/>
      </w:pPr>
      <w:r>
        <w:rPr>
          <w:b w:val="0"/>
          <w:i w:val="0"/>
        </w:rPr>
        <w:t xml:space="preserve">Source: B. S. Waxman, J. E. Zimmerman, B. J. Cantwell (Stanford) and G. G. Zilliac (NASA Ames), </w:t>
      </w:r>
      <w:r>
        <w:rPr>
          <w:b w:val="0"/>
          <w:i/>
        </w:rPr>
        <w:t>Mass Flow Rate and Isolation Characteristics of Injectors for Use with Self-Pressurizing Oxidizers in Hybrid Rockets</w:t>
      </w:r>
      <w:r>
        <w:rPr>
          <w:b w:val="0"/>
          <w:i w:val="0"/>
        </w:rPr>
        <w:t>, NTRS 20190001326. Reproduce with:</w:t>
      </w:r>
    </w:p>
    <w:p>
      <w:pPr>
        <w:spacing w:before="120" w:after="120"/>
        <w:ind w:left="360"/>
        <w:shd w:val="clear" w:color="auto" w:fill="F2F2F2"/>
      </w:pPr>
      <w:r>
        <w:rPr>
          <w:rFonts w:ascii="Consolas" w:hAnsi="Consolas"/>
          <w:sz w:val="18"/>
        </w:rPr>
        <w:t>python examples/validate_waxman.py</w:t>
      </w:r>
    </w:p>
    <w:p>
      <w:pPr>
        <w:spacing w:after="140"/>
      </w:pPr>
      <w:r>
        <w:rPr>
          <w:b w:val="0"/>
          <w:i w:val="0"/>
        </w:rPr>
        <w:t xml:space="preserve">The paper implements the same three models and its equations confirm the implementations line-for-line — SPI (Eqn. 2), HEM (Eqns. 3–5), and Dyer/NHNE with </w:t>
      </w:r>
      <w:r>
        <w:rPr>
          <w:b w:val="0"/>
          <w:i/>
        </w:rPr>
        <w:t>κ = √((P₁−P₂)/(Pᵥ−P₂))</w:t>
      </w:r>
      <w:r>
        <w:rPr>
          <w:b w:val="0"/>
          <w:i w:val="0"/>
        </w:rPr>
        <w:t xml:space="preserve"> (Eqns. 8–9), identical to what is coded here.</w:t>
      </w:r>
    </w:p>
    <w:p>
      <w:pPr>
        <w:spacing w:after="140"/>
      </w:pPr>
      <w:r>
        <w:rPr>
          <w:b/>
          <w:i w:val="0"/>
        </w:rPr>
        <w:t>Test case</w:t>
      </w:r>
      <w:r>
        <w:rPr>
          <w:b w:val="0"/>
          <w:i w:val="0"/>
        </w:rPr>
        <w:t xml:space="preserve"> — injector 3: straight hole, D = 1.50 mm, L = 18.4 mm (L/D = 12.3), rounded inlet, N2O at P₁ = 704 psia, T₁ = 280 K, supercharged 169 psi, measured single-phase Cd = 0.77.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DEEAF6"/>
          </w:tcPr>
          <w:p>
            <w:r/>
            <w:r>
              <w:rPr>
                <w:b/>
                <w:i w:val="0"/>
                <w:sz w:val="19"/>
              </w:rPr>
              <w:t>Check</w:t>
            </w:r>
          </w:p>
        </w:tc>
        <w:tc>
          <w:tcPr>
            <w:tcW w:type="dxa" w:w="2412"/>
            <w:shd w:val="clear" w:color="auto" w:fill="DEEAF6"/>
          </w:tcPr>
          <w:p>
            <w:r/>
            <w:r>
              <w:rPr>
                <w:b/>
                <w:i w:val="0"/>
                <w:sz w:val="19"/>
              </w:rPr>
              <w:t>Paper</w:t>
            </w:r>
          </w:p>
        </w:tc>
        <w:tc>
          <w:tcPr>
            <w:tcW w:type="dxa" w:w="2412"/>
            <w:shd w:val="clear" w:color="auto" w:fill="DEEAF6"/>
          </w:tcPr>
          <w:p>
            <w:r/>
            <w:r>
              <w:rPr>
                <w:b/>
                <w:i w:val="0"/>
                <w:sz w:val="19"/>
              </w:rPr>
              <w:t>This tool</w:t>
            </w:r>
          </w:p>
        </w:tc>
        <w:tc>
          <w:tcPr>
            <w:tcW w:type="dxa" w:w="2412"/>
            <w:shd w:val="clear" w:color="auto" w:fill="DEEAF6"/>
          </w:tcPr>
          <w:p>
            <w:r/>
            <w:r>
              <w:rPr>
                <w:b/>
                <w:i w:val="0"/>
                <w:sz w:val="19"/>
              </w:rPr>
              <w:t>Result</w:t>
            </w:r>
          </w:p>
        </w:tc>
      </w:tr>
      <w:tr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  <w:t>Supercharge (pins Psat via REFPROP)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  <w:t>169 psi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  <w:t>166 psi</w:t>
            </w:r>
          </w:p>
        </w:tc>
        <w:tc>
          <w:tcPr>
            <w:tcW w:type="dxa" w:w="2412"/>
          </w:tcPr>
          <w:p>
            <w:r/>
            <w:r>
              <w:rPr>
                <w:b/>
                <w:i w:val="0"/>
                <w:sz w:val="19"/>
              </w:rPr>
              <w:t>−2.0 %</w:t>
            </w:r>
            <w:r>
              <w:rPr>
                <w:b w:val="0"/>
                <w:i w:val="0"/>
                <w:sz w:val="19"/>
              </w:rPr>
              <w:t xml:space="preserve">, implying Psat agrees to </w:t>
            </w:r>
            <w:r>
              <w:rPr>
                <w:b/>
                <w:i w:val="0"/>
                <w:sz w:val="19"/>
              </w:rPr>
              <w:t>0.63 %</w:t>
            </w:r>
          </w:p>
        </w:tc>
      </w:tr>
      <w:tr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  <w:t>SPI valid up to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  <w:t>ΔP ≈ 200 psi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  <w:t>onset at ΔP = 166 psi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  <w:t xml:space="preserve">correct direction — real flow flashes </w:t>
            </w:r>
            <w:r>
              <w:rPr>
                <w:b w:val="0"/>
                <w:i/>
                <w:sz w:val="19"/>
              </w:rPr>
              <w:t>late</w:t>
            </w:r>
            <w:r>
              <w:rPr>
                <w:b w:val="0"/>
                <w:i w:val="0"/>
                <w:sz w:val="19"/>
              </w:rPr>
              <w:t xml:space="preserve"> (metastable)</w:t>
            </w:r>
          </w:p>
        </w:tc>
      </w:tr>
      <w:tr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  <w:t>Cd</w:t>
            </w:r>
            <w:r>
              <w:rPr>
                <w:b w:val="0"/>
                <w:i w:val="0"/>
                <w:sz w:val="19"/>
                <w:vertAlign w:val="subscript"/>
              </w:rPr>
              <w:t>eff</w:t>
            </w:r>
            <w:r>
              <w:rPr>
                <w:b w:val="0"/>
                <w:i w:val="0"/>
                <w:sz w:val="19"/>
              </w:rPr>
              <w:t xml:space="preserve"> at ΔP = 330 psi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  <w:t>≈ 0.60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  <w:t>HEM 0.545 / Dyer 0.677 / SPI 0.770</w:t>
            </w:r>
          </w:p>
        </w:tc>
        <w:tc>
          <w:tcPr>
            <w:tcW w:type="dxa" w:w="2412"/>
          </w:tcPr>
          <w:p>
            <w:r/>
            <w:r>
              <w:rPr>
                <w:b/>
                <w:i w:val="0"/>
                <w:sz w:val="19"/>
              </w:rPr>
              <w:t>HEM −9.1 %</w:t>
            </w:r>
            <w:r>
              <w:rPr>
                <w:b w:val="0"/>
                <w:i w:val="0"/>
                <w:sz w:val="19"/>
              </w:rPr>
              <w:t>, Dyer +12.8 %, SPI +28.3 %</w:t>
            </w:r>
          </w:p>
        </w:tc>
      </w:tr>
      <w:tr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  <w:t>Critical (choked) flow observed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  <w:t>yes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  <w:t>yes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  <w:t>✓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b/>
          <w:i w:val="0"/>
        </w:rPr>
        <w:t>What this establishes:</w:t>
      </w:r>
    </w:p>
    <w:p>
      <w:pPr>
        <w:pStyle w:val="ListBullet"/>
        <w:spacing w:after="60"/>
      </w:pPr>
      <w:r>
        <w:rPr>
          <w:b w:val="0"/>
          <w:i w:val="0"/>
        </w:rPr>
        <w:t xml:space="preserve">The measurement is </w:t>
      </w:r>
      <w:r>
        <w:rPr>
          <w:b/>
          <w:i w:val="0"/>
        </w:rPr>
        <w:t>bracketed by SPI above and HEM below</w:t>
      </w:r>
      <w:r>
        <w:rPr>
          <w:b w:val="0"/>
          <w:i w:val="0"/>
        </w:rPr>
        <w:t>, which is the ordering the physics demands. A result outside that bracket would have meant a coding error.</w:t>
      </w:r>
    </w:p>
    <w:p>
      <w:pPr>
        <w:pStyle w:val="ListBullet"/>
        <w:spacing w:after="60"/>
      </w:pPr>
      <w:r>
        <w:rPr>
          <w:b/>
          <w:i w:val="0"/>
        </w:rPr>
        <w:t>HEM under-predicts by 9 %</w:t>
      </w:r>
      <w:r>
        <w:rPr>
          <w:b w:val="0"/>
          <w:i w:val="0"/>
        </w:rPr>
        <w:t xml:space="preserve"> — and it must. The paper states equilibrium "gives a lower-bound estimate for the critical mass flow rate" because real flashing is delayed by metastable superheat. Landing just below the data is the correct behaviour, not a defect.</w:t>
      </w:r>
    </w:p>
    <w:p>
      <w:pPr>
        <w:pStyle w:val="ListBullet"/>
        <w:spacing w:after="60"/>
      </w:pPr>
      <w:r>
        <w:rPr>
          <w:b/>
          <w:i w:val="0"/>
        </w:rPr>
        <w:t>SPI over-predicts by 28 %.</w:t>
      </w:r>
      <w:r>
        <w:rPr>
          <w:b w:val="0"/>
          <w:i w:val="0"/>
        </w:rPr>
        <w:t xml:space="preserve"> This is the paper's central practical point, and it is exactly why HRAP's SPI-only liquid model will over-predict oxidiser flow for a flashing injector.</w:t>
      </w:r>
    </w:p>
    <w:p>
      <w:pPr>
        <w:pStyle w:val="ListBullet"/>
        <w:spacing w:after="60"/>
      </w:pPr>
      <w:r>
        <w:rPr>
          <w:b/>
          <w:i w:val="0"/>
        </w:rPr>
        <w:t>The tool's own L/D guidance is confirmed by the data.</w:t>
      </w:r>
      <w:r>
        <w:rPr>
          <w:b w:val="0"/>
          <w:i w:val="0"/>
        </w:rPr>
        <w:t xml:space="preserve"> It recommends HEM for L/D &gt; 10; at L/D = 12.3, HEM is indeed the closest model. That guidance was written from the literature before this comparison was run.</w:t>
      </w:r>
    </w:p>
    <w:p>
      <w:pPr>
        <w:spacing w:after="140"/>
      </w:pPr>
      <w:r>
        <w:rPr>
          <w:b/>
          <w:i w:val="0"/>
        </w:rPr>
        <w:t>Limits of this check.</w:t>
      </w:r>
      <w:r>
        <w:rPr>
          <w:b w:val="0"/>
          <w:i w:val="0"/>
        </w:rPr>
        <w:t xml:space="preserve"> The reference numbers are quoted from the paper's prose and figure captions, not a data table (the full dataset is in an appendix of an earlier paper by the same authors, not to hand), and </w:t>
      </w:r>
      <w:r>
        <w:rPr>
          <w:b w:val="0"/>
          <w:i w:val="0"/>
        </w:rPr>
        <w:t>Cd</w:t>
      </w:r>
      <w:r>
        <w:rPr>
          <w:b w:val="0"/>
          <w:i w:val="0"/>
          <w:vertAlign w:val="subscript"/>
        </w:rPr>
        <w:t>eff</w:t>
      </w:r>
      <w:r>
        <w:rPr>
          <w:b w:val="0"/>
          <w:i w:val="0"/>
        </w:rPr>
        <w:t xml:space="preserve"> is stated as "approximately 0.6". So this is good to a few percent, not three digits. It covers </w:t>
      </w:r>
      <w:r>
        <w:rPr>
          <w:b/>
          <w:i w:val="0"/>
        </w:rPr>
        <w:t>one injector at one operating point</w:t>
      </w:r>
      <w:r>
        <w:rPr>
          <w:b w:val="0"/>
          <w:i w:val="0"/>
        </w:rPr>
        <w:t xml:space="preserve">; the paper spans 500+ tests across five injectors, D = 0.79–1.93 mm, L/D = 9.5–23.4, and supercharges from 41 to 500 psi. </w:t>
      </w:r>
      <w:r>
        <w:rPr>
          <w:b/>
          <w:i w:val="0"/>
        </w:rPr>
        <w:t>Every tested orifice was long</w:t>
      </w:r>
      <w:r>
        <w:rPr>
          <w:b w:val="0"/>
          <w:i w:val="0"/>
        </w:rPr>
        <w:t xml:space="preserve"> (L/D ≥ 9.5) — there is still no external check in the thin-plate regime (L/D &lt; 5) where Dyer is the recommended model and most practical injector plates actually sit.</w:t>
      </w:r>
    </w:p>
    <w:p>
      <w:pPr>
        <w:spacing w:after="140"/>
      </w:pPr>
      <w:r>
        <w:rPr>
          <w:b w:val="0"/>
          <w:i w:val="0"/>
        </w:rPr>
        <w:t xml:space="preserve">Locked in as 11 tests in </w:t>
      </w:r>
      <w:r>
        <w:rPr>
          <w:rFonts w:ascii="Consolas" w:hAnsi="Consolas"/>
          <w:b w:val="0"/>
          <w:i w:val="0"/>
          <w:color w:val="A31515"/>
          <w:sz w:val="19"/>
        </w:rPr>
        <w:t>tests/test_external_validation.py</w:t>
      </w:r>
      <w:r>
        <w:rPr>
          <w:b w:val="0"/>
          <w:i w:val="0"/>
        </w:rPr>
        <w:t>.</w:t>
      </w:r>
    </w:p>
    <w:p>
      <w:pPr>
        <w:pStyle w:val="Heading3"/>
        <w:spacing w:before="200"/>
      </w:pPr>
      <w:r>
        <w:rPr>
          <w:b w:val="0"/>
          <w:i w:val="0"/>
          <w:color w:val="1F4E79"/>
        </w:rPr>
        <w:t>1.5 Bugs found and fixed during development</w:t>
      </w:r>
    </w:p>
    <w:p>
      <w:pPr>
        <w:spacing w:after="140"/>
      </w:pPr>
      <w:r>
        <w:rPr>
          <w:b w:val="0"/>
          <w:i w:val="0"/>
        </w:rPr>
        <w:t>These are listed because they indicate the class of error that testing catches — and, by implication, what might still be lurking in untested areas.</w:t>
      </w:r>
    </w:p>
    <w:p>
      <w:pPr>
        <w:pStyle w:val="ListNumber"/>
        <w:spacing w:after="60"/>
      </w:pPr>
      <w:r>
        <w:rPr>
          <w:b/>
          <w:i w:val="0"/>
        </w:rPr>
        <w:t>HEM returned zero flux above ~30 bar.</w:t>
      </w:r>
      <w:r>
        <w:rPr>
          <w:b w:val="0"/>
          <w:i w:val="0"/>
        </w:rPr>
        <w:t xml:space="preserve"> </w:t>
      </w:r>
      <w:r>
        <w:rPr>
          <w:b w:val="0"/>
          <w:i/>
        </w:rPr>
        <w:t>h₁ − h₂</w:t>
      </w:r>
      <w:r>
        <w:rPr>
          <w:b w:val="0"/>
          <w:i w:val="0"/>
        </w:rPr>
        <w:t xml:space="preserve"> in a flashing expansion is a few kJ/kg out of ~50, so independently-fitted enthalpy and entropy disagreed by more than the signal. Fixed by deriving entropy </w:t>
      </w:r>
      <w:r>
        <w:rPr>
          <w:b w:val="0"/>
          <w:i/>
        </w:rPr>
        <w:t>from</w:t>
      </w:r>
      <w:r>
        <w:rPr>
          <w:b w:val="0"/>
          <w:i w:val="0"/>
        </w:rPr>
        <w:t xml:space="preserve"> the ESDU enthalpy fit via </w:t>
      </w:r>
      <w:r>
        <w:rPr>
          <w:b w:val="0"/>
          <w:i/>
        </w:rPr>
        <w:t>T ds = dh − v dP</w:t>
      </w:r>
      <w:r>
        <w:rPr>
          <w:b w:val="0"/>
          <w:i w:val="0"/>
        </w:rPr>
        <w:t>.</w:t>
      </w:r>
    </w:p>
    <w:p>
      <w:pPr>
        <w:pStyle w:val="ListNumber"/>
        <w:spacing w:after="60"/>
      </w:pPr>
      <w:r>
        <w:rPr>
          <w:b/>
          <w:i w:val="0"/>
        </w:rPr>
        <w:t>Choked plateau wobbled</w:t>
      </w:r>
      <w:r>
        <w:rPr>
          <w:b w:val="0"/>
          <w:i w:val="0"/>
        </w:rPr>
        <w:t xml:space="preserve"> because the scalar HEM solver anchored its pressure grid at </w:t>
      </w:r>
      <w:r>
        <w:rPr>
          <w:b w:val="0"/>
          <w:i/>
        </w:rPr>
        <w:t>P₂</w:t>
      </w:r>
      <w:r>
        <w:rPr>
          <w:b w:val="0"/>
          <w:i w:val="0"/>
        </w:rPr>
        <w:t xml:space="preserve">. The plateau is physically flat; now the grid is anchored independently of </w:t>
      </w:r>
      <w:r>
        <w:rPr>
          <w:b w:val="0"/>
          <w:i/>
        </w:rPr>
        <w:t>P₂</w:t>
      </w:r>
      <w:r>
        <w:rPr>
          <w:b w:val="0"/>
          <w:i w:val="0"/>
        </w:rPr>
        <w:t>.</w:t>
      </w:r>
    </w:p>
    <w:p>
      <w:pPr>
        <w:pStyle w:val="ListNumber"/>
        <w:spacing w:after="60"/>
      </w:pPr>
      <w:r>
        <w:rPr>
          <w:b/>
          <w:i w:val="0"/>
        </w:rPr>
        <w:t>Transient chamber never settled</w:t>
      </w:r>
      <w:r>
        <w:rPr>
          <w:b w:val="0"/>
          <w:i w:val="0"/>
        </w:rPr>
        <w:t xml:space="preserve"> — chamber gas mass was seeded at ~0 instead of HRAP's </w:t>
      </w:r>
      <w:r>
        <w:rPr>
          <w:b w:val="0"/>
          <w:i/>
        </w:rPr>
        <w:t>1.225 × free volume</w:t>
      </w:r>
      <w:r>
        <w:rPr>
          <w:b w:val="0"/>
          <w:i w:val="0"/>
        </w:rPr>
        <w:t>, stretching the ignition transient across the whole burn.</w:t>
      </w:r>
    </w:p>
    <w:p>
      <w:pPr>
        <w:pStyle w:val="ListNumber"/>
        <w:spacing w:after="60"/>
      </w:pPr>
      <w:r>
        <w:rPr>
          <w:b/>
          <w:i w:val="0"/>
        </w:rPr>
        <w:t>An infeasible design-point guess aborted objectives that never use it</w:t>
      </w:r>
      <w:r>
        <w:rPr>
          <w:b w:val="0"/>
          <w:i w:val="0"/>
        </w:rPr>
        <w:t>, and a target that drives ΔP to ~0 returned a converged-looking but meaningless area. Both now handled explicitly.</w:t>
      </w:r>
    </w:p>
    <w:p>
      <w:pPr>
        <w:pStyle w:val="Heading2"/>
        <w:spacing w:before="280"/>
      </w:pPr>
      <w:r>
        <w:rPr>
          <w:b w:val="0"/>
          <w:i w:val="0"/>
          <w:color w:val="1F4E79"/>
        </w:rPr>
        <w:t>2. What to do to actually trust it</w:t>
      </w:r>
    </w:p>
    <w:p>
      <w:pPr>
        <w:spacing w:after="140"/>
      </w:pPr>
      <w:r>
        <w:rPr>
          <w:b w:val="0"/>
          <w:i w:val="0"/>
        </w:rPr>
        <w:t>Ordered by value per unit effort.</w:t>
      </w:r>
    </w:p>
    <w:p>
      <w:pPr>
        <w:pStyle w:val="Heading3"/>
        <w:spacing w:before="200"/>
      </w:pPr>
      <w:r>
        <w:rPr>
          <w:b w:val="0"/>
          <w:i w:val="0"/>
          <w:color w:val="1F4E79"/>
        </w:rPr>
        <w:t>Tier A — physical testing (only you can do this)</w:t>
      </w:r>
    </w:p>
    <w:p>
      <w:pPr>
        <w:spacing w:after="140"/>
      </w:pPr>
      <w:r>
        <w:rPr>
          <w:b/>
          <w:i w:val="0"/>
        </w:rPr>
        <w:t>A1. Cold-flow the injector plate. Highest value single action.</w:t>
      </w:r>
      <w:r>
        <w:rPr>
          <w:b w:val="0"/>
          <w:i w:val="0"/>
        </w:rPr>
        <w:t xml:space="preserve"> Water first: cheap, safe, and gives you the geometric discharge coefficient directly (</w:t>
      </w:r>
      <w:r>
        <w:rPr>
          <w:b w:val="0"/>
          <w:i/>
        </w:rPr>
        <w:t>Cd = ṁ / (A√(2ρΔP))</w:t>
      </w:r>
      <w:r>
        <w:rPr>
          <w:b w:val="0"/>
          <w:i w:val="0"/>
        </w:rPr>
        <w:t xml:space="preserve">). Then N2O if you can do it safely: this is the </w:t>
      </w:r>
      <w:r>
        <w:rPr>
          <w:b w:val="0"/>
          <w:i/>
        </w:rPr>
        <w:t>only</w:t>
      </w:r>
      <w:r>
        <w:rPr>
          <w:b w:val="0"/>
          <w:i w:val="0"/>
        </w:rPr>
        <w:t xml:space="preserve"> way to tell which of SPI/HEM/Dyer describes your actual plate. Sweep several ΔP values and, if possible, two feed temperatures. </w:t>
      </w:r>
      <w:r>
        <w:rPr>
          <w:b w:val="0"/>
          <w:i/>
        </w:rPr>
        <w:t>Send me the ṁ / ΔP / T data and I will fit Cd, overlay all three models, and tell you which one your hardware follows.</w:t>
      </w:r>
    </w:p>
    <w:p>
      <w:pPr>
        <w:spacing w:before="160" w:after="160"/>
        <w:jc w:val="center"/>
      </w:pPr>
      <m:oMathPara>
        <m:oMath>
          <m:sSub>
            <m:e>
              <m:r>
                <m:t xml:space="preserve">C</m:t>
              </m:r>
            </m:e>
            <m:sub>
              <m:r>
                <m:t xml:space="preserve">d</m:t>
              </m:r>
            </m:sub>
          </m:sSub>
          <m:r>
            <m:t xml:space="preserve"> = </m:t>
          </m:r>
          <m:f>
            <m:num>
              <m:acc>
                <m:accPr>
                  <m:chr m:val="̇"/>
                </m:accPr>
                <m:e>
                  <m:r>
                    <m:t xml:space="preserve">m</m:t>
                  </m:r>
                </m:e>
              </m:acc>
            </m:num>
            <m:den>
              <m:r>
                <m:t xml:space="preserve">A </m:t>
              </m:r>
              <m:rad>
                <m:radPr>
                  <m:degHide m:val="1"/>
                </m:radPr>
                <m:deg/>
                <m:e>
                  <m:r>
                    <m:t xml:space="preserve">2</m:t>
                  </m:r>
                  <m:r>
                    <m:t xml:space="preserve">ρ</m:t>
                  </m:r>
                  <m:r>
                    <m:t xml:space="preserve">Δ</m:t>
                  </m:r>
                  <m:r>
                    <m:t xml:space="preserve">P</m:t>
                  </m:r>
                </m:e>
              </m:rad>
            </m:den>
          </m:f>
        </m:oMath>
      </m:oMathPara>
    </w:p>
    <w:p>
      <w:pPr>
        <w:spacing w:after="140"/>
      </w:pPr>
      <w:r>
        <w:rPr>
          <w:b/>
          <w:i w:val="0"/>
        </w:rPr>
        <w:t>A2. Static fire with instrumentation.</w:t>
      </w:r>
      <w:r>
        <w:rPr>
          <w:b w:val="0"/>
          <w:i w:val="0"/>
        </w:rPr>
        <w:t xml:space="preserve"> Minimum useful set: tank pressure, tank temperature, chamber pressure, thrust, and propellant masses before and after. Time-align everything to a common trigger.</w:t>
      </w:r>
    </w:p>
    <w:p>
      <w:pPr>
        <w:spacing w:after="140"/>
      </w:pPr>
      <w:r>
        <w:rPr>
          <w:b/>
          <w:i w:val="0"/>
        </w:rPr>
        <w:t>A3. Measure your own regression coefficients.</w:t>
      </w:r>
      <w:r>
        <w:rPr>
          <w:b w:val="0"/>
          <w:i w:val="0"/>
        </w:rPr>
        <w:t xml:space="preserve"> Pre- and post-fire port diameter and grain mass. Two firings at meaningfully different oxidiser flux give you </w:t>
      </w:r>
      <w:r>
        <w:rPr>
          <w:b w:val="0"/>
          <w:i/>
        </w:rPr>
        <w:t>a</w:t>
      </w:r>
      <w:r>
        <w:rPr>
          <w:b w:val="0"/>
          <w:i w:val="0"/>
        </w:rPr>
        <w:t xml:space="preserve"> and </w:t>
      </w:r>
      <w:r>
        <w:rPr>
          <w:b w:val="0"/>
          <w:i/>
        </w:rPr>
        <w:t>n</w:t>
      </w:r>
      <w:r>
        <w:rPr>
          <w:b w:val="0"/>
          <w:i w:val="0"/>
        </w:rPr>
        <w:t xml:space="preserve"> by fitting </w:t>
      </w:r>
      <w:r>
        <w:rPr>
          <w:b w:val="0"/>
          <w:i/>
        </w:rPr>
        <w:t>ṙ = a·</w:t>
      </w:r>
      <w:r>
        <w:rPr>
          <w:b w:val="0"/>
          <w:i/>
        </w:rPr>
        <w:t>G</w:t>
      </w:r>
      <w:r>
        <w:rPr>
          <w:b w:val="0"/>
          <w:i/>
          <w:vertAlign w:val="subscript"/>
        </w:rPr>
        <w:t>ox</w:t>
      </w:r>
      <w:r>
        <w:rPr>
          <w:b w:val="0"/>
          <w:i/>
        </w:rPr>
        <w:t>^n</w:t>
      </w:r>
      <w:r>
        <w:rPr>
          <w:b w:val="0"/>
          <w:i w:val="0"/>
        </w:rPr>
        <w:t xml:space="preserve">. </w:t>
      </w:r>
      <w:r>
        <w:rPr>
          <w:b/>
          <w:i w:val="0"/>
        </w:rPr>
        <w:t>See §3.1 — this matters more than everything else combined.</w:t>
      </w:r>
    </w:p>
    <w:p>
      <w:pPr>
        <w:spacing w:after="140"/>
      </w:pPr>
      <w:r>
        <w:rPr>
          <w:b/>
          <w:i w:val="0"/>
        </w:rPr>
        <w:t>A4. Weigh the N2O load and the residual.</w:t>
      </w:r>
      <w:r>
        <w:rPr>
          <w:b w:val="0"/>
          <w:i w:val="0"/>
        </w:rPr>
        <w:t xml:space="preserve"> Blowdown ends with a significant vapour residual; confirming it validates the tank model independently of combustion.</w:t>
      </w:r>
    </w:p>
    <w:p>
      <w:pPr>
        <w:pStyle w:val="Heading3"/>
        <w:spacing w:before="200"/>
      </w:pPr>
      <w:r>
        <w:rPr>
          <w:b w:val="0"/>
          <w:i w:val="0"/>
          <w:color w:val="1F4E79"/>
        </w:rPr>
        <w:t>Tier B — analysis I can do now, with no new data</w:t>
      </w:r>
    </w:p>
    <w:p>
      <w:pPr>
        <w:pStyle w:val="ListBullet"/>
        <w:spacing w:after="60"/>
      </w:pPr>
      <w:r>
        <w:rPr>
          <w:b/>
          <w:i w:val="0"/>
        </w:rPr>
        <w:t>B1. Timestep convergence study.</w:t>
      </w:r>
      <w:r>
        <w:rPr>
          <w:b w:val="0"/>
          <w:i w:val="0"/>
        </w:rPr>
        <w:t xml:space="preserve"> Confirm results are converged at your </w:t>
      </w:r>
      <w:r>
        <w:rPr>
          <w:rFonts w:ascii="Consolas" w:hAnsi="Consolas"/>
          <w:b w:val="0"/>
          <w:i w:val="0"/>
          <w:color w:val="A31515"/>
          <w:sz w:val="19"/>
        </w:rPr>
        <w:t>dt</w:t>
      </w:r>
      <w:r>
        <w:rPr>
          <w:b w:val="0"/>
          <w:i w:val="0"/>
        </w:rPr>
        <w:t xml:space="preserve"> and report the error at each. The integrator is forward Euler (matching HRAP); this is currently unquantified and is the most likely source of silent error.</w:t>
      </w:r>
    </w:p>
    <w:p>
      <w:pPr>
        <w:pStyle w:val="ListBullet"/>
        <w:spacing w:after="60"/>
      </w:pPr>
      <w:r>
        <w:rPr>
          <w:b/>
          <w:i w:val="0"/>
        </w:rPr>
        <w:t>B2. Monte Carlo uncertainty propagation.</w:t>
      </w:r>
      <w:r>
        <w:rPr>
          <w:b w:val="0"/>
          <w:i w:val="0"/>
        </w:rPr>
        <w:t xml:space="preserve"> Give me your input uncertainties (±Cd, ±a, ±n, ±fill mass, ±temperature) and I'll return a distribution on hole diameter, O/F and impulse instead of a single number. Given §3.1 this is probably the most useful thing I can produce without new data.</w:t>
      </w:r>
    </w:p>
    <w:p>
      <w:pPr>
        <w:pStyle w:val="ListBullet"/>
        <w:spacing w:after="60"/>
      </w:pPr>
      <w:r>
        <w:rPr>
          <w:b/>
          <w:i w:val="0"/>
        </w:rPr>
        <w:t>B3. Lock in a reference-case regression test</w:t>
      </w:r>
      <w:r>
        <w:rPr>
          <w:b w:val="0"/>
          <w:i w:val="0"/>
        </w:rPr>
        <w:t xml:space="preserve"> so future changes cannot silently move the answers.</w:t>
      </w:r>
    </w:p>
    <w:p>
      <w:pPr>
        <w:pStyle w:val="ListBullet"/>
        <w:spacing w:after="60"/>
      </w:pPr>
      <w:r>
        <w:rPr>
          <w:b/>
          <w:i w:val="0"/>
        </w:rPr>
        <w:t>B4. Grid-independence check on the HEM solver</w:t>
      </w:r>
      <w:r>
        <w:rPr>
          <w:b w:val="0"/>
          <w:i w:val="0"/>
        </w:rPr>
        <w:t xml:space="preserve"> (currently 600 points) and on the saturation table.</w:t>
      </w:r>
    </w:p>
    <w:p>
      <w:pPr>
        <w:pStyle w:val="ListBullet"/>
        <w:spacing w:after="60"/>
      </w:pPr>
      <w:r>
        <w:rPr>
          <w:b w:val="0"/>
          <w:i w:val="0"/>
        </w:rPr>
        <w:t>~~</w:t>
      </w:r>
      <w:r>
        <w:rPr>
          <w:b/>
          <w:i w:val="0"/>
        </w:rPr>
        <w:t>B5. Find and digest published N2O injector data.</w:t>
      </w:r>
      <w:r>
        <w:rPr>
          <w:b w:val="0"/>
          <w:i w:val="0"/>
        </w:rPr>
        <w:t xml:space="preserve">~~ </w:t>
      </w:r>
      <w:r>
        <w:rPr>
          <w:b/>
          <w:i w:val="0"/>
        </w:rPr>
        <w:t>Done</w:t>
      </w:r>
      <w:r>
        <w:rPr>
          <w:b w:val="0"/>
          <w:i w:val="0"/>
        </w:rPr>
        <w:t xml:space="preserve"> — see §1.4. The remaining gap is the thin-plate regime (L/D &lt; 5), which the NASA dataset does not cover. Worth hunting for a second dataset there, since that is where most practical injector plates sit and where Dyer is the recommended model.</w:t>
      </w:r>
    </w:p>
    <w:p>
      <w:pPr>
        <w:pStyle w:val="Heading3"/>
        <w:spacing w:before="200"/>
      </w:pPr>
      <w:r>
        <w:rPr>
          <w:b w:val="0"/>
          <w:i w:val="0"/>
          <w:color w:val="1F4E79"/>
        </w:rPr>
        <w:t>Tier C — needs one thing from you, then I can finish</w:t>
      </w:r>
    </w:p>
    <w:p>
      <w:pPr>
        <w:pStyle w:val="ListBullet"/>
        <w:spacing w:after="60"/>
      </w:pPr>
      <w:r>
        <w:rPr>
          <w:b/>
          <w:i w:val="0"/>
        </w:rPr>
        <w:t>C1. Real HRAP cross-check.</w:t>
      </w:r>
      <w:r>
        <w:rPr>
          <w:b w:val="0"/>
          <w:i w:val="0"/>
        </w:rPr>
        <w:t xml:space="preserve"> Export a CSV from your HRAP install for a motor you care about, and I'll run the comparison and chase any discrepancy. This is now a 3-click workflow in the GUI. </w:t>
      </w:r>
      <w:r>
        <w:rPr>
          <w:b w:val="0"/>
          <w:i/>
        </w:rPr>
        <w:t>This is the obvious next step.</w:t>
      </w:r>
    </w:p>
    <w:p>
      <w:pPr>
        <w:pStyle w:val="ListBullet"/>
        <w:spacing w:after="60"/>
      </w:pPr>
      <w:r>
        <w:rPr>
          <w:b/>
          <w:i w:val="0"/>
        </w:rPr>
        <w:t>C2. Tailored sensitivity study</w:t>
      </w:r>
      <w:r>
        <w:rPr>
          <w:b w:val="0"/>
          <w:i w:val="0"/>
        </w:rPr>
        <w:t xml:space="preserve"> on your actual motor rather than my demo.</w:t>
      </w:r>
    </w:p>
    <w:p>
      <w:pPr>
        <w:pStyle w:val="Heading3"/>
        <w:spacing w:before="200"/>
      </w:pPr>
      <w:r>
        <w:rPr>
          <w:b w:val="0"/>
          <w:i w:val="0"/>
          <w:color w:val="1F4E79"/>
        </w:rPr>
        <w:t>Tier D — missing physics I can implement on request</w:t>
      </w:r>
    </w:p>
    <w:p>
      <w:pPr>
        <w:spacing w:after="140"/>
      </w:pPr>
      <w:r>
        <w:rPr>
          <w:b w:val="0"/>
          <w:i w:val="0"/>
        </w:rPr>
        <w:t>Listed in §3.3 with the size of the error each one is hiding.</w:t>
      </w:r>
    </w:p>
    <w:p>
      <w:pPr>
        <w:pStyle w:val="Heading2"/>
        <w:spacing w:before="280"/>
      </w:pPr>
      <w:r>
        <w:rPr>
          <w:b w:val="0"/>
          <w:i w:val="0"/>
          <w:color w:val="1F4E79"/>
        </w:rPr>
        <w:t>3. Notes, warnings, and known inaccuracies</w:t>
      </w:r>
    </w:p>
    <w:p>
      <w:pPr>
        <w:pStyle w:val="Heading3"/>
        <w:spacing w:before="200"/>
      </w:pPr>
      <w:r>
        <w:rPr>
          <w:b w:val="0"/>
          <w:i w:val="0"/>
          <w:color w:val="1F4E79"/>
        </w:rPr>
        <w:t>3.1 The regression coefficients — what the sensitivity actually means</w:t>
      </w:r>
    </w:p>
    <w:p>
      <w:pPr>
        <w:spacing w:after="140"/>
      </w:pPr>
      <w:r>
        <w:rPr>
          <w:b/>
          <w:i w:val="0"/>
        </w:rPr>
        <w:t>Correction to an earlier version of this document.</w:t>
      </w:r>
      <w:r>
        <w:rPr>
          <w:b w:val="0"/>
          <w:i w:val="0"/>
        </w:rPr>
        <w:t xml:space="preserve"> The sensitivity table below is a property of the </w:t>
      </w:r>
      <w:r>
        <w:rPr>
          <w:b/>
          <w:i w:val="0"/>
        </w:rPr>
        <w:t>inverse problem this tool solves</w:t>
      </w:r>
      <w:r>
        <w:rPr>
          <w:b w:val="0"/>
          <w:i w:val="0"/>
        </w:rPr>
        <w:t xml:space="preserve">, not evidence that HRAP's coefficients are wrong. HRAP runs </w:t>
      </w:r>
      <w:r>
        <w:rPr>
          <w:b w:val="0"/>
          <w:i/>
        </w:rPr>
        <w:t>forwards</w:t>
      </w:r>
      <w:r>
        <w:rPr>
          <w:b w:val="0"/>
          <w:i w:val="0"/>
        </w:rPr>
        <w:t xml:space="preserve"> — fixed geometry, predict O/F — and in that direction the same coefficient errors are benign: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DEEAF6"/>
          </w:tcPr>
          <w:p>
            <w:r/>
            <w:r>
              <w:rPr>
                <w:b/>
                <w:i w:val="0"/>
                <w:sz w:val="19"/>
              </w:rPr>
              <w:t>+10 % error</w:t>
            </w:r>
          </w:p>
        </w:tc>
        <w:tc>
          <w:tcPr>
            <w:tcW w:type="dxa" w:w="3216"/>
            <w:shd w:val="clear" w:color="auto" w:fill="DEEAF6"/>
          </w:tcPr>
          <w:p>
            <w:r/>
            <w:r>
              <w:rPr>
                <w:b/>
                <w:i w:val="0"/>
                <w:sz w:val="19"/>
              </w:rPr>
              <w:t>Forward (HRAP's direction): resulting O/F</w:t>
            </w:r>
          </w:p>
        </w:tc>
        <w:tc>
          <w:tcPr>
            <w:tcW w:type="dxa" w:w="3216"/>
            <w:shd w:val="clear" w:color="auto" w:fill="DEEAF6"/>
          </w:tcPr>
          <w:p>
            <w:r/>
            <w:r>
              <w:rPr>
                <w:b/>
                <w:i w:val="0"/>
                <w:sz w:val="19"/>
              </w:rPr>
              <w:t>Inverse (sizing to an O/F target): resulting area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i w:val="0"/>
                <w:sz w:val="19"/>
              </w:rPr>
              <w:t xml:space="preserve">coefficient </w:t>
            </w:r>
            <w:r>
              <w:rPr>
                <w:b w:val="0"/>
                <w:i/>
                <w:sz w:val="19"/>
              </w:rPr>
              <w:t>a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19"/>
              </w:rPr>
              <w:t>−8.7 %</w:t>
            </w:r>
          </w:p>
        </w:tc>
        <w:tc>
          <w:tcPr>
            <w:tcW w:type="dxa" w:w="3216"/>
          </w:tcPr>
          <w:p>
            <w:r/>
            <w:r>
              <w:rPr>
                <w:b/>
                <w:i w:val="0"/>
                <w:sz w:val="19"/>
              </w:rPr>
              <w:t>+148 %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i w:val="0"/>
                <w:sz w:val="19"/>
              </w:rPr>
              <w:t xml:space="preserve">exponent </w:t>
            </w:r>
            <w:r>
              <w:rPr>
                <w:b w:val="0"/>
                <w:i/>
                <w:sz w:val="19"/>
              </w:rPr>
              <w:t>n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19"/>
              </w:rPr>
              <w:t>−33 %</w:t>
            </w:r>
          </w:p>
        </w:tc>
        <w:tc>
          <w:tcPr>
            <w:tcW w:type="dxa" w:w="3216"/>
          </w:tcPr>
          <w:p>
            <w:r/>
            <w:r>
              <w:rPr>
                <w:b/>
                <w:i w:val="0"/>
                <w:sz w:val="19"/>
              </w:rPr>
              <w:t>+10456 %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b w:val="0"/>
          <w:i w:val="0"/>
        </w:rPr>
        <w:t xml:space="preserve">The amplification is created by the inversion. To hit a target O/F you must solve </w:t>
      </w:r>
      <w:r>
        <w:rPr>
          <w:b w:val="0"/>
          <w:i/>
        </w:rPr>
        <w:t>ṁ</w:t>
      </w:r>
      <w:r>
        <w:rPr>
          <w:b w:val="0"/>
          <w:i/>
          <w:vertAlign w:val="subscript"/>
        </w:rPr>
        <w:t>ox</w:t>
      </w:r>
      <w:r>
        <w:rPr>
          <w:b w:val="0"/>
          <w:i/>
        </w:rPr>
        <w:t xml:space="preserve"> ∝ [ … ]^(1/(1−n))</w:t>
      </w:r>
      <w:r>
        <w:rPr>
          <w:b w:val="0"/>
          <w:i w:val="0"/>
        </w:rPr>
        <w:t xml:space="preserve">; for paraffin </w:t>
      </w:r>
      <w:r>
        <w:rPr>
          <w:b w:val="0"/>
          <w:i/>
        </w:rPr>
        <w:t>n ≈ 0.68</w:t>
      </w:r>
      <w:r>
        <w:rPr>
          <w:b w:val="0"/>
          <w:i w:val="0"/>
        </w:rPr>
        <w:t xml:space="preserve">, so that exponent is </w:t>
      </w:r>
      <w:r>
        <w:rPr>
          <w:b/>
          <w:i w:val="0"/>
        </w:rPr>
        <w:t>3.13</w:t>
      </w:r>
      <w:r>
        <w:rPr>
          <w:b w:val="0"/>
          <w:i w:val="0"/>
        </w:rPr>
        <w:t xml:space="preserve"> and a 10 % error in </w:t>
      </w:r>
      <w:r>
        <w:rPr>
          <w:b w:val="0"/>
          <w:i/>
        </w:rPr>
        <w:t>a</w:t>
      </w:r>
      <w:r>
        <w:rPr>
          <w:b w:val="0"/>
          <w:i w:val="0"/>
        </w:rPr>
        <w:t xml:space="preserve"> becomes 35 % in required flow. A second amplification follows: a larger injector raises chamber pressure, which cuts the injector ΔP, which demands more area again. HRAP never does this inversion, so this was never an HRAP problem.</w:t>
      </w:r>
    </w:p>
    <w:p>
      <w:pPr>
        <w:spacing w:before="160" w:after="160"/>
        <w:jc w:val="center"/>
      </w:pPr>
      <m:oMathPara>
        <m:oMath>
          <m:sSub>
            <m:e>
              <m:acc>
                <m:accPr>
                  <m:chr m:val="̇"/>
                </m:accPr>
                <m:e>
                  <m:r>
                    <m:t xml:space="preserve">m</m:t>
                  </m:r>
                </m:e>
              </m:acc>
            </m:e>
            <m:sub>
              <m:r>
                <m:t xml:space="preserve">ox</m:t>
              </m:r>
            </m:sub>
          </m:sSub>
          <m:r>
            <m:t xml:space="preserve"> ∝ </m:t>
          </m:r>
          <m:sSup>
            <m:e>
              <m:d>
                <m:dPr>
                  <m:begChr m:val="["/>
                  <m:endChr m:val="]"/>
                </m:dPr>
                <m:e>
                  <m:r>
                    <m:t xml:space="preserve"> ⋯ </m:t>
                  </m:r>
                </m:e>
              </m:d>
            </m:e>
            <m:sup>
              <m:f>
                <m:num>
                  <m:r>
                    <m:t xml:space="preserve">1</m:t>
                  </m:r>
                </m:num>
                <m:den>
                  <m:r>
                    <m:t xml:space="preserve">1 − n</m:t>
                  </m:r>
                </m:den>
              </m:f>
            </m:sup>
          </m:sSup>
        </m:oMath>
      </m:oMathPara>
    </w:p>
    <w:p>
      <w:pPr>
        <w:spacing w:after="140"/>
      </w:pPr>
      <w:r>
        <w:rPr>
          <w:b/>
          <w:i w:val="0"/>
        </w:rPr>
        <w:t>This is now fixed.</w:t>
      </w:r>
      <w:r>
        <w:rPr>
          <w:b w:val="0"/>
          <w:i w:val="0"/>
        </w:rPr>
        <w:t xml:space="preserve"> Two objectives were added that size the orifice from the feed state alone and never touch the regression law: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DEEAF6"/>
          </w:tcPr>
          <w:p>
            <w:r/>
            <w:r>
              <w:rPr>
                <w:b/>
                <w:i w:val="0"/>
                <w:sz w:val="19"/>
              </w:rPr>
              <w:t>Objective</w:t>
            </w:r>
          </w:p>
        </w:tc>
        <w:tc>
          <w:tcPr>
            <w:tcW w:type="dxa" w:w="3216"/>
            <w:shd w:val="clear" w:color="auto" w:fill="DEEAF6"/>
          </w:tcPr>
          <w:p>
            <w:r/>
            <w:r>
              <w:rPr>
                <w:b/>
                <w:i/>
                <w:sz w:val="19"/>
              </w:rPr>
              <w:t>a</w:t>
            </w:r>
            <w:r>
              <w:rPr>
                <w:b/>
                <w:i w:val="0"/>
                <w:sz w:val="19"/>
              </w:rPr>
              <w:t xml:space="preserve"> +10 %</w:t>
            </w:r>
          </w:p>
        </w:tc>
        <w:tc>
          <w:tcPr>
            <w:tcW w:type="dxa" w:w="3216"/>
            <w:shd w:val="clear" w:color="auto" w:fill="DEEAF6"/>
          </w:tcPr>
          <w:p>
            <w:r/>
            <w:r>
              <w:rPr>
                <w:b/>
                <w:i/>
                <w:sz w:val="19"/>
              </w:rPr>
              <w:t>n</w:t>
            </w:r>
            <w:r>
              <w:rPr>
                <w:b/>
                <w:i w:val="0"/>
                <w:sz w:val="19"/>
              </w:rPr>
              <w:t xml:space="preserve"> +10 %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b w:val="0"/>
                <w:i w:val="0"/>
                <w:color w:val="A31515"/>
                <w:sz w:val="19"/>
              </w:rPr>
              <w:t>burn_average</w:t>
            </w:r>
            <w:r>
              <w:rPr>
                <w:b w:val="0"/>
                <w:i w:val="0"/>
                <w:sz w:val="19"/>
              </w:rPr>
              <w:t xml:space="preserve"> (O/F target)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19"/>
              </w:rPr>
              <w:t>+148 %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19"/>
              </w:rPr>
              <w:t>+10456 %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  <w:i w:val="0"/>
                <w:sz w:val="19"/>
              </w:rPr>
              <w:t>`</w:t>
            </w:r>
            <w:r>
              <w:rPr>
                <w:b/>
                <w:i w:val="0"/>
                <w:sz w:val="19"/>
              </w:rPr>
              <w:t>mdot</w:t>
            </w:r>
            <w:r>
              <w:rPr>
                <w:b/>
                <w:i w:val="0"/>
                <w:sz w:val="19"/>
                <w:vertAlign w:val="subscript"/>
              </w:rPr>
              <w:t>ox</w:t>
            </w:r>
            <w:r>
              <w:rPr>
                <w:b/>
                <w:i w:val="0"/>
                <w:sz w:val="19"/>
              </w:rPr>
              <w:t>`</w:t>
            </w:r>
            <w:r>
              <w:rPr>
                <w:b w:val="0"/>
                <w:i w:val="0"/>
                <w:sz w:val="19"/>
              </w:rPr>
              <w:t xml:space="preserve"> (target oxidiser flow)</w:t>
            </w:r>
          </w:p>
        </w:tc>
        <w:tc>
          <w:tcPr>
            <w:tcW w:type="dxa" w:w="3216"/>
          </w:tcPr>
          <w:p>
            <w:r/>
            <w:r>
              <w:rPr>
                <w:b/>
                <w:i w:val="0"/>
                <w:sz w:val="19"/>
              </w:rPr>
              <w:t>+1.0 %</w:t>
            </w:r>
          </w:p>
        </w:tc>
        <w:tc>
          <w:tcPr>
            <w:tcW w:type="dxa" w:w="3216"/>
          </w:tcPr>
          <w:p>
            <w:r/>
            <w:r>
              <w:rPr>
                <w:b/>
                <w:i w:val="0"/>
                <w:sz w:val="19"/>
              </w:rPr>
              <w:t>+1.8 %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  <w:i w:val="0"/>
                <w:sz w:val="19"/>
              </w:rPr>
              <w:t>`chamber_pressure`</w:t>
            </w:r>
            <w:r>
              <w:rPr>
                <w:b w:val="0"/>
                <w:i w:val="0"/>
                <w:sz w:val="19"/>
              </w:rPr>
              <w:t xml:space="preserve"> (target Pc)</w:t>
            </w:r>
          </w:p>
        </w:tc>
        <w:tc>
          <w:tcPr>
            <w:tcW w:type="dxa" w:w="3216"/>
          </w:tcPr>
          <w:p>
            <w:r/>
            <w:r>
              <w:rPr>
                <w:b/>
                <w:i w:val="0"/>
                <w:sz w:val="19"/>
              </w:rPr>
              <w:t>−1.4 %</w:t>
            </w:r>
          </w:p>
        </w:tc>
        <w:tc>
          <w:tcPr>
            <w:tcW w:type="dxa" w:w="3216"/>
          </w:tcPr>
          <w:p>
            <w:r/>
            <w:r>
              <w:rPr>
                <w:b/>
                <w:i w:val="0"/>
                <w:sz w:val="19"/>
              </w:rPr>
              <w:t>−2.2 %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b w:val="0"/>
          <w:i w:val="0"/>
        </w:rPr>
        <w:t xml:space="preserve">The physical design barely changes — sizing the demo motor for 1.53 kg/s gives a 1.697 mm hole against 1.699 mm from the O/F objective. You get the </w:t>
      </w:r>
      <w:r>
        <w:rPr>
          <w:b w:val="0"/>
          <w:i/>
        </w:rPr>
        <w:t>same injector</w:t>
      </w:r>
      <w:r>
        <w:rPr>
          <w:b w:val="0"/>
          <w:i w:val="0"/>
        </w:rPr>
        <w:t xml:space="preserve">, arrived at in a way that is roughly 5000× less sensitive to coefficient error. The tool now emits an </w:t>
      </w:r>
      <w:r>
        <w:rPr>
          <w:rFonts w:ascii="Consolas" w:hAnsi="Consolas"/>
          <w:b w:val="0"/>
          <w:i w:val="0"/>
          <w:color w:val="A31515"/>
          <w:sz w:val="19"/>
        </w:rPr>
        <w:t>ILL-CONDITIONED OBJECTIVE</w:t>
      </w:r>
      <w:r>
        <w:rPr>
          <w:b w:val="0"/>
          <w:i w:val="0"/>
        </w:rPr>
        <w:t xml:space="preserve"> warning, and reports </w:t>
      </w:r>
      <w:r>
        <w:rPr>
          <w:b w:val="0"/>
          <w:i/>
        </w:rPr>
        <w:t>1/(1−n)</w:t>
      </w:r>
      <w:r>
        <w:rPr>
          <w:b w:val="0"/>
          <w:i w:val="0"/>
        </w:rPr>
        <w:t>, whenever an O/F objective is used.</w:t>
      </w:r>
    </w:p>
    <w:p>
      <w:pPr>
        <w:spacing w:after="140"/>
      </w:pPr>
      <w:r>
        <w:rPr>
          <w:b/>
          <w:i w:val="0"/>
        </w:rPr>
        <w:t>Recommended workflow:</w:t>
      </w:r>
      <w:r>
        <w:rPr>
          <w:b w:val="0"/>
          <w:i w:val="0"/>
        </w:rPr>
        <w:t xml:space="preserve"> size with </w:t>
      </w:r>
      <w:r>
        <w:rPr>
          <w:rFonts w:ascii="Consolas" w:hAnsi="Consolas"/>
          <w:b w:val="0"/>
          <w:i w:val="0"/>
          <w:color w:val="A31515"/>
          <w:sz w:val="19"/>
        </w:rPr>
        <w:t>mdot_ox</w:t>
      </w:r>
      <w:r>
        <w:rPr>
          <w:b w:val="0"/>
          <w:i w:val="0"/>
        </w:rPr>
        <w:t xml:space="preserve"> or </w:t>
      </w:r>
      <w:r>
        <w:rPr>
          <w:rFonts w:ascii="Consolas" w:hAnsi="Consolas"/>
          <w:b w:val="0"/>
          <w:i w:val="0"/>
          <w:color w:val="A31515"/>
          <w:sz w:val="19"/>
        </w:rPr>
        <w:t>chamber_pressure</w:t>
      </w:r>
      <w:r>
        <w:rPr>
          <w:b w:val="0"/>
          <w:i w:val="0"/>
        </w:rPr>
        <w:t xml:space="preserve">, then run forwards and read off the O/F you actually get. Use the O/F objectives only once </w:t>
      </w:r>
      <w:r>
        <w:rPr>
          <w:b w:val="0"/>
          <w:i/>
        </w:rPr>
        <w:t>a</w:t>
      </w:r>
      <w:r>
        <w:rPr>
          <w:b w:val="0"/>
          <w:i w:val="0"/>
        </w:rPr>
        <w:t xml:space="preserve"> and </w:t>
      </w:r>
      <w:r>
        <w:rPr>
          <w:b w:val="0"/>
          <w:i/>
        </w:rPr>
        <w:t>n</w:t>
      </w:r>
      <w:r>
        <w:rPr>
          <w:b w:val="0"/>
          <w:i w:val="0"/>
        </w:rPr>
        <w:t xml:space="preserve"> are measured on your own motor.</w:t>
      </w:r>
    </w:p>
    <w:p>
      <w:pPr>
        <w:pStyle w:val="Heading3"/>
        <w:spacing w:before="200"/>
      </w:pPr>
      <w:r>
        <w:rPr>
          <w:b w:val="0"/>
          <w:i w:val="0"/>
          <w:color w:val="1F4E79"/>
        </w:rPr>
        <w:t>3.1b Why the coefficients still can't be transplanted</w:t>
      </w:r>
    </w:p>
    <w:p>
      <w:pPr>
        <w:spacing w:after="140"/>
      </w:pPr>
      <w:r>
        <w:rPr>
          <w:b w:val="0"/>
          <w:i w:val="0"/>
        </w:rPr>
        <w:t>None of the above means the shipped coefficients are usable as-is. HRAP's own theory document is explicit (§II.B, eq. 11):</w:t>
      </w:r>
    </w:p>
    <w:p>
      <w:pPr>
        <w:spacing w:before="120" w:after="120"/>
        <w:ind w:left="288" w:right="288"/>
        <w:shd w:val="clear" w:color="auto" w:fill="FFF8E1"/>
        <w:pBdr>
          <w:left w:val="single" w:sz="18" w:color="E0A800"/>
        </w:pBdr>
      </w:pPr>
      <w:r>
        <w:rPr>
          <w:b w:val="0"/>
          <w:i w:val="0"/>
          <w:sz w:val="20"/>
        </w:rPr>
        <w:t xml:space="preserve">the values a, n and m are experimentally determined constants which depend on the propellant being used, </w:t>
      </w:r>
      <w:r>
        <w:rPr>
          <w:b/>
          <w:i w:val="0"/>
          <w:sz w:val="20"/>
        </w:rPr>
        <w:t>and the oxidizer injection system</w:t>
      </w:r>
      <w:r>
        <w:rPr>
          <w:b w:val="0"/>
          <w:i w:val="0"/>
          <w:sz w:val="20"/>
        </w:rPr>
        <w:t>. Injection systems which induce a vortex in the oxidizer flow substantially increase regression rates compared to simple axial injection…</w:t>
      </w:r>
    </w:p>
    <w:p>
      <w:pPr>
        <w:spacing w:after="140"/>
      </w:pPr>
      <w:r>
        <w:rPr>
          <w:b w:val="0"/>
          <w:i w:val="0"/>
        </w:rPr>
        <w:t xml:space="preserve">So </w:t>
      </w:r>
      <w:r>
        <w:rPr>
          <w:b w:val="0"/>
          <w:i/>
        </w:rPr>
        <w:t>a</w:t>
      </w:r>
      <w:r>
        <w:rPr>
          <w:b w:val="0"/>
          <w:i w:val="0"/>
        </w:rPr>
        <w:t xml:space="preserve"> and </w:t>
      </w:r>
      <w:r>
        <w:rPr>
          <w:b w:val="0"/>
          <w:i/>
        </w:rPr>
        <w:t>n</w:t>
      </w:r>
      <w:r>
        <w:rPr>
          <w:b w:val="0"/>
          <w:i w:val="0"/>
        </w:rPr>
        <w:t xml:space="preserve"> are </w:t>
      </w:r>
      <w:r>
        <w:rPr>
          <w:b/>
          <w:i w:val="0"/>
        </w:rPr>
        <w:t>not a fuel property</w:t>
      </w:r>
      <w:r>
        <w:rPr>
          <w:b w:val="0"/>
          <w:i w:val="0"/>
        </w:rPr>
        <w:t xml:space="preserve">. They encode the fuel </w:t>
      </w:r>
      <w:r>
        <w:rPr>
          <w:b w:val="0"/>
          <w:i/>
        </w:rPr>
        <w:t>and</w:t>
      </w:r>
      <w:r>
        <w:rPr>
          <w:b w:val="0"/>
          <w:i w:val="0"/>
        </w:rPr>
        <w:t xml:space="preserve"> the injector </w:t>
      </w:r>
      <w:r>
        <w:rPr>
          <w:b w:val="0"/>
          <w:i/>
        </w:rPr>
        <w:t>and</w:t>
      </w:r>
      <w:r>
        <w:rPr>
          <w:b w:val="0"/>
          <w:i w:val="0"/>
        </w:rPr>
        <w:t xml:space="preserve"> the test article, fitted over one flux range. HRAP also says the constant-O/F model exists precisely "in cases where ballistic coefficients for the propellant are unknown", to be replaced "once sufficient testing is conducted" — which is why every motor config HRAP ships uses constant-O/F rather than the shipped coefficient sets.</w:t>
      </w:r>
    </w:p>
    <w:p>
      <w:pPr>
        <w:spacing w:after="140"/>
      </w:pPr>
      <w:r>
        <w:rPr>
          <w:b w:val="0"/>
          <w:i w:val="0"/>
        </w:rPr>
        <w:t>A concrete illustration, using only coefficients read from HRAP's own files: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  <w:shd w:val="clear" w:color="auto" w:fill="DEEAF6"/>
          </w:tcPr>
          <w:p>
            <w:r/>
            <w:r>
              <w:rPr>
                <w:b/>
                <w:i w:val="0"/>
                <w:sz w:val="19"/>
              </w:rPr>
              <w:t>ṙ [mm/s] at G =</w:t>
            </w:r>
          </w:p>
        </w:tc>
        <w:tc>
          <w:tcPr>
            <w:tcW w:type="dxa" w:w="1608"/>
            <w:shd w:val="clear" w:color="auto" w:fill="DEEAF6"/>
          </w:tcPr>
          <w:p>
            <w:r/>
            <w:r>
              <w:rPr>
                <w:b/>
                <w:i w:val="0"/>
                <w:sz w:val="19"/>
              </w:rPr>
              <w:t>50</w:t>
            </w:r>
          </w:p>
        </w:tc>
        <w:tc>
          <w:tcPr>
            <w:tcW w:type="dxa" w:w="1608"/>
            <w:shd w:val="clear" w:color="auto" w:fill="DEEAF6"/>
          </w:tcPr>
          <w:p>
            <w:r/>
            <w:r>
              <w:rPr>
                <w:b/>
                <w:i w:val="0"/>
                <w:sz w:val="19"/>
              </w:rPr>
              <w:t>100</w:t>
            </w:r>
          </w:p>
        </w:tc>
        <w:tc>
          <w:tcPr>
            <w:tcW w:type="dxa" w:w="1608"/>
            <w:shd w:val="clear" w:color="auto" w:fill="DEEAF6"/>
          </w:tcPr>
          <w:p>
            <w:r/>
            <w:r>
              <w:rPr>
                <w:b/>
                <w:i w:val="0"/>
                <w:sz w:val="19"/>
              </w:rPr>
              <w:t>200</w:t>
            </w:r>
          </w:p>
        </w:tc>
        <w:tc>
          <w:tcPr>
            <w:tcW w:type="dxa" w:w="1608"/>
            <w:shd w:val="clear" w:color="auto" w:fill="DEEAF6"/>
          </w:tcPr>
          <w:p>
            <w:r/>
            <w:r>
              <w:rPr>
                <w:b/>
                <w:i w:val="0"/>
                <w:sz w:val="19"/>
              </w:rPr>
              <w:t>350</w:t>
            </w:r>
          </w:p>
        </w:tc>
        <w:tc>
          <w:tcPr>
            <w:tcW w:type="dxa" w:w="1608"/>
            <w:shd w:val="clear" w:color="auto" w:fill="DEEAF6"/>
          </w:tcPr>
          <w:p>
            <w:r/>
            <w:r>
              <w:rPr>
                <w:b/>
                <w:i w:val="0"/>
                <w:sz w:val="19"/>
              </w:rPr>
              <w:t>500</w:t>
            </w:r>
          </w:p>
        </w:tc>
      </w:tr>
      <w:tr>
        <w:tc>
          <w:tcPr>
            <w:tcW w:type="dxa" w:w="1608"/>
          </w:tcPr>
          <w:p>
            <w:r/>
            <w:r>
              <w:rPr>
                <w:b w:val="0"/>
                <w:i w:val="0"/>
                <w:sz w:val="19"/>
              </w:rPr>
              <w:t>HTPB (a=0.198, n=0.325)</w:t>
            </w:r>
          </w:p>
        </w:tc>
        <w:tc>
          <w:tcPr>
            <w:tcW w:type="dxa" w:w="1608"/>
          </w:tcPr>
          <w:p>
            <w:r/>
            <w:r>
              <w:rPr>
                <w:b w:val="0"/>
                <w:i w:val="0"/>
                <w:sz w:val="19"/>
              </w:rPr>
              <w:t>0.71</w:t>
            </w:r>
          </w:p>
        </w:tc>
        <w:tc>
          <w:tcPr>
            <w:tcW w:type="dxa" w:w="1608"/>
          </w:tcPr>
          <w:p>
            <w:r/>
            <w:r>
              <w:rPr>
                <w:b w:val="0"/>
                <w:i w:val="0"/>
                <w:sz w:val="19"/>
              </w:rPr>
              <w:t>0.88</w:t>
            </w:r>
          </w:p>
        </w:tc>
        <w:tc>
          <w:tcPr>
            <w:tcW w:type="dxa" w:w="1608"/>
          </w:tcPr>
          <w:p>
            <w:r/>
            <w:r>
              <w:rPr>
                <w:b w:val="0"/>
                <w:i w:val="0"/>
                <w:sz w:val="19"/>
              </w:rPr>
              <w:t>1.11</w:t>
            </w:r>
          </w:p>
        </w:tc>
        <w:tc>
          <w:tcPr>
            <w:tcW w:type="dxa" w:w="1608"/>
          </w:tcPr>
          <w:p>
            <w:r/>
            <w:r>
              <w:rPr>
                <w:b w:val="0"/>
                <w:i w:val="0"/>
                <w:sz w:val="19"/>
              </w:rPr>
              <w:t>1.33</w:t>
            </w:r>
          </w:p>
        </w:tc>
        <w:tc>
          <w:tcPr>
            <w:tcW w:type="dxa" w:w="1608"/>
          </w:tcPr>
          <w:p>
            <w:r/>
            <w:r>
              <w:rPr>
                <w:b w:val="0"/>
                <w:i w:val="0"/>
                <w:sz w:val="19"/>
              </w:rPr>
              <w:t>1.49</w:t>
            </w:r>
          </w:p>
        </w:tc>
      </w:tr>
      <w:tr>
        <w:tc>
          <w:tcPr>
            <w:tcW w:type="dxa" w:w="1608"/>
          </w:tcPr>
          <w:p>
            <w:r/>
            <w:r>
              <w:rPr>
                <w:b w:val="0"/>
                <w:i w:val="0"/>
                <w:sz w:val="19"/>
              </w:rPr>
              <w:t>50/50 HTPB-paraffin (a=0.1146, n=0.5036)</w:t>
            </w:r>
          </w:p>
        </w:tc>
        <w:tc>
          <w:tcPr>
            <w:tcW w:type="dxa" w:w="1608"/>
          </w:tcPr>
          <w:p>
            <w:r/>
            <w:r>
              <w:rPr>
                <w:b w:val="0"/>
                <w:i w:val="0"/>
                <w:sz w:val="19"/>
              </w:rPr>
              <w:t>0.82</w:t>
            </w:r>
          </w:p>
        </w:tc>
        <w:tc>
          <w:tcPr>
            <w:tcW w:type="dxa" w:w="1608"/>
          </w:tcPr>
          <w:p>
            <w:r/>
            <w:r>
              <w:rPr>
                <w:b w:val="0"/>
                <w:i w:val="0"/>
                <w:sz w:val="19"/>
              </w:rPr>
              <w:t>1.17</w:t>
            </w:r>
          </w:p>
        </w:tc>
        <w:tc>
          <w:tcPr>
            <w:tcW w:type="dxa" w:w="1608"/>
          </w:tcPr>
          <w:p>
            <w:r/>
            <w:r>
              <w:rPr>
                <w:b w:val="0"/>
                <w:i w:val="0"/>
                <w:sz w:val="19"/>
              </w:rPr>
              <w:t>1.65</w:t>
            </w:r>
          </w:p>
        </w:tc>
        <w:tc>
          <w:tcPr>
            <w:tcW w:type="dxa" w:w="1608"/>
          </w:tcPr>
          <w:p>
            <w:r/>
            <w:r>
              <w:rPr>
                <w:b w:val="0"/>
                <w:i w:val="0"/>
                <w:sz w:val="19"/>
              </w:rPr>
              <w:t>2.19</w:t>
            </w:r>
          </w:p>
        </w:tc>
        <w:tc>
          <w:tcPr>
            <w:tcW w:type="dxa" w:w="1608"/>
          </w:tcPr>
          <w:p>
            <w:r/>
            <w:r>
              <w:rPr>
                <w:b w:val="0"/>
                <w:i w:val="0"/>
                <w:sz w:val="19"/>
              </w:rPr>
              <w:t>2.62</w:t>
            </w:r>
          </w:p>
        </w:tc>
      </w:tr>
      <w:tr>
        <w:tc>
          <w:tcPr>
            <w:tcW w:type="dxa" w:w="1608"/>
          </w:tcPr>
          <w:p>
            <w:r/>
            <w:r>
              <w:rPr>
                <w:b w:val="0"/>
                <w:i w:val="0"/>
                <w:sz w:val="19"/>
              </w:rPr>
              <w:t>Paraffin (a=0.0304, n=0.681)</w:t>
            </w:r>
          </w:p>
        </w:tc>
        <w:tc>
          <w:tcPr>
            <w:tcW w:type="dxa" w:w="1608"/>
          </w:tcPr>
          <w:p>
            <w:r/>
            <w:r>
              <w:rPr>
                <w:b w:val="0"/>
                <w:i w:val="0"/>
                <w:sz w:val="19"/>
              </w:rPr>
              <w:t>0.44</w:t>
            </w:r>
          </w:p>
        </w:tc>
        <w:tc>
          <w:tcPr>
            <w:tcW w:type="dxa" w:w="1608"/>
          </w:tcPr>
          <w:p>
            <w:r/>
            <w:r>
              <w:rPr>
                <w:b w:val="0"/>
                <w:i w:val="0"/>
                <w:sz w:val="19"/>
              </w:rPr>
              <w:t>0.70</w:t>
            </w:r>
          </w:p>
        </w:tc>
        <w:tc>
          <w:tcPr>
            <w:tcW w:type="dxa" w:w="1608"/>
          </w:tcPr>
          <w:p>
            <w:r/>
            <w:r>
              <w:rPr>
                <w:b w:val="0"/>
                <w:i w:val="0"/>
                <w:sz w:val="19"/>
              </w:rPr>
              <w:t>1.12</w:t>
            </w:r>
          </w:p>
        </w:tc>
        <w:tc>
          <w:tcPr>
            <w:tcW w:type="dxa" w:w="1608"/>
          </w:tcPr>
          <w:p>
            <w:r/>
            <w:r>
              <w:rPr>
                <w:b w:val="0"/>
                <w:i w:val="0"/>
                <w:sz w:val="19"/>
              </w:rPr>
              <w:t>1.64</w:t>
            </w:r>
          </w:p>
        </w:tc>
        <w:tc>
          <w:tcPr>
            <w:tcW w:type="dxa" w:w="1608"/>
          </w:tcPr>
          <w:p>
            <w:r/>
            <w:r>
              <w:rPr>
                <w:b w:val="0"/>
                <w:i w:val="0"/>
                <w:sz w:val="19"/>
              </w:rPr>
              <w:t>2.09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b w:val="0"/>
          <w:i w:val="0"/>
        </w:rPr>
        <w:t xml:space="preserve">Pure paraffin comes out </w:t>
      </w:r>
      <w:r>
        <w:rPr>
          <w:b/>
          <w:i w:val="0"/>
        </w:rPr>
        <w:t>slower than the 50/50 blend across the entire range</w:t>
      </w:r>
      <w:r>
        <w:rPr>
          <w:b w:val="0"/>
          <w:i w:val="0"/>
        </w:rPr>
        <w:t xml:space="preserve"> (ratio 0.53 → 0.80), and no faster than plain HTPB below G ≈ 200. Taken at face value that is backwards. The likely explanation is not an error in HRAP but exactly what its documentation warns about: these entries come from different motors with different injectors and different fitted flux ranges, so they are not comparable to each other and none of them is a generic "paraffin" curve.</w:t>
      </w:r>
    </w:p>
    <w:p>
      <w:pPr>
        <w:spacing w:after="140"/>
      </w:pPr>
      <w:r>
        <w:rPr>
          <w:b/>
          <w:i w:val="0"/>
        </w:rPr>
        <w:t>Comparing `a` values across different `n` values is meaningless anyway</w:t>
      </w:r>
      <w:r>
        <w:rPr>
          <w:b w:val="0"/>
          <w:i w:val="0"/>
        </w:rPr>
        <w:t xml:space="preserve"> — only ṙ at a stated G is comparable. That is the correct way to sanity-check any coefficient set you are handed, including your own.</w:t>
      </w:r>
    </w:p>
    <w:p>
      <w:pPr>
        <w:pStyle w:val="Heading3"/>
        <w:spacing w:before="200"/>
      </w:pPr>
      <w:r>
        <w:rPr>
          <w:b w:val="0"/>
          <w:i w:val="0"/>
          <w:color w:val="1F4E79"/>
        </w:rPr>
        <w:t>3.1c Sensitivity table (inverse problem, O/F objective)</w:t>
      </w:r>
    </w:p>
    <w:p>
      <w:pPr>
        <w:spacing w:after="140"/>
      </w:pPr>
      <w:r>
        <w:rPr>
          <w:b w:val="0"/>
          <w:i w:val="0"/>
        </w:rPr>
        <w:t xml:space="preserve">Measured sensitivity of the sized injector area to a </w:t>
      </w:r>
      <w:r>
        <w:rPr>
          <w:b/>
          <w:i w:val="0"/>
        </w:rPr>
        <w:t>+10 %</w:t>
      </w:r>
      <w:r>
        <w:rPr>
          <w:b w:val="0"/>
          <w:i w:val="0"/>
        </w:rPr>
        <w:t xml:space="preserve"> change in each input, for the demo motor (24 holes, Dyer, target O/F 8.27):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DEEAF6"/>
          </w:tcPr>
          <w:p>
            <w:r/>
            <w:r>
              <w:rPr>
                <w:b/>
                <w:i w:val="0"/>
                <w:sz w:val="19"/>
              </w:rPr>
              <w:t>Input +10 %</w:t>
            </w:r>
          </w:p>
        </w:tc>
        <w:tc>
          <w:tcPr>
            <w:tcW w:type="dxa" w:w="2412"/>
            <w:shd w:val="clear" w:color="auto" w:fill="DEEAF6"/>
          </w:tcPr>
          <w:p>
            <w:r/>
            <w:r>
              <w:rPr>
                <w:b/>
                <w:i w:val="0"/>
                <w:sz w:val="19"/>
              </w:rPr>
              <w:t>Sized Cd·A</w:t>
            </w:r>
          </w:p>
        </w:tc>
        <w:tc>
          <w:tcPr>
            <w:tcW w:type="dxa" w:w="2412"/>
            <w:shd w:val="clear" w:color="auto" w:fill="DEEAF6"/>
          </w:tcPr>
          <w:p>
            <w:r/>
            <w:r>
              <w:rPr>
                <w:b/>
                <w:i w:val="0"/>
                <w:sz w:val="19"/>
              </w:rPr>
              <w:t>Hole diameter</w:t>
            </w:r>
          </w:p>
        </w:tc>
        <w:tc>
          <w:tcPr>
            <w:tcW w:type="dxa" w:w="2412"/>
            <w:shd w:val="clear" w:color="auto" w:fill="DEEAF6"/>
          </w:tcPr>
          <w:p>
            <w:r/>
            <w:r>
              <w:rPr>
                <w:b/>
                <w:i w:val="0"/>
                <w:sz w:val="19"/>
              </w:rPr>
              <w:t>Leverage</w:t>
            </w:r>
          </w:p>
        </w:tc>
      </w:tr>
      <w:tr>
        <w:tc>
          <w:tcPr>
            <w:tcW w:type="dxa" w:w="2412"/>
          </w:tcPr>
          <w:p>
            <w:r/>
            <w:r>
              <w:rPr>
                <w:b/>
                <w:i w:val="0"/>
                <w:sz w:val="19"/>
              </w:rPr>
              <w:t>Regression exponent n</w:t>
            </w:r>
          </w:p>
        </w:tc>
        <w:tc>
          <w:tcPr>
            <w:tcW w:type="dxa" w:w="2412"/>
          </w:tcPr>
          <w:p>
            <w:r/>
            <w:r>
              <w:rPr>
                <w:b/>
                <w:i w:val="0"/>
                <w:sz w:val="19"/>
              </w:rPr>
              <w:t>+10456 %</w:t>
            </w:r>
          </w:p>
        </w:tc>
        <w:tc>
          <w:tcPr>
            <w:tcW w:type="dxa" w:w="2412"/>
          </w:tcPr>
          <w:p>
            <w:r/>
            <w:r>
              <w:rPr>
                <w:b/>
                <w:i w:val="0"/>
                <w:sz w:val="19"/>
              </w:rPr>
              <w:t>+927 %</w:t>
            </w:r>
          </w:p>
        </w:tc>
        <w:tc>
          <w:tcPr>
            <w:tcW w:type="dxa" w:w="2412"/>
          </w:tcPr>
          <w:p>
            <w:r/>
            <w:r>
              <w:rPr>
                <w:b/>
                <w:i w:val="0"/>
                <w:sz w:val="19"/>
              </w:rPr>
              <w:t>1046×</w:t>
            </w:r>
          </w:p>
        </w:tc>
      </w:tr>
      <w:tr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  <w:t>Fuel density ρ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  <w:t>+201 %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  <w:t>+74 %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  <w:t>20×</w:t>
            </w:r>
          </w:p>
        </w:tc>
      </w:tr>
      <w:tr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  <w:t>Grain length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  <w:t>+201 %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  <w:t>+74 %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  <w:t>20×</w:t>
            </w:r>
          </w:p>
        </w:tc>
      </w:tr>
      <w:tr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  <w:t>Target O/F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  <w:t>+157 %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  <w:t>+60 %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  <w:t>16×</w:t>
            </w:r>
          </w:p>
        </w:tc>
      </w:tr>
      <w:tr>
        <w:tc>
          <w:tcPr>
            <w:tcW w:type="dxa" w:w="2412"/>
          </w:tcPr>
          <w:p>
            <w:r/>
            <w:r>
              <w:rPr>
                <w:b/>
                <w:i w:val="0"/>
                <w:sz w:val="19"/>
              </w:rPr>
              <w:t>Regression coefficient a</w:t>
            </w:r>
          </w:p>
        </w:tc>
        <w:tc>
          <w:tcPr>
            <w:tcW w:type="dxa" w:w="2412"/>
          </w:tcPr>
          <w:p>
            <w:r/>
            <w:r>
              <w:rPr>
                <w:b/>
                <w:i w:val="0"/>
                <w:sz w:val="19"/>
              </w:rPr>
              <w:t>+148 %</w:t>
            </w:r>
          </w:p>
        </w:tc>
        <w:tc>
          <w:tcPr>
            <w:tcW w:type="dxa" w:w="2412"/>
          </w:tcPr>
          <w:p>
            <w:r/>
            <w:r>
              <w:rPr>
                <w:b/>
                <w:i w:val="0"/>
                <w:sz w:val="19"/>
              </w:rPr>
              <w:t>+58 %</w:t>
            </w:r>
          </w:p>
        </w:tc>
        <w:tc>
          <w:tcPr>
            <w:tcW w:type="dxa" w:w="2412"/>
          </w:tcPr>
          <w:p>
            <w:r/>
            <w:r>
              <w:rPr>
                <w:b/>
                <w:i w:val="0"/>
                <w:sz w:val="19"/>
              </w:rPr>
              <w:t>15×</w:t>
            </w:r>
          </w:p>
        </w:tc>
      </w:tr>
      <w:tr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  <w:t>Initial port diameter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  <w:t>−10.6 %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  <w:t>−5.5 %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  <w:t>1.1×</w:t>
            </w:r>
          </w:p>
        </w:tc>
      </w:tr>
      <w:tr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  <w:t>Throat diameter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  <w:t>−10.4 %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  <w:t>−5.3 %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  <w:t>1.0×</w:t>
            </w:r>
          </w:p>
        </w:tc>
      </w:tr>
      <w:tr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  <w:t>Tank temperature (+5 °C)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  <w:t>−10.0 %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  <w:t>−5.1 %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  <w:t>1.0×</w:t>
            </w:r>
          </w:p>
        </w:tc>
      </w:tr>
      <w:tr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  <w:t>c\* efficiency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  <w:t>+4.1 %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  <w:t>+2.0 %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  <w:t>0.4×</w:t>
            </w:r>
          </w:p>
        </w:tc>
      </w:tr>
      <w:tr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  <w:t>Discharge coefficient Cd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  <w:t>0 %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  <w:t>−4.7 %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2412"/>
          </w:tcPr>
          <w:p>
            <w:r/>
            <w:r>
              <w:rPr>
                <w:b/>
                <w:i w:val="0"/>
                <w:sz w:val="19"/>
              </w:rPr>
              <w:t>Flow model: SPI instead of Dyer</w:t>
            </w:r>
          </w:p>
        </w:tc>
        <w:tc>
          <w:tcPr>
            <w:tcW w:type="dxa" w:w="2412"/>
          </w:tcPr>
          <w:p>
            <w:r/>
            <w:r>
              <w:rPr>
                <w:b/>
                <w:i w:val="0"/>
                <w:sz w:val="19"/>
              </w:rPr>
              <w:t>−21 %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  <w:t>−11 %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2412"/>
          </w:tcPr>
          <w:p>
            <w:r/>
            <w:r>
              <w:rPr>
                <w:b/>
                <w:i w:val="0"/>
                <w:sz w:val="19"/>
              </w:rPr>
              <w:t>Flow model: HEM instead of Dyer</w:t>
            </w:r>
          </w:p>
        </w:tc>
        <w:tc>
          <w:tcPr>
            <w:tcW w:type="dxa" w:w="2412"/>
          </w:tcPr>
          <w:p>
            <w:r/>
            <w:r>
              <w:rPr>
                <w:b/>
                <w:i w:val="0"/>
                <w:sz w:val="19"/>
              </w:rPr>
              <w:t>+37 %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  <w:t>+17 %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  <w:t>—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b w:val="0"/>
          <w:i w:val="0"/>
        </w:rPr>
        <w:t xml:space="preserve">This table applies </w:t>
      </w:r>
      <w:r>
        <w:rPr>
          <w:b/>
          <w:i w:val="0"/>
        </w:rPr>
        <w:t>only to the O/F-based objectives</w:t>
      </w:r>
      <w:r>
        <w:rPr>
          <w:b w:val="0"/>
          <w:i w:val="0"/>
        </w:rPr>
        <w:t xml:space="preserve">. With </w:t>
      </w:r>
      <w:r>
        <w:rPr>
          <w:rFonts w:ascii="Consolas" w:hAnsi="Consolas"/>
          <w:b w:val="0"/>
          <w:i w:val="0"/>
          <w:color w:val="A31515"/>
          <w:sz w:val="19"/>
        </w:rPr>
        <w:t>mdot_ox</w:t>
      </w:r>
      <w:r>
        <w:rPr>
          <w:b w:val="0"/>
          <w:i w:val="0"/>
        </w:rPr>
        <w:t xml:space="preserve"> or </w:t>
      </w:r>
      <w:r>
        <w:rPr>
          <w:rFonts w:ascii="Consolas" w:hAnsi="Consolas"/>
          <w:b w:val="0"/>
          <w:i w:val="0"/>
          <w:color w:val="A31515"/>
          <w:sz w:val="19"/>
        </w:rPr>
        <w:t>chamber_pressure</w:t>
      </w:r>
      <w:r>
        <w:rPr>
          <w:b w:val="0"/>
          <w:i w:val="0"/>
        </w:rPr>
        <w:t xml:space="preserve"> the top five rows collapse to a couple of percent (§3.1).</w:t>
      </w:r>
    </w:p>
    <w:p>
      <w:pPr>
        <w:spacing w:after="140"/>
      </w:pPr>
      <w:r>
        <w:rPr>
          <w:b w:val="0"/>
          <w:i w:val="0"/>
        </w:rPr>
        <w:t>Practical consequences:</w:t>
      </w:r>
    </w:p>
    <w:p>
      <w:pPr>
        <w:pStyle w:val="ListBullet"/>
        <w:spacing w:after="60"/>
      </w:pPr>
      <w:r>
        <w:rPr>
          <w:b/>
          <w:i w:val="0"/>
        </w:rPr>
        <w:t>Use a flow-based objective unless you measured `a` and `n` yourself.</w:t>
      </w:r>
      <w:r>
        <w:rPr>
          <w:b w:val="0"/>
          <w:i w:val="0"/>
        </w:rPr>
        <w:t xml:space="preserve"> That removes the amplification entirely and costs nothing in design quality.</w:t>
      </w:r>
    </w:p>
    <w:p>
      <w:pPr>
        <w:pStyle w:val="ListBullet"/>
        <w:spacing w:after="60"/>
      </w:pPr>
      <w:r>
        <w:rPr>
          <w:b/>
          <w:i w:val="0"/>
        </w:rPr>
        <w:t>HRAP's shipped paraffin values are a starting point, not your motor</w:t>
      </w:r>
      <w:r>
        <w:rPr>
          <w:b w:val="0"/>
          <w:i w:val="0"/>
        </w:rPr>
        <w:t xml:space="preserve"> — see §3.1b. Measure your own; they depend on your injector as well as your fuel.</w:t>
      </w:r>
    </w:p>
    <w:p>
      <w:pPr>
        <w:pStyle w:val="ListBullet"/>
        <w:spacing w:after="60"/>
      </w:pPr>
      <w:r>
        <w:rPr>
          <w:b w:val="0"/>
          <w:i w:val="0"/>
        </w:rPr>
        <w:t xml:space="preserve">Cd does </w:t>
      </w:r>
      <w:r>
        <w:rPr>
          <w:b/>
          <w:i w:val="0"/>
        </w:rPr>
        <w:t>not</w:t>
      </w:r>
      <w:r>
        <w:rPr>
          <w:b w:val="0"/>
          <w:i w:val="0"/>
        </w:rPr>
        <w:t xml:space="preserve"> change the required effective area </w:t>
      </w:r>
      <w:r>
        <w:rPr>
          <w:b w:val="0"/>
          <w:i/>
        </w:rPr>
        <w:t>Cd·A</w:t>
      </w:r>
      <w:r>
        <w:rPr>
          <w:b w:val="0"/>
          <w:i w:val="0"/>
        </w:rPr>
        <w:t xml:space="preserve"> (that is what gets solved for) — it changes the hole diameter you must drill to achieve it.</w:t>
      </w:r>
    </w:p>
    <w:p>
      <w:pPr>
        <w:pStyle w:val="ListBullet"/>
        <w:spacing w:after="60"/>
      </w:pPr>
      <w:r>
        <w:rPr>
          <w:b w:val="0"/>
          <w:i w:val="0"/>
        </w:rPr>
        <w:t xml:space="preserve">Once a flow-based objective is used, the </w:t>
      </w:r>
      <w:r>
        <w:rPr>
          <w:b/>
          <w:i w:val="0"/>
        </w:rPr>
        <w:t>injector flow model becomes the dominant modelling choice again</w:t>
      </w:r>
      <w:r>
        <w:rPr>
          <w:b w:val="0"/>
          <w:i w:val="0"/>
        </w:rPr>
        <w:t xml:space="preserve"> (SPI −21 %, HEM +37 % on area), which is the question this tool was built to answer.</w:t>
      </w:r>
    </w:p>
    <w:p>
      <w:pPr>
        <w:pStyle w:val="Heading3"/>
        <w:spacing w:before="200"/>
      </w:pPr>
      <w:r>
        <w:rPr>
          <w:b w:val="0"/>
          <w:i w:val="0"/>
          <w:color w:val="1F4E79"/>
        </w:rPr>
        <w:t>3.2 Warnings about interpreting results</w:t>
      </w:r>
    </w:p>
    <w:p>
      <w:pPr>
        <w:pStyle w:val="ListBullet"/>
        <w:spacing w:after="60"/>
      </w:pPr>
      <w:r>
        <w:rPr>
          <w:b/>
          <w:i w:val="0"/>
        </w:rPr>
        <w:t>The `Dyer (L/D weighted)` model is a heuristic I wrote, not a published model.</w:t>
      </w:r>
      <w:r>
        <w:rPr>
          <w:b w:val="0"/>
          <w:i w:val="0"/>
        </w:rPr>
        <w:t xml:space="preserve"> It exists to expose the regime trend and to make the L/D limits testable. </w:t>
      </w:r>
      <w:r>
        <w:rPr>
          <w:b/>
          <w:i w:val="0"/>
        </w:rPr>
        <w:t>Do not use it for design.</w:t>
      </w:r>
      <w:r>
        <w:rPr>
          <w:b w:val="0"/>
          <w:i w:val="0"/>
        </w:rPr>
        <w:t xml:space="preserve"> Use </w:t>
      </w:r>
      <w:r>
        <w:rPr>
          <w:rFonts w:ascii="Consolas" w:hAnsi="Consolas"/>
          <w:b w:val="0"/>
          <w:i w:val="0"/>
          <w:color w:val="A31515"/>
          <w:sz w:val="19"/>
        </w:rPr>
        <w:t>Dyer</w:t>
      </w:r>
      <w:r>
        <w:rPr>
          <w:b w:val="0"/>
          <w:i w:val="0"/>
        </w:rPr>
        <w:t>.</w:t>
      </w:r>
    </w:p>
    <w:p>
      <w:pPr>
        <w:pStyle w:val="ListBullet"/>
        <w:spacing w:after="60"/>
      </w:pPr>
      <w:r>
        <w:rPr>
          <w:b/>
          <w:i w:val="0"/>
        </w:rPr>
        <w:t>A converged answer is not necessarily a sensible one.</w:t>
      </w:r>
      <w:r>
        <w:rPr>
          <w:b w:val="0"/>
          <w:i w:val="0"/>
        </w:rPr>
        <w:t xml:space="preserve"> If the target is unreachable, the solver drives chamber pressure onto tank pressure and returns a huge area with near-zero ΔP. It now flags this as </w:t>
      </w:r>
      <w:r>
        <w:rPr>
          <w:rFonts w:ascii="Consolas" w:hAnsi="Consolas"/>
          <w:b w:val="0"/>
          <w:i w:val="0"/>
          <w:color w:val="A31515"/>
          <w:sz w:val="19"/>
        </w:rPr>
        <w:t>DEGENERATE RESULT</w:t>
      </w:r>
      <w:r>
        <w:rPr>
          <w:b w:val="0"/>
          <w:i w:val="0"/>
        </w:rPr>
        <w:t xml:space="preserve">, but </w:t>
      </w:r>
      <w:r>
        <w:rPr>
          <w:b/>
          <w:i w:val="0"/>
        </w:rPr>
        <w:t>check the ΔP margin on every run.</w:t>
      </w:r>
    </w:p>
    <w:p>
      <w:pPr>
        <w:pStyle w:val="ListBullet"/>
        <w:spacing w:after="60"/>
      </w:pPr>
      <w:r>
        <w:rPr>
          <w:b/>
          <w:i w:val="0"/>
        </w:rPr>
        <w:t>`Cd = 0.7` is a placeholder, not a prediction.</w:t>
      </w:r>
      <w:r>
        <w:rPr>
          <w:b w:val="0"/>
          <w:i w:val="0"/>
        </w:rPr>
        <w:t xml:space="preserve"> It is a direct multiplier on mass flow. Measure it (A1).</w:t>
      </w:r>
    </w:p>
    <w:p>
      <w:pPr>
        <w:pStyle w:val="ListBullet"/>
        <w:spacing w:after="60"/>
      </w:pPr>
      <w:r>
        <w:rPr>
          <w:b/>
          <w:i w:val="0"/>
        </w:rPr>
        <w:t>Constant-O/F mode cannot size an injector</w:t>
      </w:r>
      <w:r>
        <w:rPr>
          <w:b w:val="0"/>
          <w:i w:val="0"/>
        </w:rPr>
        <w:t xml:space="preserve"> — O/F is pinned by definition, so any area satisfies it. The tool refuses rather than pretending. Use it only to reproduce an HRAP run.</w:t>
      </w:r>
    </w:p>
    <w:p>
      <w:pPr>
        <w:pStyle w:val="ListBullet"/>
        <w:spacing w:after="60"/>
      </w:pPr>
      <w:r>
        <w:rPr>
          <w:b/>
          <w:i w:val="0"/>
        </w:rPr>
        <w:t>ESDU correlations are valid −90 °C to +36 °C.</w:t>
      </w:r>
      <w:r>
        <w:rPr>
          <w:b w:val="0"/>
          <w:i w:val="0"/>
        </w:rPr>
        <w:t xml:space="preserve"> N2O's critical point is 36.4 °C. A hot day on the pad genuinely approaches this, where properties move fast and the model stops. The tool errors rather than extrapolating.</w:t>
      </w:r>
    </w:p>
    <w:p>
      <w:pPr>
        <w:pStyle w:val="ListBullet"/>
        <w:spacing w:after="60"/>
      </w:pPr>
      <w:r>
        <w:rPr>
          <w:b/>
          <w:i w:val="0"/>
        </w:rPr>
        <w:t>Burn ends at liquid depletion by default.</w:t>
      </w:r>
      <w:r>
        <w:rPr>
          <w:b w:val="0"/>
          <w:i w:val="0"/>
        </w:rPr>
        <w:t xml:space="preserve"> The vapour-phase tail is modelled but not included unless you ask for it. Real impulse includes some of that tail.</w:t>
      </w:r>
    </w:p>
    <w:p>
      <w:pPr>
        <w:pStyle w:val="ListBullet"/>
        <w:spacing w:after="60"/>
      </w:pPr>
      <w:r>
        <w:rPr>
          <w:b/>
          <w:i w:val="0"/>
        </w:rPr>
        <w:t>The dP &gt; 15–20 % rule is a rule of thumb, not a stability model.</w:t>
      </w:r>
      <w:r>
        <w:rPr>
          <w:b w:val="0"/>
          <w:i w:val="0"/>
        </w:rPr>
        <w:t xml:space="preserve"> Meeting it does not guarantee stability; missing it does not guarantee instability. There is no combustion-instability model in this tool.</w:t>
      </w:r>
    </w:p>
    <w:p>
      <w:pPr>
        <w:pStyle w:val="Heading3"/>
        <w:spacing w:before="200"/>
      </w:pPr>
      <w:r>
        <w:rPr>
          <w:b w:val="0"/>
          <w:i w:val="0"/>
          <w:color w:val="1F4E79"/>
        </w:rPr>
        <w:t>3.3 Physics not modelled — and how much it could cost you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DEEAF6"/>
          </w:tcPr>
          <w:p>
            <w:r/>
            <w:r>
              <w:rPr>
                <w:b/>
                <w:i w:val="0"/>
                <w:sz w:val="19"/>
              </w:rPr>
              <w:t>Not modelled</w:t>
            </w:r>
          </w:p>
        </w:tc>
        <w:tc>
          <w:tcPr>
            <w:tcW w:type="dxa" w:w="3216"/>
            <w:shd w:val="clear" w:color="auto" w:fill="DEEAF6"/>
          </w:tcPr>
          <w:p>
            <w:r/>
            <w:r>
              <w:rPr>
                <w:b/>
                <w:i w:val="0"/>
                <w:sz w:val="19"/>
              </w:rPr>
              <w:t>Likely effect</w:t>
            </w:r>
          </w:p>
        </w:tc>
        <w:tc>
          <w:tcPr>
            <w:tcW w:type="dxa" w:w="3216"/>
            <w:shd w:val="clear" w:color="auto" w:fill="DEEAF6"/>
          </w:tcPr>
          <w:p>
            <w:r/>
            <w:r>
              <w:rPr>
                <w:b/>
                <w:i w:val="0"/>
                <w:sz w:val="19"/>
              </w:rPr>
              <w:t>Can I add it?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  <w:i w:val="0"/>
                <w:sz w:val="19"/>
              </w:rPr>
              <w:t>Feed system between tank and injector</w:t>
            </w:r>
            <w:r>
              <w:rPr>
                <w:b w:val="0"/>
                <w:i w:val="0"/>
                <w:sz w:val="19"/>
              </w:rPr>
              <w:t xml:space="preserve"> (plumbing, valve, bends, manifold) — upstream state is taken </w:t>
            </w:r>
            <w:r>
              <w:rPr>
                <w:b w:val="0"/>
                <w:i/>
                <w:sz w:val="19"/>
              </w:rPr>
              <w:t>at the tank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19"/>
              </w:rPr>
              <w:t>Over-predicts ΔP across the injector, hence over-predicts flow. Can be several bar on a long/narrow run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19"/>
              </w:rPr>
              <w:t>Yes — needs your line sizes and Cv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  <w:i w:val="0"/>
                <w:sz w:val="19"/>
              </w:rPr>
              <w:t>Vents</w:t>
            </w:r>
            <w:r>
              <w:rPr>
                <w:b w:val="0"/>
                <w:i w:val="0"/>
                <w:sz w:val="19"/>
              </w:rPr>
              <w:t xml:space="preserve"> (HRAP has None/External/Internal)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19"/>
              </w:rPr>
              <w:t>Oxidiser flow and blowdown rate both differ. Flagged on import, not simulated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19"/>
              </w:rPr>
              <w:t>Yes, straightforward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  <w:i w:val="0"/>
                <w:sz w:val="19"/>
              </w:rPr>
              <w:t>Cd variation</w:t>
            </w:r>
            <w:r>
              <w:rPr>
                <w:b w:val="0"/>
                <w:i w:val="0"/>
                <w:sz w:val="19"/>
              </w:rPr>
              <w:t xml:space="preserve"> with Reynolds number, cavitation, and inlet geometry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19"/>
              </w:rPr>
              <w:t>Cd is constant; real Cd shifts through the burn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19"/>
              </w:rPr>
              <w:t>Partly — correlations exist but are geometry-specific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  <w:i w:val="0"/>
                <w:sz w:val="19"/>
              </w:rPr>
              <w:t>Injector element type</w:t>
            </w:r>
            <w:r>
              <w:rPr>
                <w:b w:val="0"/>
                <w:i w:val="0"/>
                <w:sz w:val="19"/>
              </w:rPr>
              <w:t xml:space="preserve"> (showerhead / impinging / swirl)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19"/>
              </w:rPr>
              <w:t>Affects both Cd and mixing efficiency; the latter feeds c\* efficiency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19"/>
              </w:rPr>
              <w:t>Only empirically, from your data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  <w:i w:val="0"/>
                <w:sz w:val="19"/>
              </w:rPr>
              <w:t>Tank heat transfer</w:t>
            </w:r>
            <w:r>
              <w:rPr>
                <w:b w:val="0"/>
                <w:i w:val="0"/>
                <w:sz w:val="19"/>
              </w:rPr>
              <w:t xml:space="preserve"> — blowdown is adiabatic, with liquid and vapour in thermal equilibrium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19"/>
              </w:rPr>
              <w:t>Real tanks draw heat from walls, so pressure decays slower than predicted. Predicted burn time is likely conservative. HRAP shares this assumption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19"/>
              </w:rPr>
              <w:t>Yes, with a wall model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  <w:i w:val="0"/>
                <w:sz w:val="19"/>
              </w:rPr>
              <w:t>Non-equilibrium bubble dynamics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19"/>
              </w:rPr>
              <w:t>Dyer's κ is a correlation, not physics. Real flashing depends on nucleation-site density and residence time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19"/>
              </w:rPr>
              <w:t>Only with a much heavier model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  <w:i w:val="0"/>
                <w:sz w:val="19"/>
              </w:rPr>
              <w:t>Paraffin entrainment</w:t>
            </w:r>
            <w:r>
              <w:rPr>
                <w:b w:val="0"/>
                <w:i w:val="0"/>
                <w:sz w:val="19"/>
              </w:rPr>
              <w:t xml:space="preserve"> — the liquid-layer physics that makes paraffin fast-regressing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19"/>
              </w:rPr>
              <w:t xml:space="preserve">The </w:t>
            </w:r>
            <w:r>
              <w:rPr>
                <w:b w:val="0"/>
                <w:i/>
                <w:sz w:val="19"/>
              </w:rPr>
              <w:t>a·G^n</w:t>
            </w:r>
            <w:r>
              <w:rPr>
                <w:b w:val="0"/>
                <w:i w:val="0"/>
                <w:sz w:val="19"/>
              </w:rPr>
              <w:t xml:space="preserve"> power law is empirical and may not extrapolate outside the flux range it was fitted in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19"/>
              </w:rPr>
              <w:t>No — this is why you must measure a and n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  <w:i w:val="0"/>
                <w:sz w:val="19"/>
              </w:rPr>
              <w:t>Throat erosion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19"/>
              </w:rPr>
              <w:t>Chamber pressure decays over a long burn; impulse over-predicted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19"/>
              </w:rPr>
              <w:t>Yes, with an erosion rate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  <w:i w:val="0"/>
                <w:sz w:val="19"/>
              </w:rPr>
              <w:t>Grain end-face regression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19"/>
              </w:rPr>
              <w:t>Slightly under-predicts fuel flow. HRAP explicitly assumes this too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19"/>
              </w:rPr>
              <w:t>Yes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  <w:i w:val="0"/>
                <w:sz w:val="19"/>
              </w:rPr>
              <w:t>Complex port geometry</w:t>
            </w:r>
            <w:r>
              <w:rPr>
                <w:b w:val="0"/>
                <w:i w:val="0"/>
                <w:sz w:val="19"/>
              </w:rPr>
              <w:t xml:space="preserve"> — only N identical circular ports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19"/>
              </w:rPr>
              <w:t>Multi-port web is a nominal equivalent-area figure, not true bolt-circle geometry. HRAP's Python build does arbitrary cross-sections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19"/>
              </w:rPr>
              <w:t>Yes, with effort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  <w:i w:val="0"/>
                <w:sz w:val="19"/>
              </w:rPr>
              <w:t>c\* efficiency as a constant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19"/>
              </w:rPr>
              <w:t>Real η_c\</w:t>
            </w:r>
            <w:r>
              <w:rPr>
                <w:b w:val="0"/>
                <w:i/>
                <w:sz w:val="19"/>
              </w:rPr>
              <w:t xml:space="preserve"> varies with L\</w:t>
            </w:r>
            <w:r>
              <w:rPr>
                <w:b w:val="0"/>
                <w:i w:val="0"/>
                <w:sz w:val="19"/>
              </w:rPr>
              <w:t>, O/F and port geometry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19"/>
              </w:rPr>
              <w:t>Yes, as a curve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  <w:i w:val="0"/>
                <w:sz w:val="19"/>
              </w:rPr>
              <w:t>Ignition transient / igniter mass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19"/>
              </w:rPr>
              <w:t>First ~100 ms of the transient run is not meaningful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19"/>
              </w:rPr>
              <w:t>Yes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  <w:i w:val="0"/>
                <w:sz w:val="19"/>
              </w:rPr>
              <w:t>Combustion instability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19"/>
              </w:rPr>
              <w:t>No model at all; only the static ΔP heuristic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19"/>
              </w:rPr>
              <w:t>No — outside scope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  <w:i w:val="0"/>
                <w:sz w:val="19"/>
              </w:rPr>
              <w:t>Mass properties / CG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19"/>
              </w:rPr>
              <w:t>Not computed. HRAP does this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19"/>
              </w:rPr>
              <w:t>Yes, easily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  <w:i w:val="0"/>
                <w:sz w:val="19"/>
              </w:rPr>
              <w:t>Nozzle losses</w:t>
            </w:r>
            <w:r>
              <w:rPr>
                <w:b w:val="0"/>
                <w:i w:val="0"/>
                <w:sz w:val="19"/>
              </w:rPr>
              <w:t xml:space="preserve"> beyond a lumped efficiency (divergence, boundary layer, two-phase)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19"/>
              </w:rPr>
              <w:t xml:space="preserve">Absorbed into </w:t>
            </w:r>
            <w:r>
              <w:rPr>
                <w:rFonts w:ascii="Consolas" w:hAnsi="Consolas"/>
                <w:b w:val="0"/>
                <w:i w:val="0"/>
                <w:color w:val="A31515"/>
                <w:sz w:val="19"/>
              </w:rPr>
              <w:t>noz_eff</w:t>
            </w:r>
            <w:r>
              <w:rPr>
                <w:b w:val="0"/>
                <w:i w:val="0"/>
                <w:sz w:val="19"/>
              </w:rPr>
              <w:t>, so thrust is only as good as that guess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19"/>
              </w:rPr>
              <w:t>Partly</w:t>
            </w:r>
          </w:p>
        </w:tc>
      </w:tr>
    </w:tbl>
    <w:p>
      <w:pPr>
        <w:spacing w:after="80"/>
      </w:pPr>
    </w:p>
    <w:p>
      <w:pPr>
        <w:pStyle w:val="Heading3"/>
        <w:spacing w:before="200"/>
      </w:pPr>
      <w:r>
        <w:rPr>
          <w:b w:val="0"/>
          <w:i w:val="0"/>
          <w:color w:val="1F4E79"/>
        </w:rPr>
        <w:t>3.4 Numerical caveats</w:t>
      </w:r>
    </w:p>
    <w:p>
      <w:pPr>
        <w:pStyle w:val="ListBullet"/>
        <w:spacing w:after="60"/>
      </w:pPr>
      <w:r>
        <w:rPr>
          <w:b/>
          <w:i w:val="0"/>
        </w:rPr>
        <w:t>Forward Euler integration</w:t>
      </w:r>
      <w:r>
        <w:rPr>
          <w:b w:val="0"/>
          <w:i w:val="0"/>
        </w:rPr>
        <w:t xml:space="preserve"> (matching HRAP), so accuracy is first-order in </w:t>
      </w:r>
      <w:r>
        <w:rPr>
          <w:rFonts w:ascii="Consolas" w:hAnsi="Consolas"/>
          <w:b w:val="0"/>
          <w:i w:val="0"/>
          <w:color w:val="A31515"/>
          <w:sz w:val="19"/>
        </w:rPr>
        <w:t>dt</w:t>
      </w:r>
      <w:r>
        <w:rPr>
          <w:b w:val="0"/>
          <w:i w:val="0"/>
        </w:rPr>
        <w:t xml:space="preserve">. </w:t>
      </w:r>
      <w:r>
        <w:rPr>
          <w:b/>
          <w:i w:val="0"/>
        </w:rPr>
        <w:t>This is not yet quantified — see B1.</w:t>
      </w:r>
      <w:r>
        <w:rPr>
          <w:b w:val="0"/>
          <w:i w:val="0"/>
        </w:rPr>
        <w:t xml:space="preserve"> Default </w:t>
      </w:r>
      <w:r>
        <w:rPr>
          <w:rFonts w:ascii="Consolas" w:hAnsi="Consolas"/>
          <w:b w:val="0"/>
          <w:i w:val="0"/>
          <w:color w:val="A31515"/>
          <w:sz w:val="19"/>
        </w:rPr>
        <w:t>dt</w:t>
      </w:r>
      <w:r>
        <w:rPr>
          <w:b w:val="0"/>
          <w:i w:val="0"/>
        </w:rPr>
        <w:t xml:space="preserve"> is 5 ms for sizing and whatever the HRAP config specifies on import (often 1 ms).</w:t>
      </w:r>
    </w:p>
    <w:p>
      <w:pPr>
        <w:pStyle w:val="ListBullet"/>
        <w:spacing w:after="60"/>
      </w:pPr>
      <w:r>
        <w:rPr>
          <w:b/>
          <w:i w:val="0"/>
        </w:rPr>
        <w:t>Quasi-steady vs transient chamber differ by ~3 % on impulse</w:t>
      </w:r>
      <w:r>
        <w:rPr>
          <w:b w:val="0"/>
          <w:i w:val="0"/>
        </w:rPr>
        <w:t xml:space="preserve"> in the case I checked. Quasi-steady is the default for sizing (robust, no ignition transient); transient is for HRAP comparison.</w:t>
      </w:r>
    </w:p>
    <w:p>
      <w:pPr>
        <w:pStyle w:val="ListBullet"/>
        <w:spacing w:after="60"/>
      </w:pPr>
      <w:r>
        <w:rPr>
          <w:b/>
          <w:i w:val="0"/>
        </w:rPr>
        <w:t>The HEM solver uses a 600-point pressure grid</w:t>
      </w:r>
      <w:r>
        <w:rPr>
          <w:b w:val="0"/>
          <w:i w:val="0"/>
        </w:rPr>
        <w:t xml:space="preserve"> with local refinement, and saturation properties come from a 3000-point interpolated table. Both are far below the correlation's own uncertainty, but neither has a formal convergence study.</w:t>
      </w:r>
    </w:p>
    <w:p>
      <w:pPr>
        <w:pStyle w:val="ListBullet"/>
        <w:spacing w:after="60"/>
      </w:pPr>
      <w:r>
        <w:rPr>
          <w:b/>
          <w:i w:val="0"/>
        </w:rPr>
        <w:t>The saturation table caches on temperature quantised to 1 mK.</w:t>
      </w:r>
    </w:p>
    <w:p>
      <w:pPr>
        <w:pStyle w:val="Heading2"/>
        <w:spacing w:before="280"/>
      </w:pPr>
      <w:r>
        <w:rPr>
          <w:b w:val="0"/>
          <w:i w:val="0"/>
          <w:color w:val="1F4E79"/>
        </w:rPr>
        <w:t>4. Suggested order of work</w:t>
      </w:r>
    </w:p>
    <w:p>
      <w:pPr>
        <w:pStyle w:val="ListNumber"/>
        <w:spacing w:after="60"/>
      </w:pPr>
      <w:r>
        <w:rPr>
          <w:b/>
          <w:i w:val="0"/>
        </w:rPr>
        <w:t>C1</w:t>
      </w:r>
      <w:r>
        <w:rPr>
          <w:b w:val="0"/>
          <w:i w:val="0"/>
        </w:rPr>
        <w:t xml:space="preserve"> — export one HRAP CSV and run the comparison. Cheapest possible external check, and it either builds confidence or finds a real bug.</w:t>
      </w:r>
    </w:p>
    <w:p>
      <w:pPr>
        <w:pStyle w:val="ListNumber"/>
        <w:spacing w:after="60"/>
      </w:pPr>
      <w:r>
        <w:rPr>
          <w:b/>
          <w:i w:val="0"/>
        </w:rPr>
        <w:t>A1</w:t>
      </w:r>
      <w:r>
        <w:rPr>
          <w:b w:val="0"/>
          <w:i w:val="0"/>
        </w:rPr>
        <w:t xml:space="preserve"> — water cold-flow for Cd. Cheap, safe, removes the largest single arbitrary multiplier.</w:t>
      </w:r>
    </w:p>
    <w:p>
      <w:pPr>
        <w:pStyle w:val="ListNumber"/>
        <w:spacing w:after="60"/>
      </w:pPr>
      <w:r>
        <w:rPr>
          <w:b/>
          <w:i w:val="0"/>
        </w:rPr>
        <w:t>B1 + B2</w:t>
      </w:r>
      <w:r>
        <w:rPr>
          <w:b w:val="0"/>
          <w:i w:val="0"/>
        </w:rPr>
        <w:t xml:space="preserve"> — convergence and uncertainty propagation, so you know what the error bars actually are before committing to hardware.</w:t>
      </w:r>
    </w:p>
    <w:p>
      <w:pPr>
        <w:pStyle w:val="ListNumber"/>
        <w:spacing w:after="60"/>
      </w:pPr>
      <w:r>
        <w:rPr>
          <w:b/>
          <w:i w:val="0"/>
        </w:rPr>
        <w:t>A3</w:t>
      </w:r>
      <w:r>
        <w:rPr>
          <w:b w:val="0"/>
          <w:i w:val="0"/>
        </w:rPr>
        <w:t xml:space="preserve"> — measure </w:t>
      </w:r>
      <w:r>
        <w:rPr>
          <w:b w:val="0"/>
          <w:i/>
        </w:rPr>
        <w:t>a</w:t>
      </w:r>
      <w:r>
        <w:rPr>
          <w:b w:val="0"/>
          <w:i w:val="0"/>
        </w:rPr>
        <w:t xml:space="preserve"> and </w:t>
      </w:r>
      <w:r>
        <w:rPr>
          <w:b w:val="0"/>
          <w:i/>
        </w:rPr>
        <w:t>n</w:t>
      </w:r>
      <w:r>
        <w:rPr>
          <w:b w:val="0"/>
          <w:i w:val="0"/>
        </w:rPr>
        <w:t xml:space="preserve"> from your own firings. Per §3.1 this is what actually determines whether the tool is right.</w:t>
      </w:r>
    </w:p>
    <w:p>
      <w:pPr>
        <w:pStyle w:val="ListNumber"/>
        <w:spacing w:after="60"/>
      </w:pPr>
      <w:r>
        <w:rPr>
          <w:b/>
          <w:i w:val="0"/>
        </w:rPr>
        <w:t>A1 with N2O</w:t>
      </w:r>
      <w:r>
        <w:rPr>
          <w:b w:val="0"/>
          <w:i w:val="0"/>
        </w:rPr>
        <w:t xml:space="preserve"> — discriminate between SPI/HEM/Dyer on real hardware.</w:t>
      </w:r>
    </w:p>
    <w:p>
      <w:pPr>
        <w:pStyle w:val="ListNumber"/>
        <w:spacing w:after="60"/>
      </w:pPr>
      <w:r>
        <w:rPr>
          <w:b w:val="0"/>
          <w:i w:val="0"/>
        </w:rPr>
        <w:t>Revisit §3.3 and add whichever missing physics the data says matters.</w:t>
      </w:r>
    </w:p>
    <w:sectPr w:rsidR="00FC693F" w:rsidRPr="0006063C" w:rsidSect="00034616">
      <w:footerReference w:type="default" r:id="rId9"/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8"/>
      </w:rPr>
      <w:fldChar w:fldCharType="begin"/>
    </w:r>
    <w:r>
      <w:rPr>
        <w:color w:val="595959"/>
        <w:sz w:val="18"/>
      </w:rPr>
      <w:instrText xml:space="preserve"> PAGE </w:instrText>
    </w:r>
    <w:r>
      <w:rPr>
        <w:color w:val="595959"/>
        <w:sz w:val="1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