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6480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31720" cy="7764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thline Seating Logo(1)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7764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b/>
                <w:color w:val="102A33"/>
                <w:sz w:val="40"/>
              </w:rPr>
              <w:t>CHAIR MANUFACTURING BI</w:t>
            </w:r>
          </w:p>
          <w:p>
            <w:pPr>
              <w:spacing w:after="0"/>
              <w:jc w:val="right"/>
            </w:pPr>
            <w:r>
              <w:rPr>
                <w:b/>
                <w:color w:val="2D7078"/>
                <w:sz w:val="24"/>
              </w:rPr>
              <w:t>Final Project Summary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B9854A"/>
          </w:tcPr>
          <w:p>
            <w:pPr>
              <w:spacing w:after="0" w:before="0"/>
            </w:pPr>
          </w:p>
        </w:tc>
      </w:tr>
    </w:tbl>
    <w:p>
      <w:pPr>
        <w:pStyle w:val="Heading1"/>
      </w:pPr>
      <w:r>
        <w:t>Project Snapshot</w:t>
      </w:r>
    </w:p>
    <w:p>
      <w:pPr>
        <w:spacing w:after="80"/>
      </w:pPr>
      <w:r>
        <w:t>This portfolio project models a BI role at a fictional medium sized manufacturer. I worked through seven CRM and ERP style source files from raw data through cleanup, QA, SQL analysis, Power BI modeling, DAX, report design, and final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2F6F7"/>
          </w:tcPr>
          <w:p>
            <w:pPr>
              <w:spacing w:after="0"/>
              <w:jc w:val="center"/>
            </w:pPr>
            <w:r>
              <w:rPr>
                <w:b/>
                <w:color w:val="2D7078"/>
                <w:sz w:val="25"/>
              </w:rPr>
              <w:t>51,038</w:t>
            </w:r>
          </w:p>
          <w:p>
            <w:pPr>
              <w:spacing w:after="0"/>
              <w:jc w:val="center"/>
            </w:pPr>
            <w:r>
              <w:rPr>
                <w:color w:val="4C5C63"/>
                <w:sz w:val="15"/>
              </w:rPr>
              <w:t>Cleaned rows</w:t>
            </w:r>
          </w:p>
        </w:tc>
        <w:tc>
          <w:tcPr>
            <w:tcW w:type="dxa" w:w="2628"/>
            <w:shd w:fill="F2F6F7"/>
          </w:tcPr>
          <w:p>
            <w:pPr>
              <w:spacing w:after="0"/>
              <w:jc w:val="center"/>
            </w:pPr>
            <w:r>
              <w:rPr>
                <w:b/>
                <w:color w:val="2D7078"/>
                <w:sz w:val="25"/>
              </w:rPr>
              <w:t>$310.32M</w:t>
            </w:r>
          </w:p>
          <w:p>
            <w:pPr>
              <w:spacing w:after="0"/>
              <w:jc w:val="center"/>
            </w:pPr>
            <w:r>
              <w:rPr>
                <w:color w:val="4C5C63"/>
                <w:sz w:val="15"/>
              </w:rPr>
              <w:t>Won sales</w:t>
            </w:r>
          </w:p>
        </w:tc>
        <w:tc>
          <w:tcPr>
            <w:tcW w:type="dxa" w:w="2628"/>
            <w:shd w:fill="F2F6F7"/>
          </w:tcPr>
          <w:p>
            <w:pPr>
              <w:spacing w:after="0"/>
              <w:jc w:val="center"/>
            </w:pPr>
            <w:r>
              <w:rPr>
                <w:b/>
                <w:color w:val="2D7078"/>
                <w:sz w:val="25"/>
              </w:rPr>
              <w:t>$283.73M</w:t>
            </w:r>
          </w:p>
          <w:p>
            <w:pPr>
              <w:spacing w:after="0"/>
              <w:jc w:val="center"/>
            </w:pPr>
            <w:r>
              <w:rPr>
                <w:color w:val="4C5C63"/>
                <w:sz w:val="15"/>
              </w:rPr>
              <w:t>Shipped revenue</w:t>
            </w:r>
          </w:p>
        </w:tc>
        <w:tc>
          <w:tcPr>
            <w:tcW w:type="dxa" w:w="2628"/>
            <w:shd w:fill="F2F6F7"/>
          </w:tcPr>
          <w:p>
            <w:pPr>
              <w:spacing w:after="0"/>
              <w:jc w:val="center"/>
            </w:pPr>
            <w:r>
              <w:rPr>
                <w:b/>
                <w:color w:val="2D7078"/>
                <w:sz w:val="25"/>
              </w:rPr>
              <w:t>$15.13M</w:t>
            </w:r>
          </w:p>
          <w:p>
            <w:pPr>
              <w:spacing w:after="0"/>
              <w:jc w:val="center"/>
            </w:pPr>
            <w:r>
              <w:rPr>
                <w:color w:val="4C5C63"/>
                <w:sz w:val="15"/>
              </w:rPr>
              <w:t>Current backlog</w:t>
            </w:r>
          </w:p>
        </w:tc>
      </w:tr>
      <w:tr>
        <w:tc>
          <w:tcPr>
            <w:tcW w:type="dxa" w:w="2628"/>
            <w:shd w:fill="F2F6F7"/>
          </w:tcPr>
          <w:p>
            <w:pPr>
              <w:spacing w:after="0"/>
              <w:jc w:val="center"/>
            </w:pPr>
            <w:r>
              <w:rPr>
                <w:b/>
                <w:color w:val="2D7078"/>
                <w:sz w:val="25"/>
              </w:rPr>
              <w:t>$33.24M</w:t>
            </w:r>
          </w:p>
          <w:p>
            <w:pPr>
              <w:spacing w:after="0"/>
              <w:jc w:val="center"/>
            </w:pPr>
            <w:r>
              <w:rPr>
                <w:color w:val="4C5C63"/>
                <w:sz w:val="15"/>
              </w:rPr>
              <w:t>Open pipeline</w:t>
            </w:r>
          </w:p>
        </w:tc>
        <w:tc>
          <w:tcPr>
            <w:tcW w:type="dxa" w:w="2628"/>
            <w:shd w:fill="F2F6F7"/>
          </w:tcPr>
          <w:p>
            <w:pPr>
              <w:spacing w:after="0"/>
              <w:jc w:val="center"/>
            </w:pPr>
            <w:r>
              <w:rPr>
                <w:b/>
                <w:color w:val="2D7078"/>
                <w:sz w:val="25"/>
              </w:rPr>
              <w:t>46.27%</w:t>
            </w:r>
          </w:p>
          <w:p>
            <w:pPr>
              <w:spacing w:after="0"/>
              <w:jc w:val="center"/>
            </w:pPr>
            <w:r>
              <w:rPr>
                <w:color w:val="4C5C63"/>
                <w:sz w:val="15"/>
              </w:rPr>
              <w:t>Shipped margin</w:t>
            </w:r>
          </w:p>
        </w:tc>
        <w:tc>
          <w:tcPr>
            <w:tcW w:type="dxa" w:w="2628"/>
            <w:shd w:fill="F2F6F7"/>
          </w:tcPr>
          <w:p>
            <w:pPr>
              <w:spacing w:after="0"/>
              <w:jc w:val="center"/>
            </w:pPr>
            <w:r>
              <w:rPr>
                <w:b/>
                <w:color w:val="2D7078"/>
                <w:sz w:val="25"/>
              </w:rPr>
              <w:t>91.93%</w:t>
            </w:r>
          </w:p>
          <w:p>
            <w:pPr>
              <w:spacing w:after="0"/>
              <w:jc w:val="center"/>
            </w:pPr>
            <w:r>
              <w:rPr>
                <w:color w:val="4C5C63"/>
                <w:sz w:val="15"/>
              </w:rPr>
              <w:t>On-time</w:t>
            </w:r>
          </w:p>
        </w:tc>
        <w:tc>
          <w:tcPr>
            <w:tcW w:type="dxa" w:w="2628"/>
            <w:shd w:fill="F2F6F7"/>
          </w:tcPr>
          <w:p>
            <w:pPr>
              <w:spacing w:after="0"/>
              <w:jc w:val="center"/>
            </w:pPr>
            <w:r>
              <w:rPr>
                <w:b/>
                <w:color w:val="2D7078"/>
                <w:sz w:val="25"/>
              </w:rPr>
              <w:t>13</w:t>
            </w:r>
          </w:p>
          <w:p>
            <w:pPr>
              <w:spacing w:after="0"/>
              <w:jc w:val="center"/>
            </w:pPr>
            <w:r>
              <w:rPr>
                <w:color w:val="4C5C63"/>
                <w:sz w:val="15"/>
              </w:rPr>
              <w:t>Report pages</w:t>
            </w:r>
          </w:p>
        </w:tc>
      </w:tr>
    </w:tbl>
    <w:p>
      <w:pPr>
        <w:pStyle w:val="Heading1"/>
      </w:pPr>
      <w:r>
        <w:t>What I Built</w:t>
      </w:r>
    </w:p>
    <w:p>
      <w:pPr>
        <w:pStyle w:val="ListBullet"/>
        <w:spacing w:after="30" w:line="228" w:lineRule="auto"/>
      </w:pPr>
      <w:r>
        <w:t>A clean analytical layer across Accounts, Opportunities, Orders, Order Lines, Returns, Warranty, and Product Reference.</w:t>
      </w:r>
    </w:p>
    <w:p>
      <w:pPr>
        <w:pStyle w:val="ListBullet"/>
        <w:spacing w:after="30" w:line="228" w:lineRule="auto"/>
      </w:pPr>
      <w:r>
        <w:t>A pandas QA script that checks keys, relationships, calculations, shipped and backlog logic, order header reconciliation, and the handoff from Won opportunities to ERP orders.</w:t>
      </w:r>
    </w:p>
    <w:p>
      <w:pPr>
        <w:pStyle w:val="ListBullet"/>
        <w:spacing w:after="30" w:line="228" w:lineRule="auto"/>
      </w:pPr>
      <w:r>
        <w:t>A SQLite database and SQL analysis covering the main sales, operations, margin, quality, and customer questions.</w:t>
      </w:r>
    </w:p>
    <w:p>
      <w:pPr>
        <w:pStyle w:val="ListBullet"/>
        <w:spacing w:after="30" w:line="228" w:lineRule="auto"/>
      </w:pPr>
      <w:r>
        <w:t>A Power BI model with shared dimensions and separate fact tables. The final report has 12 main pages plus Account 360 drillthrough.</w:t>
      </w:r>
    </w:p>
    <w:p>
      <w:pPr>
        <w:pStyle w:val="Heading1"/>
      </w:pPr>
      <w:r>
        <w:t>Technical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02A3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5256"/>
            <w:shd w:fill="102A3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Final Result</w:t>
            </w:r>
          </w:p>
        </w:tc>
      </w:tr>
      <w:tr>
        <w:tc>
          <w:tcPr>
            <w:tcW w:type="dxa" w:w="5256"/>
            <w:shd w:fill="F2F6F7"/>
            <w:tcBorders>
              <w:bottom w:val="single" w:sz="4" w:color="D7E1E4"/>
            </w:tcBorders>
          </w:tcPr>
          <w:p>
            <w:pPr>
              <w:spacing w:after="0" w:line="226" w:lineRule="auto"/>
            </w:pPr>
            <w:r>
              <w:rPr>
                <w:b/>
                <w:color w:val="173B4B"/>
                <w:sz w:val="15"/>
              </w:rPr>
              <w:t>Order line calculations</w:t>
            </w:r>
          </w:p>
        </w:tc>
        <w:tc>
          <w:tcPr>
            <w:tcW w:type="dxa" w:w="5256"/>
            <w:shd w:fill="F2F6F7"/>
            <w:tcBorders>
              <w:bottom w:val="single" w:sz="4" w:color="D7E1E4"/>
            </w:tcBorders>
          </w:tcPr>
          <w:p>
            <w:pPr>
              <w:spacing w:after="0" w:line="226" w:lineRule="auto"/>
            </w:pPr>
            <w:r>
              <w:rPr>
                <w:sz w:val="15"/>
              </w:rPr>
              <w:t>0 mismatches in margin, total, margin %, shipped revenue, shipped quantity, backlog value, and backlog quantity</w:t>
            </w:r>
          </w:p>
        </w:tc>
      </w:tr>
      <w:tr>
        <w:tc>
          <w:tcPr>
            <w:tcW w:type="dxa" w:w="5256"/>
            <w:shd w:fill="FFFFFF"/>
            <w:tcBorders>
              <w:bottom w:val="single" w:sz="4" w:color="D7E1E4"/>
            </w:tcBorders>
          </w:tcPr>
          <w:p>
            <w:pPr>
              <w:spacing w:after="0" w:line="226" w:lineRule="auto"/>
            </w:pPr>
            <w:r>
              <w:rPr>
                <w:b/>
                <w:color w:val="173B4B"/>
                <w:sz w:val="15"/>
              </w:rPr>
              <w:t>Header to line reconciliation</w:t>
            </w:r>
          </w:p>
        </w:tc>
        <w:tc>
          <w:tcPr>
            <w:tcW w:type="dxa" w:w="5256"/>
            <w:shd w:fill="FFFFFF"/>
            <w:tcBorders>
              <w:bottom w:val="single" w:sz="4" w:color="D7E1E4"/>
            </w:tcBorders>
          </w:tcPr>
          <w:p>
            <w:pPr>
              <w:spacing w:after="0" w:line="226" w:lineRule="auto"/>
            </w:pPr>
            <w:r>
              <w:rPr>
                <w:sz w:val="15"/>
              </w:rPr>
              <w:t>0 mismatches in Value, Freight, Tax, Total, or COGS</w:t>
            </w:r>
          </w:p>
        </w:tc>
      </w:tr>
      <w:tr>
        <w:tc>
          <w:tcPr>
            <w:tcW w:type="dxa" w:w="5256"/>
            <w:shd w:fill="F2F6F7"/>
            <w:tcBorders>
              <w:bottom w:val="single" w:sz="4" w:color="D7E1E4"/>
            </w:tcBorders>
          </w:tcPr>
          <w:p>
            <w:pPr>
              <w:spacing w:after="0" w:line="226" w:lineRule="auto"/>
            </w:pPr>
            <w:r>
              <w:rPr>
                <w:b/>
                <w:color w:val="173B4B"/>
                <w:sz w:val="15"/>
              </w:rPr>
              <w:t>Core relationships</w:t>
            </w:r>
          </w:p>
        </w:tc>
        <w:tc>
          <w:tcPr>
            <w:tcW w:type="dxa" w:w="5256"/>
            <w:shd w:fill="F2F6F7"/>
            <w:tcBorders>
              <w:bottom w:val="single" w:sz="4" w:color="D7E1E4"/>
            </w:tcBorders>
          </w:tcPr>
          <w:p>
            <w:pPr>
              <w:spacing w:after="0" w:line="226" w:lineRule="auto"/>
            </w:pPr>
            <w:r>
              <w:rPr>
                <w:sz w:val="15"/>
              </w:rPr>
              <w:t>0 invalid cleaned relationships across orders, accounts, products, returns, and warranty</w:t>
            </w:r>
          </w:p>
        </w:tc>
      </w:tr>
      <w:tr>
        <w:tc>
          <w:tcPr>
            <w:tcW w:type="dxa" w:w="5256"/>
            <w:shd w:fill="FFFFFF"/>
            <w:tcBorders>
              <w:bottom w:val="single" w:sz="4" w:color="D7E1E4"/>
            </w:tcBorders>
          </w:tcPr>
          <w:p>
            <w:pPr>
              <w:spacing w:after="0" w:line="226" w:lineRule="auto"/>
            </w:pPr>
            <w:r>
              <w:rPr>
                <w:b/>
                <w:color w:val="173B4B"/>
                <w:sz w:val="15"/>
              </w:rPr>
              <w:t>Exceptions kept visible</w:t>
            </w:r>
          </w:p>
        </w:tc>
        <w:tc>
          <w:tcPr>
            <w:tcW w:type="dxa" w:w="5256"/>
            <w:shd w:fill="FFFFFF"/>
            <w:tcBorders>
              <w:bottom w:val="single" w:sz="4" w:color="D7E1E4"/>
            </w:tcBorders>
          </w:tcPr>
          <w:p>
            <w:pPr>
              <w:spacing w:after="0" w:line="226" w:lineRule="auto"/>
            </w:pPr>
            <w:r>
              <w:rPr>
                <w:sz w:val="15"/>
              </w:rPr>
              <w:t>78 order lines and 23 orders flagged for review. 69 unresolved opportunity Account IDs. 26 Won opportunities without a standard ERP order</w:t>
            </w:r>
          </w:p>
        </w:tc>
      </w:tr>
    </w:tbl>
    <w:p>
      <w:pPr>
        <w:pStyle w:val="Heading1"/>
      </w:pPr>
      <w:r>
        <w:t>Strongest Business Findings</w:t>
      </w:r>
    </w:p>
    <w:p>
      <w:pPr>
        <w:pStyle w:val="ListBullet"/>
        <w:spacing w:after="30" w:line="228" w:lineRule="auto"/>
      </w:pPr>
      <w:r>
        <w:t>Won sales reached $75.38M through September 2026, already above the $73.19M full year 2025 result.</w:t>
      </w:r>
    </w:p>
    <w:p>
      <w:pPr>
        <w:pStyle w:val="ListBullet"/>
        <w:spacing w:after="30" w:line="228" w:lineRule="auto"/>
      </w:pPr>
      <w:r>
        <w:t>Of the $33.24M in open pipeline, $19.55M was stale, or 58.8%.</w:t>
      </w:r>
    </w:p>
    <w:p>
      <w:pPr>
        <w:pStyle w:val="ListBullet"/>
        <w:spacing w:after="30" w:line="228" w:lineRule="auto"/>
      </w:pPr>
      <w:r>
        <w:t>Office Chairs produced about 65.1% of shipped revenue and 74.6% of current backlog.</w:t>
      </w:r>
    </w:p>
    <w:p>
      <w:pPr>
        <w:pStyle w:val="ListBullet"/>
        <w:spacing w:after="30" w:line="228" w:lineRule="auto"/>
      </w:pPr>
      <w:r>
        <w:t>Competitor Selected and Price accounted for about 46.8% of lost opportunity value.</w:t>
      </w:r>
    </w:p>
    <w:p>
      <w:pPr>
        <w:pStyle w:val="ListBullet"/>
        <w:spacing w:after="30" w:line="228" w:lineRule="auto"/>
      </w:pPr>
      <w:r>
        <w:t>The top 10 accounts were about 4.4% of shipped revenue. Repeat business among shipped accounts was about 87.0%.</w:t>
      </w:r>
    </w:p>
    <w:p>
      <w:pPr>
        <w:pStyle w:val="ListBullet"/>
        <w:spacing w:after="30" w:line="228" w:lineRule="auto"/>
      </w:pPr>
      <w:r>
        <w:t>Standard order on-time performance was 91.93%.</w:t>
      </w:r>
    </w:p>
    <w:p>
      <w:pPr>
        <w:pStyle w:val="Heading1"/>
      </w:pPr>
      <w:r>
        <w:t>Final Reporting Decisions</w:t>
      </w:r>
    </w:p>
    <w:p>
      <w:pPr>
        <w:pStyle w:val="ListBullet"/>
        <w:spacing w:after="30" w:line="228" w:lineRule="auto"/>
      </w:pPr>
      <w:r>
        <w:t>Current Open Pipeline and Current Backlog are current snapshot measures, so they ignore the Date slicer.</w:t>
      </w:r>
    </w:p>
    <w:p>
      <w:pPr>
        <w:pStyle w:val="ListBullet"/>
        <w:spacing w:after="30" w:line="228" w:lineRule="auto"/>
      </w:pPr>
      <w:r>
        <w:t>The Date table extends through January 2027 so future projected opportunities are retained in the model.</w:t>
      </w:r>
    </w:p>
    <w:p>
      <w:pPr>
        <w:pStyle w:val="ListBullet"/>
        <w:spacing w:after="30" w:line="228" w:lineRule="auto"/>
      </w:pPr>
      <w:r>
        <w:t>The Delays &amp; Operations page is a current work queue for open orders with an Adjusted Promised Ship Date. Closed and Cancelled orders are excluded.</w:t>
      </w:r>
    </w:p>
    <w:p>
      <w:pPr>
        <w:pStyle w:val="ListBullet"/>
        <w:spacing w:after="30" w:line="228" w:lineRule="auto"/>
      </w:pPr>
      <w:r>
        <w:t>Weighted Account Ranking uses Won Value at 30%, Average Margin at 20%, Won Orders at 15%, Pipeline Value at 15%, Return Rate at 10%, and Warranty Rate at 10%. Lower return and warranty rates score better.</w:t>
      </w:r>
    </w:p>
    <w:sectPr w:rsidR="00FC693F" w:rsidRPr="0006063C" w:rsidSect="00034616">
      <w:footerReference w:type="default" r:id="rId9"/>
      <w:pgSz w:w="12240" w:h="15840"/>
      <w:pgMar w:top="547" w:right="864" w:bottom="605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C5C63"/>
        <w:sz w:val="15"/>
      </w:rPr>
      <w:t>Northline Seating | Business Intelligence Portfolio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35" w:lineRule="auto"/>
    </w:pPr>
    <w:rPr>
      <w:rFonts w:ascii="Calibri" w:hAnsi="Calibri"/>
      <w:color w:val="25252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73B4B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D70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