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Разработка web-сервиса для обеспечения топо-геодезических работ исходными данными для построения опорных и съёмочных сетей.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IT-специалист: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Web-разработка на  Java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Низовкин А.В.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Шахты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Содержание.</w:t>
      </w:r>
    </w:p>
    <w:p>
      <w:pPr>
        <w:pStyle w:val="Style12"/>
        <w:rPr/>
      </w:pPr>
      <w:r>
        <w:rPr/>
        <w:t>1. Титульный лист</w:t>
      </w:r>
    </w:p>
    <w:p>
      <w:pPr>
        <w:pStyle w:val="Style12"/>
        <w:rPr/>
      </w:pPr>
      <w:r>
        <w:rPr/>
        <w:t>2. Содержание</w:t>
      </w:r>
    </w:p>
    <w:p>
      <w:pPr>
        <w:pStyle w:val="Style12"/>
        <w:rPr/>
      </w:pPr>
      <w:r>
        <w:rPr/>
        <w:t>3. Введение</w:t>
      </w:r>
    </w:p>
    <w:p>
      <w:pPr>
        <w:pStyle w:val="Style12"/>
        <w:rPr/>
      </w:pPr>
      <w:r>
        <w:rPr/>
        <w:t>4. Основная часть</w:t>
      </w:r>
    </w:p>
    <w:p>
      <w:pPr>
        <w:pStyle w:val="Style12"/>
        <w:rPr/>
      </w:pPr>
      <w:r>
        <w:rPr/>
        <w:t>5. Заключение</w:t>
      </w:r>
    </w:p>
    <w:p>
      <w:pPr>
        <w:pStyle w:val="Style12"/>
        <w:rPr/>
      </w:pPr>
      <w:r>
        <w:rPr/>
        <w:t>6. Список литературы и ресурсов</w:t>
      </w:r>
    </w:p>
    <w:p>
      <w:pPr>
        <w:pStyle w:val="Style12"/>
        <w:rPr/>
      </w:pPr>
      <w:r>
        <w:rPr/>
        <w:t>7. Приложения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Введение.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 xml:space="preserve">Целью топо-геодезических работ является создание цифровой модели местности, которая в свою очередь определяется в пространстве набором точек с трёхмерными координатами. 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>Для этих целей используется различное современное оптико-электронное и спутниковое оборудование, но в любом случае исходными данными для этих работ является опорная геодезическая сеть.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 xml:space="preserve">Геодезическая сеть </w:t>
      </w:r>
      <w:r>
        <w:rPr>
          <w:caps w:val="false"/>
          <w:smallCaps w:val="false"/>
          <w:color w:val="202122"/>
          <w:spacing w:val="0"/>
          <w:sz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совокупность специально обозначенных (закреплённых) точек земной поверхности (геодезических пунктов), положение которых определено в общей для них системе координат. Применяется в целях установления, распространения и связи предусмотренных геодезических систем координат и высот. Геодезические сети создают по принципу перехода от сетей более высокоточных и масштабных к сетям с меньшими расстояниями и менее точными измерениями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Геодезический пункт — точка, особым образом закреплённая на местности (в грунте, на строении или другом искусственном сооружении) и являющаяся носителем координат, определённых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highlight w:val="white"/>
          <w:u w:val="none"/>
          <w:effect w:val="none"/>
        </w:rPr>
        <w:t xml:space="preserve"> геодезическими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методами.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 xml:space="preserve">Настоящий проект ставит перед собой целью разработку бэкэнда  веб-приложения для 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работы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с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 xml:space="preserve"> баз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ой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 xml:space="preserve"> данных опорных геодезических пунктов.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 xml:space="preserve">Проектом предусматривается следующая функциональность 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приложения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:</w:t>
      </w:r>
    </w:p>
    <w:p>
      <w:pPr>
        <w:pStyle w:val="Style12"/>
        <w:numPr>
          <w:ilvl w:val="0"/>
          <w:numId w:val="4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всех пунктов</w:t>
      </w:r>
    </w:p>
    <w:p>
      <w:pPr>
        <w:pStyle w:val="Style12"/>
        <w:numPr>
          <w:ilvl w:val="0"/>
          <w:numId w:val="4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добавление пункта в базу данных</w:t>
      </w:r>
    </w:p>
    <w:p>
      <w:pPr>
        <w:pStyle w:val="Style12"/>
        <w:numPr>
          <w:ilvl w:val="0"/>
          <w:numId w:val="4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изменение атрибутов пункта с заданным идентификатором</w:t>
      </w:r>
    </w:p>
    <w:p>
      <w:pPr>
        <w:pStyle w:val="Style12"/>
        <w:numPr>
          <w:ilvl w:val="0"/>
          <w:numId w:val="4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удаление пункта с заданным идентификатором</w:t>
      </w:r>
    </w:p>
    <w:p>
      <w:pPr>
        <w:pStyle w:val="Style12"/>
        <w:numPr>
          <w:ilvl w:val="0"/>
          <w:numId w:val="4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пункта по уникальному идентификатору</w:t>
      </w:r>
    </w:p>
    <w:p>
      <w:pPr>
        <w:pStyle w:val="Style12"/>
        <w:numPr>
          <w:ilvl w:val="0"/>
          <w:numId w:val="4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по названию</w:t>
      </w:r>
    </w:p>
    <w:p>
      <w:pPr>
        <w:pStyle w:val="Style12"/>
        <w:numPr>
          <w:ilvl w:val="0"/>
          <w:numId w:val="4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 xml:space="preserve">получение 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списка пунктов по номенклатуре листа</w:t>
      </w:r>
    </w:p>
    <w:p>
      <w:pPr>
        <w:pStyle w:val="Style12"/>
        <w:numPr>
          <w:ilvl w:val="0"/>
          <w:numId w:val="4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в заданном районе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r>
      <w:r>
        <w:br w:type="page"/>
      </w:r>
    </w:p>
    <w:p>
      <w:pPr>
        <w:pStyle w:val="1"/>
        <w:rPr/>
      </w:pPr>
      <w:r>
        <w:rPr/>
        <w:t>Основная часть.</w:t>
      </w:r>
    </w:p>
    <w:p>
      <w:pPr>
        <w:pStyle w:val="Style12"/>
        <w:rPr/>
      </w:pPr>
      <w:r>
        <w:rPr/>
        <w:t>Разделы основной части.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Хранение данных.</w:t>
      </w:r>
    </w:p>
    <w:p>
      <w:pPr>
        <w:pStyle w:val="Style12"/>
        <w:rPr/>
      </w:pPr>
      <w:r>
        <w:rPr/>
        <w:t>Для хранения данных о геодезических пунктах проектом предусматривается использовать базу данных Postgres.</w:t>
      </w:r>
    </w:p>
    <w:p>
      <w:pPr>
        <w:pStyle w:val="Style12"/>
        <w:rPr/>
      </w:pPr>
      <w:r>
        <w:rPr/>
        <w:t xml:space="preserve">Чтобы развернуть базу данных на рабочей машине, </w:t>
      </w:r>
      <w:r>
        <w:rPr/>
        <w:t xml:space="preserve">будем </w:t>
      </w:r>
      <w:r>
        <w:rPr/>
        <w:t>использ</w:t>
      </w:r>
      <w:r>
        <w:rPr/>
        <w:t>овать</w:t>
      </w:r>
      <w:r>
        <w:rPr/>
        <w:t xml:space="preserve"> контейнер docker. Для этого подбираем подходящий образ на сайте hub.docker.com. </w:t>
      </w:r>
    </w:p>
    <w:p>
      <w:pPr>
        <w:pStyle w:val="Style12"/>
        <w:rPr/>
      </w:pPr>
      <w:r>
        <w:rPr/>
        <w:t>Команду, запускающую наш контейнер прописываем в файле run-postgres.sh:</w:t>
      </w:r>
    </w:p>
    <w:p>
      <w:pPr>
        <w:pStyle w:val="Style18"/>
        <w:rPr/>
      </w:pPr>
      <w:r>
        <w:rPr/>
        <w:t>docker run -d --name postgres-container -e POSTGRES_DB=basepointsdb -e POSTGRES_USER=andrew -e POSTGRES_PASSWORD=1234 -p 5432:5432 -v /home/andrew/basepointsdb:/var/lib/postgresql/data postgres:alpine3.19</w:t>
      </w:r>
    </w:p>
    <w:p>
      <w:pPr>
        <w:pStyle w:val="Style12"/>
        <w:rPr/>
      </w:pPr>
      <w:r>
        <w:rPr/>
        <w:t>где:</w:t>
      </w:r>
    </w:p>
    <w:p>
      <w:pPr>
        <w:pStyle w:val="Style12"/>
        <w:rPr/>
      </w:pPr>
      <w:r>
        <w:rPr/>
        <w:t>-d – ключ, запускающий контейнер в режиме демона</w:t>
      </w:r>
    </w:p>
    <w:p>
      <w:pPr>
        <w:pStyle w:val="Style12"/>
        <w:rPr/>
      </w:pPr>
      <w:r>
        <w:rPr/>
        <w:t>--name postgres-container – название создаваемого контейнера</w:t>
      </w:r>
    </w:p>
    <w:p>
      <w:pPr>
        <w:pStyle w:val="Style12"/>
        <w:rPr/>
      </w:pPr>
      <w:r>
        <w:rPr/>
        <w:t>-e POSTGRES_DB=basepointsdb – переменная окружения, определяющая название создаваемой базы данных</w:t>
      </w:r>
    </w:p>
    <w:p>
      <w:pPr>
        <w:pStyle w:val="Style12"/>
        <w:rPr/>
      </w:pPr>
      <w:r>
        <w:rPr/>
        <w:t>-e POSTGRES_USER=andrew – переменная окружения, определяющая имя пользователя</w:t>
      </w:r>
    </w:p>
    <w:p>
      <w:pPr>
        <w:pStyle w:val="Style12"/>
        <w:rPr/>
      </w:pPr>
      <w:r>
        <w:rPr/>
        <w:t>-e POSTGRES_PASSWORD=1234 – переменная окружения, определяющая пароль для входа в субд для пользователя andrew</w:t>
      </w:r>
    </w:p>
    <w:p>
      <w:pPr>
        <w:pStyle w:val="Style12"/>
        <w:rPr/>
      </w:pPr>
      <w:r>
        <w:rPr/>
        <w:t xml:space="preserve">-p 5432:5432 – </w:t>
      </w:r>
      <w:r>
        <w:rPr>
          <w:sz w:val="28"/>
        </w:rPr>
        <w:t>указываем соответствие порта в контейнере порту на хост-машине</w:t>
      </w:r>
    </w:p>
    <w:p>
      <w:pPr>
        <w:pStyle w:val="Style12"/>
        <w:rPr/>
      </w:pPr>
      <w:r>
        <w:rPr>
          <w:sz w:val="28"/>
        </w:rPr>
        <w:t>-v /home/andrew/basepointsdb:/var/lib/postgresql/data – указываем место на хост-машине, в котором будет сохраняться наша база данных. Это позволит сохранять данные между сеансами работы с бд</w:t>
      </w:r>
    </w:p>
    <w:p>
      <w:pPr>
        <w:pStyle w:val="Style12"/>
        <w:rPr/>
      </w:pPr>
      <w:r>
        <w:rPr>
          <w:sz w:val="28"/>
        </w:rPr>
        <w:t xml:space="preserve">postgres:alpine3.19 – название выбранного на docker.hub образа </w:t>
      </w:r>
    </w:p>
    <w:p>
      <w:pPr>
        <w:pStyle w:val="Style12"/>
        <w:rPr/>
      </w:pPr>
      <w:r>
        <w:rPr>
          <w:sz w:val="28"/>
        </w:rPr>
        <w:t>Для запуска созданного скрипта необходимо добавить права доступа на выполнение для файла. Для этого выполним в терминале команду:</w:t>
      </w:r>
    </w:p>
    <w:p>
      <w:pPr>
        <w:pStyle w:val="Style18"/>
        <w:rPr/>
      </w:pPr>
      <w:r>
        <w:rPr/>
        <w:t>sudo chmod +x run-postgres.sh</w:t>
      </w:r>
    </w:p>
    <w:p>
      <w:pPr>
        <w:pStyle w:val="Style12"/>
        <w:rPr/>
      </w:pPr>
      <w:r>
        <w:rPr>
          <w:sz w:val="28"/>
        </w:rPr>
        <w:t>После этого запускаем скрипт терминальной командой из папки в которой он расположен:</w:t>
      </w:r>
    </w:p>
    <w:p>
      <w:pPr>
        <w:pStyle w:val="Style18"/>
        <w:rPr/>
      </w:pPr>
      <w:r>
        <w:rPr/>
        <w:t>./run-postgres.sh</w:t>
      </w:r>
    </w:p>
    <w:p>
      <w:pPr>
        <w:pStyle w:val="Style12"/>
        <w:rPr/>
      </w:pPr>
      <w:r>
        <w:rPr>
          <w:sz w:val="28"/>
        </w:rPr>
        <w:t>Результат работы скрипта можно посмотреть с помощью терминальной команды, позволяющей увидеть список запущенных контейнеров:</w:t>
      </w:r>
    </w:p>
    <w:p>
      <w:pPr>
        <w:pStyle w:val="Style18"/>
        <w:rPr/>
      </w:pPr>
      <w:r>
        <w:rPr/>
        <w:t>docker ps</w:t>
      </w:r>
    </w:p>
    <w:p>
      <w:pPr>
        <w:pStyle w:val="Style12"/>
        <w:rPr/>
      </w:pPr>
      <w:r>
        <w:rPr>
          <w:sz w:val="28"/>
        </w:rPr>
        <w:t>После этого, входим в контейнер в интерактивном режиме и убеждаемся в работе субд:</w:t>
      </w:r>
    </w:p>
    <w:p>
      <w:pPr>
        <w:pStyle w:val="Style18"/>
        <w:rPr/>
      </w:pPr>
      <w:r>
        <w:rPr/>
        <w:t>docker exec -it postgres-container psql -U andrew basepointsdb</w:t>
      </w:r>
    </w:p>
    <w:p>
      <w:pPr>
        <w:pStyle w:val="Style18"/>
        <w:rPr/>
      </w:pPr>
      <w:r>
        <w:rPr/>
        <w:t>\dt</w:t>
      </w:r>
    </w:p>
    <w:p>
      <w:pPr>
        <w:pStyle w:val="Style12"/>
        <w:rPr/>
      </w:pPr>
      <w:r>
        <w:rPr>
          <w:sz w:val="28"/>
        </w:rPr>
        <w:t>где:</w:t>
      </w:r>
    </w:p>
    <w:p>
      <w:pPr>
        <w:pStyle w:val="Style12"/>
        <w:rPr/>
      </w:pPr>
      <w:r>
        <w:rPr>
          <w:sz w:val="28"/>
        </w:rPr>
        <w:t xml:space="preserve">\dt – отображает </w:t>
      </w:r>
      <w:r>
        <w:rPr>
          <w:sz w:val="28"/>
        </w:rPr>
        <w:t>содержимое</w:t>
      </w:r>
      <w:r>
        <w:rPr>
          <w:sz w:val="28"/>
        </w:rPr>
        <w:t xml:space="preserve"> базы данных</w:t>
      </w:r>
    </w:p>
    <w:p>
      <w:pPr>
        <w:pStyle w:val="2"/>
        <w:rPr/>
      </w:pPr>
      <w:r>
        <w:rPr/>
        <w:t>Разработка приложения.</w:t>
      </w:r>
    </w:p>
    <w:p>
      <w:pPr>
        <w:pStyle w:val="3"/>
        <w:rPr/>
      </w:pPr>
      <w:r>
        <w:rPr/>
        <w:t>1. Проектирование API.</w:t>
      </w:r>
    </w:p>
    <w:p>
      <w:pPr>
        <w:pStyle w:val="Style12"/>
        <w:rPr/>
      </w:pPr>
      <w:r>
        <w:rPr/>
        <w:t xml:space="preserve">Проектом предусматривается наличие в приложении следующих эндпоинтов </w:t>
      </w:r>
      <w:r>
        <w:rPr/>
        <w:t>для работы с базой данных геодезических пунктов</w:t>
      </w:r>
      <w:r>
        <w:rPr/>
        <w:t>:</w:t>
      </w:r>
    </w:p>
    <w:p>
      <w:pPr>
        <w:pStyle w:val="Style12"/>
        <w:numPr>
          <w:ilvl w:val="0"/>
          <w:numId w:val="2"/>
        </w:numPr>
        <w:rPr/>
      </w:pPr>
      <w:r>
        <w:rPr/>
        <w:t>GET /point: Получение списка всех геодезических опорных пунктов (далее пунктов), хранящихся в базе данных</w:t>
      </w:r>
    </w:p>
    <w:p>
      <w:pPr>
        <w:pStyle w:val="Style12"/>
        <w:numPr>
          <w:ilvl w:val="0"/>
          <w:numId w:val="2"/>
        </w:numPr>
        <w:rPr/>
      </w:pPr>
      <w:r>
        <w:rPr/>
        <w:t>GET /point/{id}: Получение информации о конкретном пункте. Здесь {id} – это уникальный идентификатор пункта.</w:t>
      </w:r>
    </w:p>
    <w:p>
      <w:pPr>
        <w:pStyle w:val="Style12"/>
        <w:numPr>
          <w:ilvl w:val="0"/>
          <w:numId w:val="2"/>
        </w:numPr>
        <w:rPr/>
      </w:pPr>
      <w:r>
        <w:rPr/>
        <w:t>GET /point/</w:t>
      </w:r>
      <w:r>
        <w:rPr/>
        <w:t>name/</w:t>
      </w:r>
      <w:r>
        <w:rPr/>
        <w:t>{name}: Получение списка всех пунктов с названием, совпада</w:t>
      </w:r>
      <w:r>
        <w:rPr/>
        <w:t>ю</w:t>
      </w:r>
      <w:r>
        <w:rPr/>
        <w:t>щим с переданным параметром {name}. Название пункта не является уникальным. Пункты с одинаковым названием могут иметь разные координаты, разный класс точности и расположены на разных листах карт.</w:t>
      </w:r>
    </w:p>
    <w:p>
      <w:pPr>
        <w:pStyle w:val="Style12"/>
        <w:numPr>
          <w:ilvl w:val="0"/>
          <w:numId w:val="2"/>
        </w:numPr>
        <w:rPr/>
      </w:pPr>
      <w:r>
        <w:rPr/>
        <w:t>GET /</w:t>
      </w:r>
      <w:r>
        <w:rPr/>
        <w:t xml:space="preserve">point/sheet/{sheet}: Получение списка всех пунктов, расположенных на листах карты с номенклатурой </w:t>
      </w:r>
      <w:r>
        <w:rPr/>
        <w:t>(см. Приложение А)</w:t>
      </w:r>
      <w:r>
        <w:rPr/>
        <w:t>, совпадающей с переданным параметром {sheet}.</w:t>
      </w:r>
    </w:p>
    <w:p>
      <w:pPr>
        <w:pStyle w:val="Style12"/>
        <w:numPr>
          <w:ilvl w:val="0"/>
          <w:numId w:val="2"/>
        </w:numPr>
        <w:rPr/>
      </w:pPr>
      <w:r>
        <w:rPr/>
        <w:t>PUT /point/{id}: Обновление информации о существующем пункте. Здесь {id} – это уникальный идентификатор пункта, а обновлённые данные о пункте будут отправляться в теле запроса в формате JSON.</w:t>
      </w:r>
    </w:p>
    <w:p>
      <w:pPr>
        <w:pStyle w:val="Style12"/>
        <w:numPr>
          <w:ilvl w:val="0"/>
          <w:numId w:val="2"/>
        </w:numPr>
        <w:rPr/>
      </w:pPr>
      <w:r>
        <w:rPr/>
        <w:t>POST /point: Добавление нового пункта. Здесь данные о новом пункте будут отправляться в теле запроса в формате JSON.</w:t>
      </w:r>
    </w:p>
    <w:p>
      <w:pPr>
        <w:pStyle w:val="Style12"/>
        <w:numPr>
          <w:ilvl w:val="0"/>
          <w:numId w:val="2"/>
        </w:numPr>
        <w:rPr/>
      </w:pPr>
      <w:r>
        <w:rPr/>
        <w:t>POST/point/</w:t>
      </w:r>
      <w:r>
        <w:rPr/>
        <w:t>area: Получение списка всех пунктов, расположенных в конкретном районе. Здесь данные о районе, заданном координатами юго-западного угла и его размерами, отправляются в теле запроса в формате JSON.</w:t>
      </w:r>
    </w:p>
    <w:p>
      <w:pPr>
        <w:pStyle w:val="Style12"/>
        <w:numPr>
          <w:ilvl w:val="0"/>
          <w:numId w:val="2"/>
        </w:numPr>
        <w:rPr/>
      </w:pPr>
      <w:r>
        <w:rPr/>
        <w:t xml:space="preserve">DELETE /point/{id}: Удаление пункта из базы данных. Здесь {id} – это уникальный идентификатор пункта. </w:t>
      </w:r>
    </w:p>
    <w:p>
      <w:pPr>
        <w:pStyle w:val="3"/>
        <w:rPr/>
      </w:pPr>
      <w:r>
        <w:rPr/>
        <w:t>2. Проектирование структуры данных для пункта.</w:t>
      </w:r>
    </w:p>
    <w:p>
      <w:pPr>
        <w:pStyle w:val="Style12"/>
        <w:rPr/>
      </w:pPr>
      <w:r>
        <w:rPr/>
        <w:t>Каждый геодезический пункт будет иметь следующие атрибуты:</w:t>
      </w:r>
    </w:p>
    <w:p>
      <w:pPr>
        <w:pStyle w:val="Style12"/>
        <w:numPr>
          <w:ilvl w:val="0"/>
          <w:numId w:val="4"/>
        </w:numPr>
        <w:rPr/>
      </w:pPr>
      <w:r>
        <w:rPr/>
        <w:t>id: Уникальный идентификатор пункта.</w:t>
      </w:r>
    </w:p>
    <w:p>
      <w:pPr>
        <w:pStyle w:val="Style12"/>
        <w:numPr>
          <w:ilvl w:val="0"/>
          <w:numId w:val="4"/>
        </w:numPr>
        <w:rPr/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n</w:t>
      </w:r>
      <w:r>
        <w:rPr/>
        <w:t>ame: Название пункта.</w:t>
      </w:r>
    </w:p>
    <w:p>
      <w:pPr>
        <w:pStyle w:val="Style12"/>
        <w:numPr>
          <w:ilvl w:val="0"/>
          <w:numId w:val="4"/>
        </w:numPr>
        <w:rPr/>
      </w:pPr>
      <w:r>
        <w:rPr/>
        <w:t>x</w:t>
      </w:r>
      <w:r>
        <w:rPr/>
        <w:t>: Координата X пункта.</w:t>
      </w:r>
    </w:p>
    <w:p>
      <w:pPr>
        <w:pStyle w:val="Style12"/>
        <w:numPr>
          <w:ilvl w:val="0"/>
          <w:numId w:val="4"/>
        </w:numPr>
        <w:rPr/>
      </w:pPr>
      <w:r>
        <w:rPr/>
        <w:t>y</w:t>
      </w:r>
      <w:r>
        <w:rPr/>
        <w:t>: Координата Y пункта.</w:t>
      </w:r>
    </w:p>
    <w:p>
      <w:pPr>
        <w:pStyle w:val="Style12"/>
        <w:numPr>
          <w:ilvl w:val="0"/>
          <w:numId w:val="4"/>
        </w:numPr>
        <w:rPr/>
      </w:pPr>
      <w:r>
        <w:rPr/>
        <w:t>z</w:t>
      </w:r>
      <w:r>
        <w:rPr/>
        <w:t>: Координата Z пункта.</w:t>
      </w:r>
    </w:p>
    <w:p>
      <w:pPr>
        <w:pStyle w:val="Style12"/>
        <w:numPr>
          <w:ilvl w:val="0"/>
          <w:numId w:val="4"/>
        </w:numPr>
        <w:rPr/>
      </w:pPr>
      <w:r>
        <w:rPr/>
        <w:t>s</w:t>
      </w:r>
      <w:r>
        <w:rPr/>
        <w:t>heet: Номенклатура листа карты масштаба 1:100 000, на котором расположен пункт.</w:t>
      </w:r>
    </w:p>
    <w:p>
      <w:pPr>
        <w:pStyle w:val="Style12"/>
        <w:numPr>
          <w:ilvl w:val="0"/>
          <w:numId w:val="4"/>
        </w:numPr>
        <w:rPr/>
      </w:pPr>
      <w:r>
        <w:rPr/>
        <w:t>accuracyClass</w:t>
      </w:r>
      <w:r>
        <w:rPr/>
        <w:t xml:space="preserve">: Класс точности </w:t>
      </w:r>
      <w:r>
        <w:rPr/>
        <w:t xml:space="preserve">сети </w:t>
      </w:r>
      <w:r>
        <w:rPr/>
        <w:t>пункт</w:t>
      </w:r>
      <w:r>
        <w:rPr/>
        <w:t>а</w:t>
      </w:r>
      <w:r>
        <w:rPr/>
        <w:t>.</w:t>
      </w:r>
      <w:r>
        <w:rPr/>
        <w:t>(см. Приложение Б)</w:t>
      </w:r>
    </w:p>
    <w:p>
      <w:pPr>
        <w:pStyle w:val="Style12"/>
        <w:numPr>
          <w:ilvl w:val="0"/>
          <w:numId w:val="4"/>
        </w:numPr>
        <w:rPr/>
      </w:pPr>
      <w:r>
        <w:rPr/>
        <w:t>coordinateSystem: Система координат пункта.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Заключение.</w:t>
      </w:r>
    </w:p>
    <w:p>
      <w:pPr>
        <w:pStyle w:val="Normal"/>
        <w:rPr/>
      </w:pPr>
      <w:r>
        <w:rPr/>
        <w:t>Текст заключения.</w:t>
      </w:r>
    </w:p>
    <w:p>
      <w:pPr>
        <w:pStyle w:val="1"/>
        <w:rPr/>
      </w:pPr>
      <w:r>
        <w:rPr/>
        <w:t>Приложения.</w:t>
      </w:r>
    </w:p>
    <w:p>
      <w:pPr>
        <w:pStyle w:val="2"/>
        <w:rPr/>
      </w:pPr>
      <w:r>
        <w:rPr/>
        <w:t xml:space="preserve">Приложение А. </w:t>
      </w:r>
      <w:r>
        <w:rPr/>
        <w:t>Номенклатура топографических карт.</w:t>
      </w:r>
    </w:p>
    <w:p>
      <w:pPr>
        <w:pStyle w:val="Style12"/>
        <w:rPr/>
      </w:pPr>
      <w:r>
        <w:rPr/>
        <w:t>В основу номенклатуры топографических карт положена карта масштаба 1:1 000 000 (10 км в 1см; так называемые «миллионки»).</w:t>
      </w:r>
    </w:p>
    <w:p>
      <w:pPr>
        <w:pStyle w:val="Style12"/>
        <w:rPr/>
      </w:pPr>
      <w:r>
        <w:rPr/>
        <w:t>Вся поверхность Земли делится параллелями на ряды (через 4°), а меридианами — на колонны (через 6°); стороны образовавшихся трапеций служат границами листов карты масштаба 1:1000 000. Ряды обозначаются заглавными латинскими буквами от А до V, начиная от экватора к обоим полюсам, а колонны — арабскими цифрами, начиная от  меридиана 180°с запада на восток. Номенклатура листа карты состоит из буквы ряда и номера колонны. Например, лист с городом Москва обозначается N-37.</w:t>
      </w:r>
    </w:p>
    <w:p>
      <w:pPr>
        <w:pStyle w:val="Style12"/>
        <w:rPr/>
      </w:pPr>
      <w:r>
        <w:rPr/>
        <w:t>Приполярные круглые области (с широтой свыше 88°) обозначаются буквой Z без указания номера колонны.</w:t>
      </w:r>
    </w:p>
    <w:p>
      <w:pPr>
        <w:pStyle w:val="Style12"/>
        <w:rPr/>
      </w:pPr>
      <w:r>
        <w:rPr/>
        <w:t>Карты масштаба 1:100 000 (1 км в 1 см) получаются делением листа миллионной карты на 144 части (рис. 3); их номенклатура состоит из обозначения листа карты масштаба 1:1000000 с добавлением одного из чисел 1, 2, 3, 4, …, 143, 144. Например, лист стотысячной карты с городом Рязань имеет номенклатуру N-37-56.</w:t>
      </w:r>
    </w:p>
    <w:p>
      <w:pPr>
        <w:pStyle w:val="Style12"/>
        <w:rPr/>
      </w:pPr>
      <w:r>
        <w:rPr/>
        <w:t>Во избежание путаницы с картами масштабов 1:500 000 и 1:200 000 (для которых существуют сходные альтернативные обозначения), карты этого масштаба могут обозначаться трёхзначными арабскими цифрами без потери начальных нулей, например: О-37-050.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1151255</wp:posOffset>
            </wp:positionH>
            <wp:positionV relativeFrom="paragraph">
              <wp:posOffset>17145</wp:posOffset>
            </wp:positionV>
            <wp:extent cx="2857500" cy="2781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Рис. 3. Пример разграфки листа миллионной карты на карты масштаба 1:500 000 (синие), 1:200 000 (зелёные) и 1:100 000 (жёлтые)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2"/>
        <w:rPr/>
      </w:pPr>
      <w:r>
        <w:rPr/>
        <w:t>Приложение Б. Классификация геодезических сетей.</w:t>
      </w:r>
    </w:p>
    <w:p>
      <w:pPr>
        <w:pStyle w:val="Style12"/>
        <w:rPr/>
      </w:pPr>
      <w:r>
        <w:rPr/>
        <w:t>В</w:t>
      </w:r>
      <w:r>
        <w:rPr/>
        <w:t>се геодезические сети по назначению и точности построения подразделяются на три большие группы:</w:t>
      </w:r>
    </w:p>
    <w:p>
      <w:pPr>
        <w:pStyle w:val="Style12"/>
        <w:numPr>
          <w:ilvl w:val="0"/>
          <w:numId w:val="4"/>
        </w:numPr>
        <w:rPr/>
      </w:pPr>
      <w:r>
        <w:rPr/>
        <w:t>государственные геодезические сети (ГГС),</w:t>
      </w:r>
    </w:p>
    <w:p>
      <w:pPr>
        <w:pStyle w:val="Style12"/>
        <w:numPr>
          <w:ilvl w:val="0"/>
          <w:numId w:val="4"/>
        </w:numPr>
        <w:rPr/>
      </w:pPr>
      <w:r>
        <w:rPr/>
        <w:t>геодезические сети сгущения (ГСС),</w:t>
      </w:r>
    </w:p>
    <w:p>
      <w:pPr>
        <w:pStyle w:val="Style12"/>
        <w:numPr>
          <w:ilvl w:val="0"/>
          <w:numId w:val="4"/>
        </w:numPr>
        <w:rPr/>
      </w:pPr>
      <w:r>
        <w:rPr/>
        <w:t>геодезические съемочные сети.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>Государственные плановые сети имеют плотность в среднем 1 пункт на 5 — 15 км², высотные — 1 пункт на 5 — 7 км², дальнейшее сгущение геодезических сетей осуществляется путем создания сетей местного значения — сетей сгущения и съемочных сетей. Минимальное число пунктов съемочного обоснования для незастроенной территории 12 шт. на 1 км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>У пунктов геодезической сети есть такая характеристика как класс точности.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 xml:space="preserve">В порядке убывания от более точных к менее точным: </w:t>
      </w:r>
    </w:p>
    <w:p>
      <w:pPr>
        <w:pStyle w:val="Style12"/>
        <w:numPr>
          <w:ilvl w:val="0"/>
          <w:numId w:val="4"/>
        </w:numPr>
        <w:rPr/>
      </w:pPr>
      <w:r>
        <w:rPr/>
        <w:t>1 класс</w:t>
      </w:r>
    </w:p>
    <w:p>
      <w:pPr>
        <w:pStyle w:val="Style12"/>
        <w:numPr>
          <w:ilvl w:val="0"/>
          <w:numId w:val="4"/>
        </w:numPr>
        <w:rPr/>
      </w:pPr>
      <w:r>
        <w:rPr/>
        <w:t>2 класс</w:t>
      </w:r>
    </w:p>
    <w:p>
      <w:pPr>
        <w:pStyle w:val="Style12"/>
        <w:numPr>
          <w:ilvl w:val="0"/>
          <w:numId w:val="4"/>
        </w:numPr>
        <w:rPr/>
      </w:pPr>
      <w:r>
        <w:rPr/>
        <w:t>3 класс</w:t>
      </w:r>
    </w:p>
    <w:p>
      <w:pPr>
        <w:pStyle w:val="Style12"/>
        <w:numPr>
          <w:ilvl w:val="0"/>
          <w:numId w:val="4"/>
        </w:numPr>
        <w:rPr/>
      </w:pPr>
      <w:r>
        <w:rPr/>
        <w:t>4 класс</w:t>
      </w:r>
    </w:p>
    <w:p>
      <w:pPr>
        <w:pStyle w:val="Style12"/>
        <w:numPr>
          <w:ilvl w:val="0"/>
          <w:numId w:val="4"/>
        </w:numPr>
        <w:rPr/>
      </w:pPr>
      <w:r>
        <w:rPr/>
        <w:t>I разряд</w:t>
      </w:r>
    </w:p>
    <w:p>
      <w:pPr>
        <w:pStyle w:val="Style12"/>
        <w:numPr>
          <w:ilvl w:val="0"/>
          <w:numId w:val="4"/>
        </w:numPr>
        <w:rPr/>
      </w:pPr>
      <w:r>
        <w:rPr/>
        <w:t xml:space="preserve">II разряд </w:t>
      </w:r>
    </w:p>
    <w:p>
      <w:pPr>
        <w:pStyle w:val="Style12"/>
        <w:rPr/>
      </w:pPr>
      <w:r>
        <w:rPr/>
        <w:t>С точки зрения геометрии любая геодезическая сеть – это группа зафиксированных на местности точек, для которых определены плановые координаты (X и Y или B и L) в принятой двухмерной системе координат и отметки H в принятой системе высот или три координаты X, Y и Z в принятой трехмерной системе пространственных координат.</w:t>
      </w:r>
    </w:p>
    <w:p>
      <w:pPr>
        <w:pStyle w:val="Style12"/>
        <w:rPr/>
      </w:pPr>
      <w:r>
        <w:rPr/>
        <w:t>По своей сущности геодезические пункты подразделяются на грунтовые и стенные. Грунтовые (закладываемые в грунт на незастроенной территории) состоят непосредственно из самого центра, являющегося носителем координат, наружного знака — обозначающего положение центра на местности и обеспечивающего взаимную видимость смежных пунктов сети и подземного сооружения (скрытая часть). Основная часть — Центр. Предназначен надежно и долговременно сохранять координаты пункта всех классов кроме I-го. Пункты I-го класса представляют группы центров, т. н. «кусты». Стенные г. п. закладываются в стены сооружений на застроенной территории и предназначены для сохранения координат III, IV классов, 1 и 2 разрядов. В отдельный класс выделяются пункты технических сетей, не имеющие капитального закрепления и наружного знака. В таких случаях применяются разборные знаки (переносимые или перевозимые), а сам пункт имеет характер временного (утрачивается в течение незначительного отрезка времени — 1 или 2 сезонов). Все виды геодезических пунктов не противопоставляются друг другу, а взаимно дополняют — чем выше класс сети, тем солидней конструкция и выше надежность центра.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-105410</wp:posOffset>
            </wp:positionH>
            <wp:positionV relativeFrom="paragraph">
              <wp:posOffset>-47625</wp:posOffset>
            </wp:positionV>
            <wp:extent cx="2495550" cy="19170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  <w:t>Рис. Наружный знак геодезического пункта</w:t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  <w:r>
        <w:br w:type="page"/>
      </w:r>
    </w:p>
    <w:p>
      <w:pPr>
        <w:pStyle w:val="1"/>
        <w:rPr/>
      </w:pPr>
      <w:r>
        <w:rPr/>
        <w:t>Список использованной литературы.</w:t>
      </w:r>
    </w:p>
    <w:p>
      <w:pPr>
        <w:pStyle w:val="Style12"/>
        <w:numPr>
          <w:ilvl w:val="0"/>
          <w:numId w:val="3"/>
        </w:numPr>
        <w:rPr/>
      </w:pPr>
      <w:r>
        <w:rPr/>
        <w:t>Строительные нормы и правила</w:t>
      </w:r>
    </w:p>
    <w:p>
      <w:pPr>
        <w:pStyle w:val="Style12"/>
        <w:numPr>
          <w:ilvl w:val="0"/>
          <w:numId w:val="3"/>
        </w:numPr>
        <w:rPr/>
      </w:pPr>
      <w:r>
        <w:rPr/>
        <w:t>«Java полное руководство» Герберт Шилдт</w:t>
      </w:r>
    </w:p>
    <w:p>
      <w:pPr>
        <w:pStyle w:val="Style12"/>
        <w:numPr>
          <w:ilvl w:val="0"/>
          <w:numId w:val="3"/>
        </w:numPr>
        <w:rPr/>
      </w:pPr>
      <w:r>
        <w:rPr/>
        <w:t>«Разработка веб-приложений на платформе Spring» Суханов В.И.</w:t>
      </w:r>
    </w:p>
    <w:p>
      <w:pPr>
        <w:pStyle w:val="Style12"/>
        <w:numPr>
          <w:ilvl w:val="0"/>
          <w:numId w:val="3"/>
        </w:numPr>
        <w:rPr/>
      </w:pPr>
      <w:r>
        <w:rPr/>
        <w:t>«Чистая архитектура. Искусство разработки программного обеспечения.» Роберт Мартин.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rFonts w:ascii="Times New Roman" w:hAnsi="Times New Roman"/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3" w:after="289"/>
      <w:jc w:val="center"/>
      <w:outlineLvl w:val="1"/>
    </w:pPr>
    <w:rPr>
      <w:rFonts w:ascii="Times New Roman" w:hAnsi="Times New Roman"/>
      <w:sz w:val="36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jc w:val="center"/>
      <w:outlineLvl w:val="2"/>
    </w:pPr>
    <w:rPr>
      <w:rFonts w:ascii="Times New Roman" w:hAnsi="Times New Roman"/>
      <w:color w:val="434343"/>
      <w:sz w:val="32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360" w:before="0" w:after="140"/>
      <w:ind w:left="0" w:right="0" w:firstLine="680"/>
    </w:pPr>
    <w:rPr>
      <w:rFonts w:ascii="Times New Roman" w:hAnsi="Times New Roman"/>
      <w:sz w:val="28"/>
    </w:rPr>
  </w:style>
  <w:style w:type="paragraph" w:styleId="Style13">
    <w:name w:val="List"/>
    <w:basedOn w:val="Style12"/>
    <w:pPr>
      <w:ind w:left="283" w:right="0" w:firstLine="680"/>
    </w:pPr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8">
    <w:name w:val="Текст в заданном формате"/>
    <w:basedOn w:val="Normal"/>
    <w:qFormat/>
    <w:pPr>
      <w:spacing w:before="283" w:after="283"/>
      <w:ind w:left="567" w:right="0" w:hanging="0"/>
    </w:pPr>
    <w:rPr>
      <w:rFonts w:ascii="Courier New" w:hAnsi="Courier New" w:eastAsia="Liberation Mono" w:cs="Liberation Mono"/>
      <w:sz w:val="24"/>
      <w:szCs w:val="20"/>
    </w:rPr>
  </w:style>
  <w:style w:type="paragraph" w:styleId="Style19">
    <w:name w:val="Отступы"/>
    <w:basedOn w:val="Style12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Style20">
    <w:name w:val="Body Text Indent"/>
    <w:basedOn w:val="Style12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numbering" w:styleId="Style21">
    <w:name w:val="Маркер •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15</Pages>
  <Words>1285</Words>
  <Characters>8445</Characters>
  <CharactersWithSpaces>9608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2023-07-21T08:09:00Z</dcterms:created>
  <dc:creator>Mi</dc:creator>
  <dc:description/>
  <dc:language>ru-RU</dc:language>
  <cp:lastModifiedBy/>
  <dcterms:modified xsi:type="dcterms:W3CDTF">2024-04-23T11:55:30Z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