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3986" w:rsidRDefault="005D3986">
      <w:pPr>
        <w:suppressAutoHyphens/>
        <w:spacing w:line="480" w:lineRule="auto"/>
        <w:jc w:val="center"/>
        <w:rPr>
          <w:rFonts w:ascii="Times New Roman" w:hAnsi="Times New Roman"/>
        </w:rPr>
      </w:pPr>
      <w:bookmarkStart w:id="0" w:name="_GoBack"/>
      <w:bookmarkEnd w:id="0"/>
      <w:r>
        <w:rPr>
          <w:rFonts w:ascii="Times New Roman" w:hAnsi="Times New Roman"/>
          <w:b/>
        </w:rPr>
        <w:t>The Sabbath and Orthodox Presbyterian Identity</w:t>
      </w:r>
      <w:r>
        <w:rPr>
          <w:rFonts w:ascii="Times New Roman" w:hAnsi="Times New Roman"/>
        </w:rPr>
        <w:fldChar w:fldCharType="begin"/>
      </w:r>
      <w:r>
        <w:rPr>
          <w:rFonts w:ascii="Times New Roman" w:hAnsi="Times New Roman"/>
        </w:rPr>
        <w:instrText xml:space="preserve">PRIVATE </w:instrText>
      </w:r>
      <w:r>
        <w:rPr>
          <w:rFonts w:ascii="Times New Roman" w:hAnsi="Times New Roman"/>
        </w:rPr>
        <w:fldChar w:fldCharType="end"/>
      </w:r>
    </w:p>
    <w:p w:rsidR="005D3986" w:rsidRDefault="004115B3">
      <w:pPr>
        <w:suppressAutoHyphens/>
        <w:spacing w:line="480" w:lineRule="auto"/>
        <w:jc w:val="center"/>
        <w:rPr>
          <w:rFonts w:ascii="Times New Roman" w:hAnsi="Times New Roman"/>
        </w:rPr>
      </w:pPr>
      <w:r>
        <w:rPr>
          <w:rFonts w:ascii="Times New Roman" w:hAnsi="Times New Roman"/>
        </w:rPr>
        <w:t>John R. Muether</w:t>
      </w:r>
    </w:p>
    <w:p w:rsidR="004115B3" w:rsidRDefault="004115B3">
      <w:pPr>
        <w:suppressAutoHyphens/>
        <w:spacing w:line="480" w:lineRule="auto"/>
        <w:rPr>
          <w:rFonts w:ascii="Times New Roman" w:hAnsi="Times New Roman"/>
          <w:spacing w:val="-3"/>
        </w:rPr>
      </w:pPr>
    </w:p>
    <w:p w:rsidR="004115B3" w:rsidRDefault="004115B3">
      <w:pPr>
        <w:suppressAutoHyphens/>
        <w:spacing w:line="480" w:lineRule="auto"/>
        <w:rPr>
          <w:rFonts w:ascii="Times New Roman" w:hAnsi="Times New Roman"/>
          <w:spacing w:val="-3"/>
        </w:rPr>
      </w:pPr>
      <w:r>
        <w:rPr>
          <w:rFonts w:ascii="Times New Roman" w:hAnsi="Times New Roman"/>
          <w:spacing w:val="-3"/>
        </w:rPr>
        <w:tab/>
        <w:t>“If you would destroy the Christian religion, you must first destroy the Christian Sabbath.”  So Voltaire was alleged to have said.</w:t>
      </w:r>
      <w:r>
        <w:rPr>
          <w:rStyle w:val="FootnoteReference"/>
          <w:rFonts w:ascii="Times New Roman" w:hAnsi="Times New Roman"/>
          <w:spacing w:val="-3"/>
        </w:rPr>
        <w:footnoteReference w:id="1"/>
      </w:r>
      <w:r>
        <w:rPr>
          <w:rFonts w:ascii="Times New Roman" w:hAnsi="Times New Roman"/>
          <w:spacing w:val="-3"/>
        </w:rPr>
        <w:t xml:space="preserve">   It is a keen observation of the relationship between theology and practice, and, though spoken two hundred years ago, it is a particularly telling description of our times.  Both the malaise of the mainline and the megashifts of evangelicalism testify to their blurred theological identity and uncertain doctrinal boundaries.  At the same time, both camps have radically redefined the Christian Sabbath in this century.  A coincidence?  Voltaire would not have us think so.</w:t>
      </w:r>
    </w:p>
    <w:p w:rsidR="005D3986" w:rsidRDefault="005D3986">
      <w:pPr>
        <w:suppressAutoHyphens/>
        <w:spacing w:line="480" w:lineRule="auto"/>
        <w:rPr>
          <w:rFonts w:ascii="Times New Roman" w:hAnsi="Times New Roman"/>
          <w:spacing w:val="-3"/>
        </w:rPr>
      </w:pPr>
      <w:r>
        <w:rPr>
          <w:rFonts w:ascii="Times New Roman" w:hAnsi="Times New Roman"/>
          <w:spacing w:val="-3"/>
        </w:rPr>
        <w:tab/>
      </w:r>
      <w:r w:rsidR="004115B3">
        <w:rPr>
          <w:rFonts w:ascii="Times New Roman" w:hAnsi="Times New Roman"/>
          <w:spacing w:val="-3"/>
        </w:rPr>
        <w:t>In contrast, t</w:t>
      </w:r>
      <w:r>
        <w:rPr>
          <w:rFonts w:ascii="Times New Roman" w:hAnsi="Times New Roman"/>
          <w:spacing w:val="-3"/>
        </w:rPr>
        <w:t xml:space="preserve">he Orthodox Presbyterian Church has enjoyed, relative to other American denominations, a far more focused theological identity and a heightened appreciation of the Sabbath.  This too we ought not to regard as accidental.  Anyone concerned with the identity of the OPC would do well to understand the Sabbath in the OPC, both in theology and practice.  This essay is a modest contribution to that end.  To conduct our analysis, it is helpful to begin with a survey of Sabbatarianism in </w:t>
      </w:r>
      <w:smartTag w:uri="urn:schemas-microsoft-com:office:smarttags" w:element="country-region">
        <w:smartTag w:uri="urn:schemas-microsoft-com:office:smarttags" w:element="place">
          <w:r>
            <w:rPr>
              <w:rFonts w:ascii="Times New Roman" w:hAnsi="Times New Roman"/>
              <w:spacing w:val="-3"/>
            </w:rPr>
            <w:t>America</w:t>
          </w:r>
        </w:smartTag>
      </w:smartTag>
      <w:r>
        <w:rPr>
          <w:rFonts w:ascii="Times New Roman" w:hAnsi="Times New Roman"/>
          <w:spacing w:val="-3"/>
        </w:rPr>
        <w:t xml:space="preserve"> before the founding of the OPC.</w:t>
      </w:r>
    </w:p>
    <w:p w:rsidR="004115B3" w:rsidRDefault="004115B3">
      <w:pPr>
        <w:suppressAutoHyphens/>
        <w:spacing w:line="480" w:lineRule="auto"/>
        <w:rPr>
          <w:rFonts w:ascii="Times New Roman" w:hAnsi="Times New Roman"/>
          <w:b/>
          <w:spacing w:val="-3"/>
        </w:rPr>
      </w:pPr>
    </w:p>
    <w:p w:rsidR="004115B3" w:rsidRDefault="004115B3">
      <w:pPr>
        <w:suppressAutoHyphens/>
        <w:spacing w:line="480" w:lineRule="auto"/>
        <w:jc w:val="center"/>
        <w:rPr>
          <w:rFonts w:ascii="Times New Roman" w:hAnsi="Times New Roman"/>
          <w:b/>
        </w:rPr>
      </w:pPr>
      <w:r>
        <w:rPr>
          <w:rFonts w:ascii="Times New Roman" w:hAnsi="Times New Roman"/>
          <w:b/>
        </w:rPr>
        <w:t>Sabbatarianism in 19th Century American Evangelicalism</w:t>
      </w:r>
    </w:p>
    <w:p w:rsidR="004115B3" w:rsidRDefault="004115B3">
      <w:pPr>
        <w:suppressAutoHyphens/>
        <w:spacing w:line="480" w:lineRule="auto"/>
        <w:rPr>
          <w:rFonts w:ascii="Times New Roman" w:hAnsi="Times New Roman"/>
        </w:rPr>
      </w:pPr>
    </w:p>
    <w:p w:rsidR="005D3986" w:rsidRDefault="005D3986">
      <w:pPr>
        <w:suppressAutoHyphens/>
        <w:spacing w:line="480" w:lineRule="auto"/>
        <w:rPr>
          <w:rFonts w:ascii="Times New Roman" w:hAnsi="Times New Roman"/>
          <w:spacing w:val="-3"/>
        </w:rPr>
      </w:pPr>
      <w:r>
        <w:rPr>
          <w:rFonts w:ascii="Times New Roman" w:hAnsi="Times New Roman"/>
          <w:spacing w:val="-3"/>
        </w:rPr>
        <w:tab/>
        <w:t xml:space="preserve">Living as we do in days of Sabbath indifference, it may surprise us to recall how nearly universal was the Sabbatarianism of nineteenth century American Protestantism.  As George Marsden and other historians have noted, Sabbatarianism was a critical part of the agenda of </w:t>
      </w:r>
      <w:r>
        <w:rPr>
          <w:rFonts w:ascii="Times New Roman" w:hAnsi="Times New Roman"/>
          <w:spacing w:val="-3"/>
        </w:rPr>
        <w:lastRenderedPageBreak/>
        <w:t>nineteenth century American evangelical social reform.  It was, Marsden noted, “probably the most distinctive symbol of evangelicalism in the English-speaking world.”</w:t>
      </w:r>
      <w:r>
        <w:rPr>
          <w:rStyle w:val="FootnoteReference"/>
          <w:rFonts w:ascii="Times New Roman" w:hAnsi="Times New Roman"/>
          <w:spacing w:val="-3"/>
        </w:rPr>
        <w:footnoteReference w:id="2"/>
      </w:r>
      <w:r>
        <w:rPr>
          <w:rFonts w:ascii="Times New Roman" w:hAnsi="Times New Roman"/>
          <w:spacing w:val="-3"/>
        </w:rPr>
        <w:t xml:space="preserve">  For Presbyterians in particular, “a ceaseless war was carried on to preserve the Sabbath.”</w:t>
      </w:r>
      <w:r>
        <w:rPr>
          <w:rStyle w:val="FootnoteReference"/>
          <w:rFonts w:ascii="Times New Roman" w:hAnsi="Times New Roman"/>
          <w:spacing w:val="-3"/>
        </w:rPr>
        <w:footnoteReference w:id="3"/>
      </w:r>
      <w:r>
        <w:rPr>
          <w:rFonts w:ascii="Times New Roman" w:hAnsi="Times New Roman"/>
          <w:spacing w:val="-3"/>
        </w:rPr>
        <w:t xml:space="preserve"> throughout the nineteenth century.  One finds such high Sabbatarianism in, for example, this resolution of the 1819 General Assembly:</w:t>
      </w:r>
    </w:p>
    <w:p w:rsidR="005D3986" w:rsidRDefault="005D3986">
      <w:pPr>
        <w:tabs>
          <w:tab w:val="left" w:pos="-720"/>
          <w:tab w:val="left" w:pos="0"/>
        </w:tabs>
        <w:suppressAutoHyphens/>
        <w:spacing w:line="480" w:lineRule="auto"/>
        <w:ind w:left="720" w:hanging="720"/>
        <w:rPr>
          <w:rFonts w:ascii="Times New Roman" w:hAnsi="Times New Roman"/>
          <w:spacing w:val="-3"/>
        </w:rPr>
      </w:pPr>
      <w:r>
        <w:rPr>
          <w:rFonts w:ascii="Times New Roman" w:hAnsi="Times New Roman"/>
          <w:i/>
          <w:spacing w:val="-3"/>
        </w:rPr>
        <w:tab/>
        <w:t>Resolved</w:t>
      </w:r>
      <w:r>
        <w:rPr>
          <w:rFonts w:ascii="Times New Roman" w:hAnsi="Times New Roman"/>
          <w:spacing w:val="-3"/>
        </w:rPr>
        <w:t>, That it is the decided opinion of this Assembly that all attention to worldly concerns on the Lord’s day, further than the works of necessity and mercy demand, is inconsistent both with the letter and spirit of the fourth commandment; and consequently all engagements in regard to secular occupations on the Lord’s day, with a view to securing worldly advantages, are to be considered inconsistent with Christian character; and that those who are concerned in such engagements, ought not to be admitted into the communion of the Church while they continue in the same.</w:t>
      </w:r>
      <w:r>
        <w:rPr>
          <w:rStyle w:val="FootnoteReference"/>
          <w:rFonts w:ascii="Times New Roman" w:hAnsi="Times New Roman"/>
          <w:spacing w:val="-3"/>
        </w:rPr>
        <w:footnoteReference w:id="4"/>
      </w:r>
    </w:p>
    <w:p w:rsidR="004115B3" w:rsidRDefault="005D3986">
      <w:pPr>
        <w:tabs>
          <w:tab w:val="left" w:pos="-720"/>
        </w:tabs>
        <w:suppressAutoHyphens/>
        <w:spacing w:line="480" w:lineRule="auto"/>
        <w:rPr>
          <w:rFonts w:ascii="Times New Roman" w:hAnsi="Times New Roman"/>
          <w:spacing w:val="-3"/>
        </w:rPr>
      </w:pPr>
      <w:r>
        <w:rPr>
          <w:rFonts w:ascii="Times New Roman" w:hAnsi="Times New Roman"/>
          <w:spacing w:val="-3"/>
        </w:rPr>
        <w:t xml:space="preserve"> </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From the beginning to the end of the century, Sabbath desecration was always highlighted in any list of the vices that were threatening the moral fabric of the country, including drinking, gambling, and the theater.  Evangelicals expressed special concern over the tendency toward Sabbath desecration from the social changes wrought by technological progress and the rise of mass culture.  New modes of transportation brought weekend resorts like Coney Island and </w:t>
      </w:r>
      <w:smartTag w:uri="urn:schemas-microsoft-com:office:smarttags" w:element="City">
        <w:smartTag w:uri="urn:schemas-microsoft-com:office:smarttags" w:element="place">
          <w:r>
            <w:rPr>
              <w:rFonts w:ascii="Times New Roman" w:hAnsi="Times New Roman"/>
              <w:spacing w:val="-3"/>
            </w:rPr>
            <w:t>Atlantic City</w:t>
          </w:r>
        </w:smartTag>
      </w:smartTag>
      <w:r>
        <w:rPr>
          <w:rFonts w:ascii="Times New Roman" w:hAnsi="Times New Roman"/>
          <w:spacing w:val="-3"/>
        </w:rPr>
        <w:t xml:space="preserve"> within the convenient grasp of city residents.  The Sunday paper brought an alternative to public worship to the doorstep of millions.  By the 1890s, Sunday professional baseball had begun.</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Equally troubling was the spiritual state of the expanding frontier.  The Sabbath was often invoked as a synecdoche to describe the infidelity and irreligion of the American frontier.  In </w:t>
      </w:r>
      <w:smartTag w:uri="urn:schemas-microsoft-com:office:smarttags" w:element="PlaceName">
        <w:r>
          <w:rPr>
            <w:rFonts w:ascii="Times New Roman" w:hAnsi="Times New Roman"/>
            <w:spacing w:val="-3"/>
          </w:rPr>
          <w:t>New York</w:t>
        </w:r>
      </w:smartTag>
      <w:r>
        <w:rPr>
          <w:rFonts w:ascii="Times New Roman" w:hAnsi="Times New Roman"/>
          <w:spacing w:val="-3"/>
        </w:rPr>
        <w:t xml:space="preserve"> </w:t>
      </w:r>
      <w:smartTag w:uri="urn:schemas-microsoft-com:office:smarttags" w:element="PlaceType">
        <w:r>
          <w:rPr>
            <w:rFonts w:ascii="Times New Roman" w:hAnsi="Times New Roman"/>
            <w:spacing w:val="-3"/>
          </w:rPr>
          <w:t>State</w:t>
        </w:r>
      </w:smartTag>
      <w:r>
        <w:rPr>
          <w:rFonts w:ascii="Times New Roman" w:hAnsi="Times New Roman"/>
          <w:spacing w:val="-3"/>
        </w:rPr>
        <w:t xml:space="preserve">, for example, “it was a common remark that the Sabbath had not found its way across the </w:t>
      </w:r>
      <w:smartTag w:uri="urn:schemas-microsoft-com:office:smarttags" w:element="place">
        <w:smartTag w:uri="urn:schemas-microsoft-com:office:smarttags" w:element="PlaceName">
          <w:r>
            <w:rPr>
              <w:rFonts w:ascii="Times New Roman" w:hAnsi="Times New Roman"/>
              <w:spacing w:val="-3"/>
            </w:rPr>
            <w:t>Genesee</w:t>
          </w:r>
        </w:smartTag>
        <w:r>
          <w:rPr>
            <w:rFonts w:ascii="Times New Roman" w:hAnsi="Times New Roman"/>
            <w:spacing w:val="-3"/>
          </w:rPr>
          <w:t xml:space="preserve"> </w:t>
        </w:r>
        <w:smartTag w:uri="urn:schemas-microsoft-com:office:smarttags" w:element="PlaceType">
          <w:r>
            <w:rPr>
              <w:rFonts w:ascii="Times New Roman" w:hAnsi="Times New Roman"/>
              <w:spacing w:val="-3"/>
            </w:rPr>
            <w:t>River</w:t>
          </w:r>
        </w:smartTag>
      </w:smartTag>
      <w:r>
        <w:rPr>
          <w:rFonts w:ascii="Times New Roman" w:hAnsi="Times New Roman"/>
          <w:spacing w:val="-3"/>
        </w:rPr>
        <w:t>.”</w:t>
      </w:r>
      <w:r>
        <w:rPr>
          <w:rStyle w:val="FootnoteReference"/>
          <w:rFonts w:ascii="Times New Roman" w:hAnsi="Times New Roman"/>
          <w:spacing w:val="-3"/>
        </w:rPr>
        <w:footnoteReference w:id="5"/>
      </w:r>
      <w:r>
        <w:rPr>
          <w:rFonts w:ascii="Times New Roman" w:hAnsi="Times New Roman"/>
          <w:spacing w:val="-3"/>
        </w:rPr>
        <w:t xml:space="preserve"> Presbyterian missionaries to the </w:t>
      </w:r>
      <w:smartTag w:uri="urn:schemas-microsoft-com:office:smarttags" w:element="State">
        <w:r>
          <w:rPr>
            <w:rFonts w:ascii="Times New Roman" w:hAnsi="Times New Roman"/>
            <w:spacing w:val="-3"/>
          </w:rPr>
          <w:t>Missouri</w:t>
        </w:r>
      </w:smartTag>
      <w:r>
        <w:rPr>
          <w:rFonts w:ascii="Times New Roman" w:hAnsi="Times New Roman"/>
          <w:spacing w:val="-3"/>
        </w:rPr>
        <w:t xml:space="preserve"> frontier called the land west of the </w:t>
      </w:r>
      <w:smartTag w:uri="urn:schemas-microsoft-com:office:smarttags" w:element="State">
        <w:smartTag w:uri="urn:schemas-microsoft-com:office:smarttags" w:element="place">
          <w:r>
            <w:rPr>
              <w:rFonts w:ascii="Times New Roman" w:hAnsi="Times New Roman"/>
              <w:spacing w:val="-3"/>
            </w:rPr>
            <w:t>Mississippi</w:t>
          </w:r>
        </w:smartTag>
      </w:smartTag>
      <w:r>
        <w:rPr>
          <w:rFonts w:ascii="Times New Roman" w:hAnsi="Times New Roman"/>
          <w:spacing w:val="-3"/>
        </w:rPr>
        <w:t xml:space="preserve"> the “land beyond the Sabbath.”</w:t>
      </w:r>
      <w:r>
        <w:rPr>
          <w:rStyle w:val="FootnoteReference"/>
          <w:rFonts w:ascii="Times New Roman" w:hAnsi="Times New Roman"/>
          <w:spacing w:val="-3"/>
        </w:rPr>
        <w:footnoteReference w:id="6"/>
      </w:r>
      <w:r>
        <w:rPr>
          <w:rFonts w:ascii="Times New Roman" w:hAnsi="Times New Roman"/>
          <w:spacing w:val="-3"/>
        </w:rPr>
        <w:t xml:space="preserve">  Thus the Sabbath was an essential institution for civilizing primitive frontier life.</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By the end of the century Protestants promoted the Sabbath as a vehicle for social justice in the wake of the industrialization of the American workplace.  Typical was this pronouncement by the PCUSA General Assembly in 1910: “A ‘Christian Society’ should provide one day of rest for every six days of labor, and that day of rest should be, wherever possible, the Lord’s day.”</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What is particularly striking about the Sabbath rhetoric of nineteenth century evangelicals is the connection they drew between the observance of the Sabbath and the fate of the nation.  Sabbath breaking was punishable by the civil magistrate because it destroyed </w:t>
      </w:r>
      <w:smartTag w:uri="urn:schemas-microsoft-com:office:smarttags" w:element="country-region">
        <w:smartTag w:uri="urn:schemas-microsoft-com:office:smarttags" w:element="place">
          <w:r>
            <w:rPr>
              <w:rFonts w:ascii="Times New Roman" w:hAnsi="Times New Roman"/>
              <w:spacing w:val="-3"/>
            </w:rPr>
            <w:t>America</w:t>
          </w:r>
        </w:smartTag>
      </w:smartTag>
      <w:r>
        <w:rPr>
          <w:rFonts w:ascii="Times New Roman" w:hAnsi="Times New Roman"/>
          <w:spacing w:val="-3"/>
        </w:rPr>
        <w:t>’s moral and social fabric.  Writes historian Fred Hood: “The proper observation of the Sabbath was considered by the Reformed to be the most essential element in the maintenance of morals and therefore the preservation of the nation.”</w:t>
      </w:r>
      <w:r>
        <w:rPr>
          <w:rStyle w:val="FootnoteReference"/>
          <w:rFonts w:ascii="Times New Roman" w:hAnsi="Times New Roman"/>
          <w:spacing w:val="-3"/>
        </w:rPr>
        <w:footnoteReference w:id="7"/>
      </w:r>
      <w:r>
        <w:rPr>
          <w:rFonts w:ascii="Times New Roman" w:hAnsi="Times New Roman"/>
          <w:spacing w:val="-3"/>
        </w:rPr>
        <w:t xml:space="preserve">  Hood quotes an 1814 petition from the Presbyterian General Assembly to Congress that asserted “that the Sabbath contributes to increase the amount of productive labour, to promote science, civilization, peace, social order, and correct morality.”</w:t>
      </w:r>
      <w:r>
        <w:rPr>
          <w:rStyle w:val="FootnoteReference"/>
          <w:rFonts w:ascii="Times New Roman" w:hAnsi="Times New Roman"/>
          <w:spacing w:val="-3"/>
        </w:rPr>
        <w:footnoteReference w:id="8"/>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One common strategy that evangelicals pursued to address these concerns was the formation of moral societies.  The General Union for Promoting the Observance of the Christian Sabbath was organized in 1828.  In 1843 the American Sabbath Union was formed (which would eventually become the Lord’s Day </w:t>
      </w:r>
      <w:smartTag w:uri="urn:schemas-microsoft-com:office:smarttags" w:element="City">
        <w:smartTag w:uri="urn:schemas-microsoft-com:office:smarttags" w:element="place">
          <w:r>
            <w:rPr>
              <w:rFonts w:ascii="Times New Roman" w:hAnsi="Times New Roman"/>
              <w:spacing w:val="-3"/>
            </w:rPr>
            <w:t>Alliance</w:t>
          </w:r>
        </w:smartTag>
      </w:smartTag>
      <w:r>
        <w:rPr>
          <w:rFonts w:ascii="Times New Roman" w:hAnsi="Times New Roman"/>
          <w:spacing w:val="-3"/>
        </w:rPr>
        <w:t xml:space="preserve">).  These societies had publication programs designed to arouse public sentiment for the enforcement of Sabbath laws.  They also engaged in political lobbying for their cause.  Among the stated purposes of the American Sabbath Union was to “secure such </w:t>
      </w:r>
      <w:r>
        <w:rPr>
          <w:rFonts w:ascii="Times New Roman" w:hAnsi="Times New Roman"/>
          <w:i/>
          <w:spacing w:val="-3"/>
        </w:rPr>
        <w:t>legislation</w:t>
      </w:r>
      <w:r>
        <w:rPr>
          <w:rFonts w:ascii="Times New Roman" w:hAnsi="Times New Roman"/>
          <w:spacing w:val="-3"/>
        </w:rPr>
        <w:t xml:space="preserve"> as will guarantee to all who are directly or indirectly in the employment of our government their </w:t>
      </w:r>
      <w:r>
        <w:rPr>
          <w:rFonts w:ascii="Times New Roman" w:hAnsi="Times New Roman"/>
          <w:i/>
          <w:spacing w:val="-3"/>
        </w:rPr>
        <w:t>constitutional right</w:t>
      </w:r>
      <w:r>
        <w:rPr>
          <w:rFonts w:ascii="Times New Roman" w:hAnsi="Times New Roman"/>
          <w:spacing w:val="-3"/>
        </w:rPr>
        <w:t xml:space="preserve"> to weekly Sabbath rest” [emphasis added].</w:t>
      </w:r>
      <w:r>
        <w:rPr>
          <w:rStyle w:val="FootnoteReference"/>
          <w:rFonts w:ascii="Times New Roman" w:hAnsi="Times New Roman"/>
          <w:spacing w:val="-3"/>
        </w:rPr>
        <w:footnoteReference w:id="9"/>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A similar agenda characterized the National Reform Association, and organization begun in 1864, largely through the leadership of the Reformed Presbyterian Church in </w:t>
      </w:r>
      <w:smartTag w:uri="urn:schemas-microsoft-com:office:smarttags" w:element="place">
        <w:r>
          <w:rPr>
            <w:rFonts w:ascii="Times New Roman" w:hAnsi="Times New Roman"/>
            <w:spacing w:val="-3"/>
          </w:rPr>
          <w:t>North America</w:t>
        </w:r>
      </w:smartTag>
      <w:r>
        <w:rPr>
          <w:rFonts w:ascii="Times New Roman" w:hAnsi="Times New Roman"/>
          <w:spacing w:val="-3"/>
        </w:rPr>
        <w:t xml:space="preserve"> (popularly known as the Covenanters). Committed to the idea of a National Covenant, the Covenanters argued that American government must be premised on submission to the lordship of Jesus Christ.  The National Reform Association was (and is) an interdenominational, largely northern Calvinistic organization that sought to amend the preamble to the Constitution in order explicitly to acknowledge the sovereign lordship of Jesus Christ over the nation.  Only by such an amendment would American politics resist the drift toward secularization and conform to biblical principles for the modern state.  In addition to contending for the passage of this amendment, the NRA also fought for federal laws that would enforce the first table of the moral law, and prominent among their efforts was legislation forbidding commerce on Sundays.</w:t>
      </w:r>
      <w:r>
        <w:rPr>
          <w:rStyle w:val="FootnoteReference"/>
          <w:rFonts w:ascii="Times New Roman" w:hAnsi="Times New Roman"/>
          <w:spacing w:val="-3"/>
        </w:rPr>
        <w:footnoteReference w:id="10"/>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In all of these moral societies, we see the nationalist argument at work.  They shared with all the 19th century evangelical social crusaders the belief that the Sabbath was obligatory equally for the church and the state.</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The “Puritan” Sunday is often the way historians describe this mindset.  But it might be more accurately described as the “Victorian” Sunday.</w:t>
      </w:r>
      <w:r>
        <w:rPr>
          <w:rStyle w:val="FootnoteReference"/>
          <w:rFonts w:ascii="Times New Roman" w:hAnsi="Times New Roman"/>
          <w:spacing w:val="-3"/>
        </w:rPr>
        <w:footnoteReference w:id="11"/>
      </w:r>
      <w:r>
        <w:rPr>
          <w:rFonts w:ascii="Times New Roman" w:hAnsi="Times New Roman"/>
          <w:spacing w:val="-3"/>
        </w:rPr>
        <w:t xml:space="preserve">   For the Sabbath became a symbol of middle class Protestant respectability, linked with other symbols such as temperance.  And in good Victorian fashion, the Sabbath was trumpeted as “a day of intellectual and moral improvement.”</w:t>
      </w:r>
      <w:r>
        <w:rPr>
          <w:rStyle w:val="FootnoteReference"/>
          <w:rFonts w:ascii="Times New Roman" w:hAnsi="Times New Roman"/>
          <w:spacing w:val="-3"/>
        </w:rPr>
        <w:footnoteReference w:id="12"/>
      </w:r>
    </w:p>
    <w:p w:rsidR="004115B3" w:rsidRDefault="004115B3">
      <w:pPr>
        <w:tabs>
          <w:tab w:val="left" w:pos="-720"/>
        </w:tabs>
        <w:suppressAutoHyphens/>
        <w:spacing w:line="480" w:lineRule="auto"/>
        <w:rPr>
          <w:rFonts w:ascii="Times New Roman" w:hAnsi="Times New Roman"/>
          <w:spacing w:val="-3"/>
        </w:rPr>
      </w:pP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It is important to see how this Protestant cause also served as an instrument of social control.  Protestants, in part, were advocating the Sabbath in order to maintain their hegemony over unruly waves of immigrants.  More and more Catholics were coming to </w:t>
      </w:r>
      <w:smartTag w:uri="urn:schemas-microsoft-com:office:smarttags" w:element="country-region">
        <w:smartTag w:uri="urn:schemas-microsoft-com:office:smarttags" w:element="place">
          <w:r>
            <w:rPr>
              <w:rFonts w:ascii="Times New Roman" w:hAnsi="Times New Roman"/>
              <w:spacing w:val="-3"/>
            </w:rPr>
            <w:t>America</w:t>
          </w:r>
        </w:smartTag>
      </w:smartTag>
      <w:r>
        <w:rPr>
          <w:rFonts w:ascii="Times New Roman" w:hAnsi="Times New Roman"/>
          <w:spacing w:val="-3"/>
        </w:rPr>
        <w:t xml:space="preserve"> especially through the immigration of largely urban Irish that began in the 1830s.  American Protestants were naturally frightened by foreigners who spoke of the immaculate conception of Mary (1854), a “Syllabus of Errors” (1864) and the decree of Papal infallibility (1871).  Further, these folk were often given to intemperance and they did not keep the Sabbath.  Likewise, Jews were coming ashore in large numbers, especially after the civil war.  Yet another concern was the rise of sects that observed the Saturday Sabbath (Millerites).  Finally, and for some most perniciously, there was German immigration that brought massive numbers of Lutherans. These ethnics brought to </w:t>
      </w:r>
      <w:smartTag w:uri="urn:schemas-microsoft-com:office:smarttags" w:element="country-region">
        <w:smartTag w:uri="urn:schemas-microsoft-com:office:smarttags" w:element="place">
          <w:r>
            <w:rPr>
              <w:rFonts w:ascii="Times New Roman" w:hAnsi="Times New Roman"/>
              <w:spacing w:val="-3"/>
            </w:rPr>
            <w:t>America</w:t>
          </w:r>
        </w:smartTag>
      </w:smartTag>
      <w:r>
        <w:rPr>
          <w:rFonts w:ascii="Times New Roman" w:hAnsi="Times New Roman"/>
          <w:spacing w:val="-3"/>
        </w:rPr>
        <w:t xml:space="preserve"> their love for beer and the practice of such heresies as the “continental Sabbath.”</w:t>
      </w:r>
      <w:r>
        <w:rPr>
          <w:rStyle w:val="FootnoteReference"/>
          <w:rFonts w:ascii="Times New Roman" w:hAnsi="Times New Roman"/>
          <w:spacing w:val="-3"/>
        </w:rPr>
        <w:footnoteReference w:id="13"/>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There were, then, mixed motives in the nineteenth century crusades for the Sabbath, and we need to understand these crusades in the context of the American religious warfare of that time.  When anglo-Protestants spoke of maintaining the social fabric, they had a specific vision of what that meant: it was Protestant, middle-class, and rural.  So to enforce the Sabbath was to reinforce the Protestant establishment, preserving its hegemony over Catholics, Jews, and other immigrant and minority groups.  If these newcomers and outsiders were to share in the American experiment, they had to be assimilated into Protestant Victorian mores.   </w:t>
      </w:r>
    </w:p>
    <w:p w:rsidR="005D3986" w:rsidRDefault="005D3986">
      <w:pPr>
        <w:tabs>
          <w:tab w:val="left" w:pos="-720"/>
        </w:tabs>
        <w:suppressAutoHyphens/>
        <w:spacing w:line="480" w:lineRule="auto"/>
        <w:rPr>
          <w:rFonts w:ascii="Times New Roman" w:hAnsi="Times New Roman"/>
          <w:spacing w:val="-3"/>
        </w:rPr>
      </w:pPr>
    </w:p>
    <w:p w:rsidR="005D3986" w:rsidRDefault="005D3986">
      <w:pPr>
        <w:tabs>
          <w:tab w:val="left" w:pos="-720"/>
        </w:tabs>
        <w:suppressAutoHyphens/>
        <w:spacing w:line="480" w:lineRule="auto"/>
        <w:jc w:val="center"/>
        <w:rPr>
          <w:rFonts w:ascii="Times New Roman" w:hAnsi="Times New Roman"/>
          <w:b/>
        </w:rPr>
      </w:pPr>
      <w:r>
        <w:rPr>
          <w:rFonts w:ascii="Times New Roman" w:hAnsi="Times New Roman"/>
          <w:b/>
        </w:rPr>
        <w:t xml:space="preserve">Sabbath </w:t>
      </w:r>
      <w:r w:rsidR="004115B3">
        <w:rPr>
          <w:rFonts w:ascii="Times New Roman" w:hAnsi="Times New Roman"/>
          <w:b/>
        </w:rPr>
        <w:t>in the Fundamentalist-Modernist Controversy</w:t>
      </w:r>
    </w:p>
    <w:p w:rsidR="004115B3" w:rsidRDefault="004115B3">
      <w:pPr>
        <w:tabs>
          <w:tab w:val="left" w:pos="-720"/>
        </w:tabs>
        <w:suppressAutoHyphens/>
        <w:spacing w:line="480" w:lineRule="auto"/>
        <w:rPr>
          <w:rFonts w:ascii="Times New Roman" w:hAnsi="Times New Roman"/>
        </w:rPr>
      </w:pP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One will search practically in vain throughout the documents related to the fundamentalist-modernist controversy for reference to the Sabbath.  This is because fundamentalists and modernists generally shared the Victorian view of the Sabbath that we have described.  In the </w:t>
      </w:r>
      <w:r>
        <w:rPr>
          <w:rFonts w:ascii="Times New Roman" w:hAnsi="Times New Roman"/>
          <w:i/>
          <w:spacing w:val="-3"/>
        </w:rPr>
        <w:t>Fundamentals</w:t>
      </w:r>
      <w:r>
        <w:rPr>
          <w:rFonts w:ascii="Times New Roman" w:hAnsi="Times New Roman"/>
          <w:spacing w:val="-3"/>
        </w:rPr>
        <w:t>, one essay was devoted to the Sabbath, “Why Save the Lord’s Day?” by Rev. Daniel Hoffman Martin (</w:t>
      </w:r>
      <w:smartTag w:uri="urn:schemas-microsoft-com:office:smarttags" w:element="place">
        <w:smartTag w:uri="urn:schemas-microsoft-com:office:smarttags" w:element="PlaceName">
          <w:r>
            <w:rPr>
              <w:rFonts w:ascii="Times New Roman" w:hAnsi="Times New Roman"/>
              <w:spacing w:val="-3"/>
            </w:rPr>
            <w:t>Glen</w:t>
          </w:r>
        </w:smartTag>
        <w:r>
          <w:rPr>
            <w:rFonts w:ascii="Times New Roman" w:hAnsi="Times New Roman"/>
            <w:spacing w:val="-3"/>
          </w:rPr>
          <w:t xml:space="preserve"> </w:t>
        </w:r>
        <w:smartTag w:uri="urn:schemas-microsoft-com:office:smarttags" w:element="PlaceName">
          <w:r>
            <w:rPr>
              <w:rFonts w:ascii="Times New Roman" w:hAnsi="Times New Roman"/>
              <w:spacing w:val="-3"/>
            </w:rPr>
            <w:t>Falls</w:t>
          </w:r>
        </w:smartTag>
      </w:smartTag>
      <w:r>
        <w:rPr>
          <w:rFonts w:ascii="Times New Roman" w:hAnsi="Times New Roman"/>
          <w:spacing w:val="-3"/>
        </w:rPr>
        <w:t>, NY).  Martin argued that the Sabbath was essential for human dignity in a modern, industrial society, and he developed a culturalist argument for the Lord’s Day: “the bluest of blue laws would be preferable to red anarchy.”</w:t>
      </w:r>
      <w:r>
        <w:rPr>
          <w:rStyle w:val="FootnoteReference"/>
          <w:rFonts w:ascii="Times New Roman" w:hAnsi="Times New Roman"/>
          <w:spacing w:val="-3"/>
        </w:rPr>
        <w:footnoteReference w:id="14"/>
      </w:r>
      <w:r>
        <w:rPr>
          <w:rFonts w:ascii="Times New Roman" w:hAnsi="Times New Roman"/>
          <w:spacing w:val="-3"/>
        </w:rPr>
        <w:t xml:space="preserve">  Warning about the dangers of drifting into Sabbath secularization, he went on to quote Abraham Lincoln: “As we keep, or break, the Sabbath day, we nobly save, or meanly lose, the last best hope by which man rises.”</w:t>
      </w:r>
      <w:r>
        <w:rPr>
          <w:rStyle w:val="FootnoteReference"/>
          <w:rFonts w:ascii="Times New Roman" w:hAnsi="Times New Roman"/>
          <w:spacing w:val="-3"/>
        </w:rPr>
        <w:footnoteReference w:id="15"/>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According to Bradley Longfield, two of Machen’s opponents in the Presbyterian Church, Charles Erdman and Robert Speer, were both strict Sabbatarians and prohibitionists.  Erdman argued that “Sabbath desecration” was “the forerunner of declension and doom” for a nation, and so the state had the responsibility to enforce this day of rest for all citizens. “One who desecrates the Sabbath is an enemy of the human race.”</w:t>
      </w:r>
      <w:r>
        <w:rPr>
          <w:rStyle w:val="FootnoteReference"/>
          <w:rFonts w:ascii="Times New Roman" w:hAnsi="Times New Roman"/>
          <w:spacing w:val="-3"/>
        </w:rPr>
        <w:footnoteReference w:id="16"/>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Even the modernist Henry Sloane Coffin presented arguments for blue laws.  As an advocate of the Social Gospel, Coffin claimed that the church had the social role of turning the world into the </w:t>
      </w:r>
      <w:smartTag w:uri="urn:schemas-microsoft-com:office:smarttags" w:element="place">
        <w:smartTag w:uri="urn:schemas-microsoft-com:office:smarttags" w:element="PlaceType">
          <w:r>
            <w:rPr>
              <w:rFonts w:ascii="Times New Roman" w:hAnsi="Times New Roman"/>
              <w:spacing w:val="-3"/>
            </w:rPr>
            <w:t>Kingdom</w:t>
          </w:r>
        </w:smartTag>
        <w:r>
          <w:rPr>
            <w:rFonts w:ascii="Times New Roman" w:hAnsi="Times New Roman"/>
            <w:spacing w:val="-3"/>
          </w:rPr>
          <w:t xml:space="preserve"> of </w:t>
        </w:r>
        <w:smartTag w:uri="urn:schemas-microsoft-com:office:smarttags" w:element="PlaceName">
          <w:r>
            <w:rPr>
              <w:rFonts w:ascii="Times New Roman" w:hAnsi="Times New Roman"/>
              <w:spacing w:val="-3"/>
            </w:rPr>
            <w:t>God</w:t>
          </w:r>
        </w:smartTag>
      </w:smartTag>
      <w:r>
        <w:rPr>
          <w:rFonts w:ascii="Times New Roman" w:hAnsi="Times New Roman"/>
          <w:spacing w:val="-3"/>
        </w:rPr>
        <w:t>.  One of the social institutions that required Christianization was industry.  While he saw the church of his day as freed from the Old Testament Sabbath, the “humane elements” of the Fourth Commandment were to be incorporated into civil law, to protect the industrial order from greedy businessmen.  Thus for humanitarian reasons, the Sabbath day must be safeguarded by legislation.</w:t>
      </w:r>
      <w:r>
        <w:rPr>
          <w:rStyle w:val="FootnoteReference"/>
          <w:rFonts w:ascii="Times New Roman" w:hAnsi="Times New Roman"/>
          <w:spacing w:val="-3"/>
        </w:rPr>
        <w:footnoteReference w:id="17"/>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So both fundamentalists and modernists were concerned with the disorders of modern American culture; both sides wanted to extend their competing versions of Christian America; and both camps saw Sabbath-keeping a key element in their strategy.  By promoting the Sabbath, the church could serve as the moral custodian of the nation.  And so, for the most part fundamentalists and modernists alike fought Sabbath-desecration along with the other bar-room vices of the late Victorian era (such as liquor, tobacco, dancing, gambling, card playing, and the theater) because the welfare of the nation depended on it.</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For his part, Machen resisted the use of the church to support Victorian mores of either a fundamentalist or modernist version.  Still, for Machen, the Sabbath was part of the take-it-for-granted reality of Old School Piety.  In autobiographical reflections Machen referred only indirectly to his Sabbatarian upbringing.</w:t>
      </w:r>
      <w:r>
        <w:rPr>
          <w:rStyle w:val="FootnoteReference"/>
          <w:rFonts w:ascii="Times New Roman" w:hAnsi="Times New Roman"/>
          <w:spacing w:val="-3"/>
        </w:rPr>
        <w:footnoteReference w:id="18"/>
      </w:r>
      <w:r>
        <w:rPr>
          <w:rFonts w:ascii="Times New Roman" w:hAnsi="Times New Roman"/>
          <w:spacing w:val="-3"/>
        </w:rPr>
        <w:t xml:space="preserve">  Ned B. Stonehouse records several anecdotes of the struggles Machen encountered during his time -- as a student and during the War -- in non-Sabbatarian </w:t>
      </w:r>
      <w:smartTag w:uri="urn:schemas-microsoft-com:office:smarttags" w:element="place">
        <w:r>
          <w:rPr>
            <w:rFonts w:ascii="Times New Roman" w:hAnsi="Times New Roman"/>
            <w:spacing w:val="-3"/>
          </w:rPr>
          <w:t>Europe</w:t>
        </w:r>
      </w:smartTag>
      <w:r>
        <w:rPr>
          <w:rFonts w:ascii="Times New Roman" w:hAnsi="Times New Roman"/>
          <w:spacing w:val="-3"/>
        </w:rPr>
        <w:t xml:space="preserve">.  To his mother he wrote: “There is no Sunday on the front.  My idea is that this is war, and also it is </w:t>
      </w:r>
      <w:smartTag w:uri="urn:schemas-microsoft-com:office:smarttags" w:element="country-region">
        <w:smartTag w:uri="urn:schemas-microsoft-com:office:smarttags" w:element="place">
          <w:r>
            <w:rPr>
              <w:rFonts w:ascii="Times New Roman" w:hAnsi="Times New Roman"/>
              <w:spacing w:val="-3"/>
            </w:rPr>
            <w:t>France</w:t>
          </w:r>
        </w:smartTag>
      </w:smartTag>
      <w:r>
        <w:rPr>
          <w:rFonts w:ascii="Times New Roman" w:hAnsi="Times New Roman"/>
          <w:spacing w:val="-3"/>
        </w:rPr>
        <w:t>. . . . Of one thing you can be dead sure -- this experience will never destroy my own devotedness to the Christian Sabbath.  On the contrary it will make me feel all the more profoundly the inestimable blessing of it.”</w:t>
      </w:r>
      <w:r>
        <w:rPr>
          <w:rStyle w:val="FootnoteReference"/>
          <w:rFonts w:ascii="Times New Roman" w:hAnsi="Times New Roman"/>
          <w:spacing w:val="-3"/>
        </w:rPr>
        <w:footnoteReference w:id="19"/>
      </w:r>
      <w:r>
        <w:rPr>
          <w:rFonts w:ascii="Times New Roman" w:hAnsi="Times New Roman"/>
          <w:spacing w:val="-3"/>
        </w:rPr>
        <w:t xml:space="preserve">  In a later letter he wrote: “Never before have I felt quite so keenly, I think, the value of the Christian Sabbath.  Here every day is exactly like every other day.  In the monotony of the schedule one feels oppressed almost to suffocation.  I wish I could hear the church bells ring.” </w:t>
      </w:r>
      <w:r>
        <w:rPr>
          <w:rStyle w:val="FootnoteReference"/>
          <w:rFonts w:ascii="Times New Roman" w:hAnsi="Times New Roman"/>
          <w:spacing w:val="-3"/>
        </w:rPr>
        <w:footnoteReference w:id="20"/>
      </w:r>
    </w:p>
    <w:p w:rsidR="004115B3" w:rsidRDefault="004115B3">
      <w:pPr>
        <w:tabs>
          <w:tab w:val="left" w:pos="-720"/>
        </w:tabs>
        <w:suppressAutoHyphens/>
        <w:spacing w:line="480" w:lineRule="auto"/>
        <w:rPr>
          <w:rFonts w:ascii="Times New Roman" w:hAnsi="Times New Roman"/>
          <w:spacing w:val="-3"/>
        </w:rPr>
      </w:pPr>
    </w:p>
    <w:p w:rsidR="005D3986" w:rsidRDefault="005D3986">
      <w:pPr>
        <w:tabs>
          <w:tab w:val="left" w:pos="-720"/>
        </w:tabs>
        <w:suppressAutoHyphens/>
        <w:spacing w:line="480" w:lineRule="auto"/>
        <w:jc w:val="center"/>
        <w:rPr>
          <w:rFonts w:ascii="Times New Roman" w:hAnsi="Times New Roman"/>
          <w:b/>
        </w:rPr>
      </w:pPr>
      <w:r>
        <w:rPr>
          <w:rFonts w:ascii="Times New Roman" w:hAnsi="Times New Roman"/>
          <w:b/>
        </w:rPr>
        <w:t>Sabbath Decline in the Twentieth Century</w:t>
      </w:r>
    </w:p>
    <w:p w:rsidR="004115B3" w:rsidRDefault="004115B3">
      <w:pPr>
        <w:tabs>
          <w:tab w:val="left" w:pos="-720"/>
        </w:tabs>
        <w:suppressAutoHyphens/>
        <w:spacing w:line="480" w:lineRule="auto"/>
        <w:rPr>
          <w:rFonts w:ascii="Times New Roman" w:hAnsi="Times New Roman"/>
        </w:rPr>
      </w:pP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Again, all of this should sound a little strange to us.  The nineteenth and early twentieth century practiced a piety very distant from the late twentieth century.  What happened to the Sabbath in our century has been well described by sociologist Benton Johnson.</w:t>
      </w:r>
      <w:r>
        <w:rPr>
          <w:rStyle w:val="FootnoteReference"/>
          <w:rFonts w:ascii="Times New Roman" w:hAnsi="Times New Roman"/>
          <w:spacing w:val="-3"/>
        </w:rPr>
        <w:footnoteReference w:id="21"/>
      </w:r>
      <w:r>
        <w:rPr>
          <w:rFonts w:ascii="Times New Roman" w:hAnsi="Times New Roman"/>
          <w:spacing w:val="-3"/>
        </w:rPr>
        <w:t xml:space="preserve">  Because it was committed to an assimilationist vision of the relationship of the church with American culture, the Presbyterian church could articulate a strong Sabbatarianism so long as it held the status of privilege and hegemony.  But such a vision would be tested severely with the secularization and pluralization of American culture after World War I.  As Johnson notes, “Prohibition, blue laws, and “Puritan” standards of conduct were belittled in the press, in popular literature, on the stage, and in the movies.”</w:t>
      </w:r>
      <w:r>
        <w:rPr>
          <w:rStyle w:val="FootnoteReference"/>
          <w:rFonts w:ascii="Times New Roman" w:hAnsi="Times New Roman"/>
          <w:spacing w:val="-3"/>
        </w:rPr>
        <w:footnoteReference w:id="22"/>
      </w:r>
      <w:r>
        <w:rPr>
          <w:rFonts w:ascii="Times New Roman" w:hAnsi="Times New Roman"/>
          <w:spacing w:val="-3"/>
        </w:rPr>
        <w:t xml:space="preserve">  Rising affluence and social mobility eroded the control that churches could exert on the piety, particularly, of upper-middle class congregants, especially on those features of the tradition that seemed particularly burdensome, like Sabbatarianism and prohibition.  And so, Presbyterians “dropped the subject”; they lost interest in the Sabbath as it was traditionally observed.  Johnson concludes: its decline “was simply the next step in an erosion of commitment to the religious tradition.”</w:t>
      </w:r>
      <w:r>
        <w:rPr>
          <w:rStyle w:val="FootnoteReference"/>
          <w:rFonts w:ascii="Times New Roman" w:hAnsi="Times New Roman"/>
          <w:spacing w:val="-3"/>
        </w:rPr>
        <w:footnoteReference w:id="23"/>
      </w:r>
      <w:r>
        <w:rPr>
          <w:rFonts w:ascii="Times New Roman" w:hAnsi="Times New Roman"/>
          <w:spacing w:val="-3"/>
        </w:rPr>
        <w:t xml:space="preserve">  In other words, Protestant assimilationists themselves proved too adept at assimilation into the increasingly pluralistic environment of the twentieth century.</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The story of the Northern Presbyterian church has repeated itself in other former bastions of American Protestant Sabbatarianism.  Upward mobility, rising social status, subsequent rejection of tradition, and assimilation into the broader culture would all take place a generation or two later in Evangelicalism.  In the South, the decline was also slower.  Southern agrarians at the turn of the century saw the “Sabbath problem” as really the industrial problem of the North.  Sabbath desecration in the North, Southerners wrote, was the product of irresponsible corporate giants who held the church hostage to their vast commercial interests.</w:t>
      </w:r>
      <w:r>
        <w:rPr>
          <w:rStyle w:val="FootnoteReference"/>
          <w:rFonts w:ascii="Times New Roman" w:hAnsi="Times New Roman"/>
          <w:spacing w:val="-3"/>
        </w:rPr>
        <w:t xml:space="preserve"> </w:t>
      </w:r>
      <w:r>
        <w:rPr>
          <w:rStyle w:val="FootnoteReference"/>
          <w:rFonts w:ascii="Times New Roman" w:hAnsi="Times New Roman"/>
          <w:spacing w:val="-3"/>
        </w:rPr>
        <w:footnoteReference w:id="24"/>
      </w:r>
    </w:p>
    <w:p w:rsidR="004115B3" w:rsidRDefault="004115B3">
      <w:pPr>
        <w:tabs>
          <w:tab w:val="left" w:pos="-720"/>
        </w:tabs>
        <w:suppressAutoHyphens/>
        <w:spacing w:line="480" w:lineRule="auto"/>
        <w:rPr>
          <w:rFonts w:ascii="Times New Roman" w:hAnsi="Times New Roman"/>
          <w:spacing w:val="-3"/>
        </w:rPr>
      </w:pPr>
      <w:r>
        <w:rPr>
          <w:rFonts w:ascii="Times New Roman" w:hAnsi="Times New Roman"/>
          <w:spacing w:val="-3"/>
        </w:rPr>
        <w:tab/>
        <w:t xml:space="preserve">In the Christian Reformed Church, long-time observers have seen a steady decline in Sabbath observance much like in mainline churches.  John Timmerman wrote in the </w:t>
      </w:r>
      <w:r>
        <w:rPr>
          <w:rFonts w:ascii="Times New Roman" w:hAnsi="Times New Roman"/>
          <w:i/>
          <w:spacing w:val="-3"/>
        </w:rPr>
        <w:t>Reformed Journal</w:t>
      </w:r>
      <w:r>
        <w:rPr>
          <w:rFonts w:ascii="Times New Roman" w:hAnsi="Times New Roman"/>
          <w:spacing w:val="-3"/>
        </w:rPr>
        <w:t xml:space="preserve"> in 1981: </w:t>
      </w:r>
    </w:p>
    <w:p w:rsidR="004115B3" w:rsidRDefault="004115B3">
      <w:pPr>
        <w:tabs>
          <w:tab w:val="left" w:pos="-720"/>
        </w:tabs>
        <w:suppressAutoHyphens/>
        <w:spacing w:line="480" w:lineRule="auto"/>
        <w:ind w:left="720"/>
        <w:rPr>
          <w:rFonts w:ascii="Times New Roman" w:hAnsi="Times New Roman"/>
          <w:spacing w:val="-3"/>
        </w:rPr>
      </w:pPr>
      <w:r>
        <w:rPr>
          <w:rFonts w:ascii="Times New Roman" w:hAnsi="Times New Roman"/>
          <w:spacing w:val="-3"/>
        </w:rPr>
        <w:t xml:space="preserve">If a member of my old church in </w:t>
      </w:r>
      <w:smartTag w:uri="urn:schemas-microsoft-com:office:smarttags" w:element="State">
        <w:r>
          <w:rPr>
            <w:rFonts w:ascii="Times New Roman" w:hAnsi="Times New Roman"/>
            <w:spacing w:val="-3"/>
          </w:rPr>
          <w:t>Iowa</w:t>
        </w:r>
      </w:smartTag>
      <w:r>
        <w:rPr>
          <w:rFonts w:ascii="Times New Roman" w:hAnsi="Times New Roman"/>
          <w:spacing w:val="-3"/>
        </w:rPr>
        <w:t xml:space="preserve"> had spun his Buick over to the Blackstone Cafe at </w:t>
      </w:r>
      <w:smartTag w:uri="urn:schemas-microsoft-com:office:smarttags" w:element="City">
        <w:r>
          <w:rPr>
            <w:rFonts w:ascii="Times New Roman" w:hAnsi="Times New Roman"/>
            <w:spacing w:val="-3"/>
          </w:rPr>
          <w:t>Sioux City</w:t>
        </w:r>
      </w:smartTag>
      <w:r>
        <w:rPr>
          <w:rFonts w:ascii="Times New Roman" w:hAnsi="Times New Roman"/>
          <w:spacing w:val="-3"/>
        </w:rPr>
        <w:t xml:space="preserve"> for a Sunday dinner of prime rib and cocktails, he would have been in danger of losing his membership; if one does that in </w:t>
      </w:r>
      <w:smartTag w:uri="urn:schemas-microsoft-com:office:smarttags" w:element="place">
        <w:smartTag w:uri="urn:schemas-microsoft-com:office:smarttags" w:element="City">
          <w:r>
            <w:rPr>
              <w:rFonts w:ascii="Times New Roman" w:hAnsi="Times New Roman"/>
              <w:spacing w:val="-3"/>
            </w:rPr>
            <w:t>Grand Rapids</w:t>
          </w:r>
        </w:smartTag>
      </w:smartTag>
      <w:r>
        <w:rPr>
          <w:rFonts w:ascii="Times New Roman" w:hAnsi="Times New Roman"/>
          <w:spacing w:val="-3"/>
        </w:rPr>
        <w:t xml:space="preserve"> today he risks only losing his shirt. . . . The older generation [was] . . . uptight and possibly self-righteous about Sunday.  The present generation is relaxed and self-righteous about it.</w:t>
      </w:r>
      <w:r>
        <w:rPr>
          <w:rStyle w:val="FootnoteReference"/>
          <w:rFonts w:ascii="Times New Roman" w:hAnsi="Times New Roman"/>
          <w:spacing w:val="-3"/>
        </w:rPr>
        <w:footnoteReference w:id="25"/>
      </w:r>
      <w:r>
        <w:rPr>
          <w:rFonts w:ascii="Times New Roman" w:hAnsi="Times New Roman"/>
          <w:spacing w:val="-3"/>
        </w:rPr>
        <w:t xml:space="preserve">  </w:t>
      </w:r>
    </w:p>
    <w:p w:rsidR="004115B3" w:rsidRDefault="004115B3">
      <w:pPr>
        <w:tabs>
          <w:tab w:val="left" w:pos="-720"/>
        </w:tabs>
        <w:suppressAutoHyphens/>
        <w:spacing w:line="480" w:lineRule="auto"/>
        <w:rPr>
          <w:rFonts w:ascii="Times New Roman" w:hAnsi="Times New Roman"/>
          <w:spacing w:val="-3"/>
        </w:rPr>
      </w:pP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In sum, the Sabbatarian question in our century is the story of the steady withdrawal from the prevailing 19th century idea of Christian America: nearly all of Protestantism, both mainliners and evangelicals, abandoned or greatly modified that vision, claiming that the dilemma of living in a highly technological and pluralistic modern world requires us to rethink the Sabbath and its obligations.  A small minority, like the Lord’s Day </w:t>
      </w:r>
      <w:smartTag w:uri="urn:schemas-microsoft-com:office:smarttags" w:element="City">
        <w:smartTag w:uri="urn:schemas-microsoft-com:office:smarttags" w:element="place">
          <w:r>
            <w:rPr>
              <w:rFonts w:ascii="Times New Roman" w:hAnsi="Times New Roman"/>
              <w:spacing w:val="-3"/>
            </w:rPr>
            <w:t>Alliance</w:t>
          </w:r>
        </w:smartTag>
      </w:smartTag>
      <w:r>
        <w:rPr>
          <w:rFonts w:ascii="Times New Roman" w:hAnsi="Times New Roman"/>
          <w:spacing w:val="-3"/>
        </w:rPr>
        <w:t xml:space="preserve"> and the National Reform Association, still clung to that vision, as anachronistic as it seemed to the rest.</w:t>
      </w:r>
    </w:p>
    <w:p w:rsidR="005D3986" w:rsidRDefault="005D3986">
      <w:pPr>
        <w:tabs>
          <w:tab w:val="left" w:pos="-720"/>
        </w:tabs>
        <w:suppressAutoHyphens/>
        <w:spacing w:line="480" w:lineRule="auto"/>
        <w:rPr>
          <w:rFonts w:ascii="Times New Roman" w:hAnsi="Times New Roman"/>
          <w:spacing w:val="-3"/>
        </w:rPr>
      </w:pPr>
    </w:p>
    <w:p w:rsidR="005D3986" w:rsidRDefault="005D3986">
      <w:pPr>
        <w:tabs>
          <w:tab w:val="left" w:pos="-720"/>
        </w:tabs>
        <w:suppressAutoHyphens/>
        <w:spacing w:line="480" w:lineRule="auto"/>
        <w:jc w:val="center"/>
        <w:rPr>
          <w:rFonts w:ascii="Times New Roman" w:hAnsi="Times New Roman"/>
          <w:b/>
        </w:rPr>
      </w:pPr>
      <w:r>
        <w:rPr>
          <w:rFonts w:ascii="Times New Roman" w:hAnsi="Times New Roman"/>
          <w:b/>
        </w:rPr>
        <w:t>The Sabbath in the OPC</w:t>
      </w:r>
    </w:p>
    <w:p w:rsidR="005D3986" w:rsidRDefault="005D3986">
      <w:pPr>
        <w:tabs>
          <w:tab w:val="left" w:pos="-720"/>
        </w:tabs>
        <w:suppressAutoHyphens/>
        <w:spacing w:line="480" w:lineRule="auto"/>
        <w:rPr>
          <w:rFonts w:ascii="Times New Roman" w:hAnsi="Times New Roman"/>
          <w:b/>
        </w:rPr>
      </w:pPr>
    </w:p>
    <w:p w:rsidR="004115B3"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r>
      <w:r w:rsidR="004115B3">
        <w:rPr>
          <w:rFonts w:ascii="Times New Roman" w:hAnsi="Times New Roman"/>
          <w:spacing w:val="-3"/>
        </w:rPr>
        <w:t xml:space="preserve">It is against this background of the rise and fall of American Protestant Sabbatarianism that we must view the OPC.  </w:t>
      </w:r>
      <w:r>
        <w:rPr>
          <w:rFonts w:ascii="Times New Roman" w:hAnsi="Times New Roman"/>
          <w:spacing w:val="-3"/>
        </w:rPr>
        <w:t xml:space="preserve">Rarely is the Sabbath mentioned in descriptions of OPC identity.  </w:t>
      </w:r>
      <w:r w:rsidR="004115B3">
        <w:rPr>
          <w:rFonts w:ascii="Times New Roman" w:hAnsi="Times New Roman"/>
          <w:spacing w:val="-3"/>
        </w:rPr>
        <w:t xml:space="preserve">Robert Marsden doesn’t list it among the significant stories of </w:t>
      </w:r>
      <w:r w:rsidR="004115B3">
        <w:rPr>
          <w:rFonts w:ascii="Times New Roman" w:hAnsi="Times New Roman"/>
          <w:i/>
          <w:spacing w:val="-3"/>
        </w:rPr>
        <w:t>The First Ten Years</w:t>
      </w:r>
      <w:r w:rsidR="004115B3">
        <w:rPr>
          <w:rFonts w:ascii="Times New Roman" w:hAnsi="Times New Roman"/>
          <w:spacing w:val="-3"/>
        </w:rPr>
        <w:t>.</w:t>
      </w:r>
      <w:r w:rsidR="004115B3">
        <w:rPr>
          <w:rStyle w:val="FootnoteReference"/>
          <w:rFonts w:ascii="Times New Roman" w:hAnsi="Times New Roman"/>
          <w:spacing w:val="-3"/>
        </w:rPr>
        <w:footnoteReference w:id="26"/>
      </w:r>
      <w:r w:rsidR="004115B3">
        <w:rPr>
          <w:rFonts w:ascii="Times New Roman" w:hAnsi="Times New Roman"/>
          <w:spacing w:val="-3"/>
        </w:rPr>
        <w:t xml:space="preserve">  R. B. Kuiper doesn’t include it among what he saw that was right about the OPC. </w:t>
      </w:r>
      <w:r w:rsidR="004115B3">
        <w:rPr>
          <w:rStyle w:val="FootnoteReference"/>
          <w:rFonts w:ascii="Times New Roman" w:hAnsi="Times New Roman"/>
          <w:spacing w:val="-3"/>
        </w:rPr>
        <w:footnoteReference w:id="27"/>
      </w:r>
      <w:r w:rsidR="004115B3">
        <w:rPr>
          <w:rFonts w:ascii="Times New Roman" w:hAnsi="Times New Roman"/>
          <w:spacing w:val="-3"/>
        </w:rPr>
        <w:t xml:space="preserve"> It seemed not to capture the attention of the speakers at the church’s Semicentennial in 1986.  1992 reflections in the </w:t>
      </w:r>
      <w:r w:rsidR="004115B3">
        <w:rPr>
          <w:rFonts w:ascii="Times New Roman" w:hAnsi="Times New Roman"/>
          <w:i/>
          <w:spacing w:val="-3"/>
        </w:rPr>
        <w:t>New Horizons</w:t>
      </w:r>
      <w:r w:rsidR="004115B3">
        <w:rPr>
          <w:rFonts w:ascii="Times New Roman" w:hAnsi="Times New Roman"/>
          <w:spacing w:val="-3"/>
        </w:rPr>
        <w:t xml:space="preserve"> on the identity and future of the OPC by Charles Dennison and John Galbraith don’t mention it.</w:t>
      </w:r>
      <w:r w:rsidR="004115B3">
        <w:rPr>
          <w:rStyle w:val="FootnoteReference"/>
          <w:rFonts w:ascii="Times New Roman" w:hAnsi="Times New Roman"/>
          <w:spacing w:val="-3"/>
        </w:rPr>
        <w:footnoteReference w:id="28"/>
      </w:r>
    </w:p>
    <w:p w:rsidR="005D3986" w:rsidRDefault="004115B3">
      <w:pPr>
        <w:tabs>
          <w:tab w:val="left" w:pos="-720"/>
        </w:tabs>
        <w:suppressAutoHyphens/>
        <w:spacing w:line="480" w:lineRule="auto"/>
        <w:rPr>
          <w:rFonts w:ascii="Times New Roman" w:hAnsi="Times New Roman"/>
          <w:spacing w:val="-3"/>
        </w:rPr>
      </w:pPr>
      <w:r>
        <w:rPr>
          <w:rFonts w:ascii="Times New Roman" w:hAnsi="Times New Roman"/>
          <w:spacing w:val="-3"/>
        </w:rPr>
        <w:tab/>
      </w:r>
      <w:r w:rsidR="005D3986">
        <w:rPr>
          <w:rFonts w:ascii="Times New Roman" w:hAnsi="Times New Roman"/>
          <w:spacing w:val="-3"/>
        </w:rPr>
        <w:t xml:space="preserve">Yet despite the relative silence, strong Sabbatarianism has been a key, if unarticulated, feature in the corporate life of the church, and we can find indirect evidences of the church’s commitment to a vigorous Sabbatarianism.  Consider, for example, George W. Marston’s booklet </w:t>
      </w:r>
      <w:r w:rsidR="005D3986">
        <w:rPr>
          <w:rFonts w:ascii="Times New Roman" w:hAnsi="Times New Roman"/>
          <w:i/>
          <w:spacing w:val="-3"/>
        </w:rPr>
        <w:t xml:space="preserve">A </w:t>
      </w:r>
      <w:smartTag w:uri="urn:schemas-microsoft-com:office:smarttags" w:element="place">
        <w:smartTag w:uri="urn:schemas-microsoft-com:office:smarttags" w:element="PlaceName">
          <w:r w:rsidR="005D3986">
            <w:rPr>
              <w:rFonts w:ascii="Times New Roman" w:hAnsi="Times New Roman"/>
              <w:i/>
              <w:spacing w:val="-3"/>
            </w:rPr>
            <w:t>Communicant</w:t>
          </w:r>
        </w:smartTag>
        <w:r w:rsidR="005D3986">
          <w:rPr>
            <w:rFonts w:ascii="Times New Roman" w:hAnsi="Times New Roman"/>
            <w:i/>
            <w:spacing w:val="-3"/>
          </w:rPr>
          <w:t xml:space="preserve"> </w:t>
        </w:r>
        <w:smartTag w:uri="urn:schemas-microsoft-com:office:smarttags" w:element="PlaceType">
          <w:r w:rsidR="005D3986">
            <w:rPr>
              <w:rFonts w:ascii="Times New Roman" w:hAnsi="Times New Roman"/>
              <w:i/>
              <w:spacing w:val="-3"/>
            </w:rPr>
            <w:t>Church</w:t>
          </w:r>
        </w:smartTag>
      </w:smartTag>
      <w:r w:rsidR="005D3986">
        <w:rPr>
          <w:rFonts w:ascii="Times New Roman" w:hAnsi="Times New Roman"/>
          <w:i/>
          <w:spacing w:val="-3"/>
        </w:rPr>
        <w:t xml:space="preserve"> Membership Course.</w:t>
      </w:r>
      <w:r w:rsidR="005D3986">
        <w:rPr>
          <w:rStyle w:val="FootnoteReference"/>
          <w:rFonts w:ascii="Times New Roman" w:hAnsi="Times New Roman"/>
          <w:spacing w:val="-3"/>
        </w:rPr>
        <w:footnoteReference w:id="29"/>
      </w:r>
      <w:r w:rsidR="005D3986">
        <w:rPr>
          <w:rFonts w:ascii="Times New Roman" w:hAnsi="Times New Roman"/>
          <w:spacing w:val="-3"/>
        </w:rPr>
        <w:t xml:space="preserve"> There he lists five duties of covenant church membership, and the </w:t>
      </w:r>
      <w:r w:rsidR="005D3986">
        <w:rPr>
          <w:rFonts w:ascii="Times New Roman" w:hAnsi="Times New Roman"/>
          <w:i/>
          <w:spacing w:val="-3"/>
        </w:rPr>
        <w:t>first</w:t>
      </w:r>
      <w:r w:rsidR="005D3986">
        <w:rPr>
          <w:rFonts w:ascii="Times New Roman" w:hAnsi="Times New Roman"/>
          <w:spacing w:val="-3"/>
        </w:rPr>
        <w:t xml:space="preserve"> is keeping the Christian Sabbath.  Then there is this remarkable statement in the OPC home missions report on “Preserving the Results of Evangelism”: “</w:t>
      </w:r>
      <w:r w:rsidR="005D3986">
        <w:rPr>
          <w:rFonts w:ascii="Times New Roman" w:hAnsi="Times New Roman"/>
          <w:i/>
          <w:spacing w:val="-3"/>
        </w:rPr>
        <w:t>The proper keeping of the Lord’s Day by the young convert is probably the most important single element in truly preserving the results of evangelism</w:t>
      </w:r>
      <w:r w:rsidR="005D3986">
        <w:rPr>
          <w:rFonts w:ascii="Times New Roman" w:hAnsi="Times New Roman"/>
          <w:spacing w:val="-3"/>
        </w:rPr>
        <w:t xml:space="preserve"> [italics original].  It is God’s ordained means of preserving the results of evangelism.  Apart from the keeping of the Lord’s Day we have no Scriptural warrant for expecting that the results of evangelism will be preserved.”</w:t>
      </w:r>
      <w:r w:rsidR="005D3986">
        <w:rPr>
          <w:rStyle w:val="FootnoteReference"/>
          <w:rFonts w:ascii="Times New Roman" w:hAnsi="Times New Roman"/>
          <w:spacing w:val="-3"/>
        </w:rPr>
        <w:footnoteReference w:id="30"/>
      </w:r>
    </w:p>
    <w:p w:rsidR="004115B3"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Witnessing the drift in Sabbath keeping in other parts of American Protestantism, the </w:t>
      </w:r>
      <w:r>
        <w:rPr>
          <w:rFonts w:ascii="Times New Roman" w:hAnsi="Times New Roman"/>
          <w:i/>
          <w:spacing w:val="-3"/>
        </w:rPr>
        <w:t>Presbyterian Guardian</w:t>
      </w:r>
      <w:r>
        <w:rPr>
          <w:rFonts w:ascii="Times New Roman" w:hAnsi="Times New Roman"/>
          <w:spacing w:val="-3"/>
        </w:rPr>
        <w:t xml:space="preserve"> did not keep silent about its importance.  Over the course of its 44 year history it ran about two dozen articles and editorials on the Sabbath.  (A similar level of attention has been captured in the </w:t>
      </w:r>
      <w:r>
        <w:rPr>
          <w:rFonts w:ascii="Times New Roman" w:hAnsi="Times New Roman"/>
          <w:i/>
          <w:spacing w:val="-3"/>
        </w:rPr>
        <w:t>New Horizons</w:t>
      </w:r>
      <w:r>
        <w:rPr>
          <w:rFonts w:ascii="Times New Roman" w:hAnsi="Times New Roman"/>
          <w:spacing w:val="-3"/>
        </w:rPr>
        <w:t xml:space="preserve"> since then.)   </w:t>
      </w:r>
      <w:r w:rsidR="004115B3">
        <w:rPr>
          <w:rFonts w:ascii="Times New Roman" w:hAnsi="Times New Roman"/>
          <w:spacing w:val="-3"/>
        </w:rPr>
        <w:t>So for example, Lawrence Eyres noted the gradual accommodation of the Sabbath to golfers and picnickers.</w:t>
      </w:r>
      <w:r w:rsidR="004115B3">
        <w:rPr>
          <w:rStyle w:val="FootnoteReference"/>
          <w:rFonts w:ascii="Times New Roman" w:hAnsi="Times New Roman"/>
          <w:spacing w:val="-3"/>
        </w:rPr>
        <w:footnoteReference w:id="31"/>
      </w:r>
      <w:r w:rsidR="004115B3">
        <w:rPr>
          <w:rFonts w:ascii="Times New Roman" w:hAnsi="Times New Roman"/>
          <w:spacing w:val="-3"/>
        </w:rPr>
        <w:t xml:space="preserve">  Norma Ellis encouraged mothers to teach their children to love the Lord’s Day.</w:t>
      </w:r>
      <w:r w:rsidR="004115B3">
        <w:rPr>
          <w:rStyle w:val="FootnoteReference"/>
          <w:rFonts w:ascii="Times New Roman" w:hAnsi="Times New Roman"/>
          <w:spacing w:val="-3"/>
        </w:rPr>
        <w:footnoteReference w:id="32"/>
      </w:r>
      <w:r w:rsidR="004115B3">
        <w:rPr>
          <w:rFonts w:ascii="Times New Roman" w:hAnsi="Times New Roman"/>
          <w:spacing w:val="-3"/>
        </w:rPr>
        <w:t xml:space="preserve">  Henry Tavares lamented the conversion of the Lord’s Day into Mother’s Day or Father’s Day once each year.</w:t>
      </w:r>
      <w:r w:rsidR="004115B3">
        <w:rPr>
          <w:rStyle w:val="FootnoteReference"/>
          <w:rFonts w:ascii="Times New Roman" w:hAnsi="Times New Roman"/>
          <w:spacing w:val="-3"/>
        </w:rPr>
        <w:footnoteReference w:id="33"/>
      </w:r>
      <w:r w:rsidR="004115B3">
        <w:rPr>
          <w:rFonts w:ascii="Times New Roman" w:hAnsi="Times New Roman"/>
          <w:spacing w:val="-3"/>
        </w:rPr>
        <w:t xml:space="preserve">  Eleanor Kellogg urged young people to honor the Sabbath during their summer vacations.</w:t>
      </w:r>
      <w:r w:rsidR="004115B3">
        <w:rPr>
          <w:rStyle w:val="FootnoteReference"/>
          <w:rFonts w:ascii="Times New Roman" w:hAnsi="Times New Roman"/>
          <w:spacing w:val="-3"/>
        </w:rPr>
        <w:footnoteReference w:id="34"/>
      </w:r>
      <w:r w:rsidR="004115B3">
        <w:rPr>
          <w:rFonts w:ascii="Times New Roman" w:hAnsi="Times New Roman"/>
          <w:spacing w:val="-3"/>
        </w:rPr>
        <w:t xml:space="preserve">  Robert S. Marsden asked why “labor-saving” devices don’t afford Christians </w:t>
      </w:r>
      <w:r w:rsidR="004115B3">
        <w:rPr>
          <w:rFonts w:ascii="Times New Roman" w:hAnsi="Times New Roman"/>
          <w:i/>
          <w:spacing w:val="-3"/>
        </w:rPr>
        <w:t>more</w:t>
      </w:r>
      <w:r w:rsidR="004115B3">
        <w:rPr>
          <w:rFonts w:ascii="Times New Roman" w:hAnsi="Times New Roman"/>
          <w:spacing w:val="-3"/>
        </w:rPr>
        <w:t xml:space="preserve"> time to observe the Sabbath.</w:t>
      </w:r>
      <w:r w:rsidR="004115B3">
        <w:rPr>
          <w:rStyle w:val="FootnoteReference"/>
          <w:rFonts w:ascii="Times New Roman" w:hAnsi="Times New Roman"/>
          <w:spacing w:val="-3"/>
        </w:rPr>
        <w:footnoteReference w:id="35"/>
      </w:r>
      <w:r w:rsidR="004115B3">
        <w:rPr>
          <w:rFonts w:ascii="Times New Roman" w:hAnsi="Times New Roman"/>
          <w:spacing w:val="-3"/>
        </w:rPr>
        <w:t xml:space="preserve">  A three part series by Francis Mahaffey in 1963 focused on making the Sabbath a delight for families.</w:t>
      </w:r>
      <w:r w:rsidR="004115B3">
        <w:rPr>
          <w:rStyle w:val="FootnoteReference"/>
          <w:rFonts w:ascii="Times New Roman" w:hAnsi="Times New Roman"/>
          <w:spacing w:val="-3"/>
        </w:rPr>
        <w:footnoteReference w:id="36"/>
      </w:r>
      <w:r w:rsidR="004115B3">
        <w:rPr>
          <w:rFonts w:ascii="Times New Roman" w:hAnsi="Times New Roman"/>
          <w:spacing w:val="-3"/>
        </w:rPr>
        <w:t xml:space="preserve"> In 1965 Robert Nicholas expressed distress over the practice of Christian magazines implicitly condoning the Sabbath-breaking habits of professional athletes when they featured their Christian testimonies.</w:t>
      </w:r>
      <w:r w:rsidR="004115B3">
        <w:rPr>
          <w:rStyle w:val="FootnoteReference"/>
          <w:rFonts w:ascii="Times New Roman" w:hAnsi="Times New Roman"/>
          <w:spacing w:val="-3"/>
        </w:rPr>
        <w:footnoteReference w:id="37"/>
      </w:r>
    </w:p>
    <w:p w:rsidR="005D3986" w:rsidRDefault="004115B3">
      <w:pPr>
        <w:tabs>
          <w:tab w:val="left" w:pos="-720"/>
        </w:tabs>
        <w:suppressAutoHyphens/>
        <w:spacing w:line="480" w:lineRule="auto"/>
        <w:rPr>
          <w:rFonts w:ascii="Times New Roman" w:hAnsi="Times New Roman"/>
          <w:spacing w:val="-3"/>
        </w:rPr>
      </w:pPr>
      <w:r>
        <w:rPr>
          <w:rFonts w:ascii="Times New Roman" w:hAnsi="Times New Roman"/>
          <w:spacing w:val="-3"/>
        </w:rPr>
        <w:tab/>
      </w:r>
      <w:r w:rsidR="005D3986">
        <w:rPr>
          <w:rFonts w:ascii="Times New Roman" w:hAnsi="Times New Roman"/>
          <w:spacing w:val="-3"/>
        </w:rPr>
        <w:t>Together, these articles testify to a strong consensus in the church regarding the sanctity of the Lord’s Day in the wake of a Protestant drift toward secularization and worldliness.  This consensus on the Sabbath would undergo a strong test in the 1970s, through two matters that came before the church’s General Assembly.  In 1969, in response to a complaint originating from a discipline case in the Presbytery of Wisconsin concerning a minister’s views of the Sabbath, the General Assembly appointed a “Committee on Sabbath Matters” in order to study “the extent to which the Westminster Confession of Faith and Catechisms faithfully reflect the Scripture teaching in regard to the Fourth Commandment.”  Four years later, that committee presented to the 1973 Assembly a divided report.  The majority found the Confession’s teaching on the Sabbath to be in essential harmony with the teaching of Scripture, and it urged the Assembly adopt its recommendation that “So far as the teachings of our secondary standards regarding the Christian Sabbath or Lord’s Day is the teaching of Scripture, its acceptance is required by the second ordination vow” [of the church’s officers].</w:t>
      </w:r>
      <w:r w:rsidR="005D3986">
        <w:rPr>
          <w:rStyle w:val="FootnoteReference"/>
          <w:rFonts w:ascii="Times New Roman" w:hAnsi="Times New Roman"/>
          <w:spacing w:val="-3"/>
        </w:rPr>
        <w:footnoteReference w:id="38"/>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The report was challenged by two minority reports. One argued that the New Testament abrogated the Sabbath command for Christians, and recommended that the Assembly appoint a committee to revise the Standards regarding the Fourth Commandment.  Another minority report argued that the alleged offenses before the Presbytery of Wisconsin were “not contrary, on any construction, to the Reformed system of doctrine.”  Denying that the “core of the church’s faith” should be narrowed to “what is confessionally unique with the Westminster Standards”, the report sought to incorporate what it called a “continental” view of the Sabbath within the bounds of the OPC.</w:t>
      </w:r>
      <w:r>
        <w:rPr>
          <w:rStyle w:val="FootnoteReference"/>
          <w:rFonts w:ascii="Times New Roman" w:hAnsi="Times New Roman"/>
          <w:spacing w:val="-3"/>
        </w:rPr>
        <w:footnoteReference w:id="39"/>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After considerable debate, and with significant dissent, the 1973 Assembly adopted the recommendations of the Majority Report.  The teachings held by the member of presbytery were declared contrary to Scripture (by this point he was a former member of Presbytery, having left the OPC), and the basic position of the Confession was upheld.</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The theology of the Sabbath espoused in the Assembly’s actions was reiterated four years later in a judicial case before the Presbytery of the Mid-Atlantic.  A member of that Presbytery had been involved in playing semi-professional soccer on Sundays, and he defended his action by appealing again to a “continental view” of the Sabbath, arguing that the fourth commandment was not binding in the New Covenant. The Presbytery found him guilty of violating his ordination vows and suspended him from the ministry, whereupon he appealed to the 44th General Assembly in 1977.  After a day-long debate, the Assembly denied that appeal and affirmed the censure of suspension, reasoning that the Presbytery had the right to take such action “in seeking to uphold the teaching of Scripture and the confessional standards relevant to the Sabbath and its observance.”</w:t>
      </w:r>
      <w:r>
        <w:rPr>
          <w:rStyle w:val="FootnoteReference"/>
          <w:rFonts w:ascii="Times New Roman" w:hAnsi="Times New Roman"/>
          <w:spacing w:val="-3"/>
        </w:rPr>
        <w:footnoteReference w:id="40"/>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Together, these decisions reiterated the centrality of the Sabbath to Orthodox Presbyterian piety.  The church would insist on adherence to her primary and secondary standards on the moral law, she would refuse to soften her corporate witness on the Sabbath, declining the path of mainline and evangelical churches this century.  As John Mitchell summarized in the </w:t>
      </w:r>
      <w:r>
        <w:rPr>
          <w:rFonts w:ascii="Times New Roman" w:hAnsi="Times New Roman"/>
          <w:i/>
          <w:spacing w:val="-3"/>
        </w:rPr>
        <w:t>Presbyterian Guardian</w:t>
      </w:r>
      <w:r>
        <w:rPr>
          <w:rFonts w:ascii="Times New Roman" w:hAnsi="Times New Roman"/>
          <w:spacing w:val="-3"/>
        </w:rPr>
        <w:t xml:space="preserve">, Orthodox Presbyterians understood that “the Christian’s faithfulness to Sabbath-keeping is indeed a major means of testimony to the world; how we do it is vitally important.” </w:t>
      </w:r>
      <w:r>
        <w:rPr>
          <w:rStyle w:val="FootnoteReference"/>
          <w:rFonts w:ascii="Times New Roman" w:hAnsi="Times New Roman"/>
          <w:spacing w:val="-3"/>
        </w:rPr>
        <w:footnoteReference w:id="41"/>
      </w:r>
      <w:r>
        <w:rPr>
          <w:rFonts w:ascii="Times New Roman" w:hAnsi="Times New Roman"/>
          <w:spacing w:val="-3"/>
        </w:rPr>
        <w:t xml:space="preserve"> </w:t>
      </w:r>
    </w:p>
    <w:p w:rsidR="004115B3" w:rsidRDefault="004115B3">
      <w:pPr>
        <w:tabs>
          <w:tab w:val="left" w:pos="-720"/>
        </w:tabs>
        <w:suppressAutoHyphens/>
        <w:spacing w:line="480" w:lineRule="auto"/>
        <w:rPr>
          <w:rFonts w:ascii="Times New Roman" w:hAnsi="Times New Roman"/>
          <w:spacing w:val="-3"/>
        </w:rPr>
      </w:pP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From the evidence found in denominational literature and General Assembly action, we can conclude that, by its profession, the OPC has a strong commitment to Sabbatarianism.  But how does that profession compare with practice?  A snapshot of OPC Sabbath practice can be obtained by studying congregational habits with respect to evening worship.</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Scripture</w:t>
      </w:r>
      <w:r w:rsidR="004115B3">
        <w:rPr>
          <w:rFonts w:ascii="Times New Roman" w:hAnsi="Times New Roman"/>
          <w:spacing w:val="-3"/>
        </w:rPr>
        <w:t xml:space="preserve"> does not</w:t>
      </w:r>
      <w:r>
        <w:rPr>
          <w:rFonts w:ascii="Times New Roman" w:hAnsi="Times New Roman"/>
          <w:spacing w:val="-3"/>
        </w:rPr>
        <w:t xml:space="preserve"> prescribe </w:t>
      </w:r>
      <w:r w:rsidR="004115B3">
        <w:rPr>
          <w:rFonts w:ascii="Times New Roman" w:hAnsi="Times New Roman"/>
          <w:spacing w:val="-3"/>
        </w:rPr>
        <w:t xml:space="preserve">when and how often churches are to gather for worship on the </w:t>
      </w:r>
      <w:r>
        <w:rPr>
          <w:rFonts w:ascii="Times New Roman" w:hAnsi="Times New Roman"/>
          <w:spacing w:val="-3"/>
        </w:rPr>
        <w:t xml:space="preserve">Lord’s Day.  But the importance of evening worship as an indicator of practicing Sabbatarianism in American culture has been a widely held sentiment in the OPC that frequently found expression in the </w:t>
      </w:r>
      <w:r>
        <w:rPr>
          <w:rFonts w:ascii="Times New Roman" w:hAnsi="Times New Roman"/>
          <w:i/>
          <w:spacing w:val="-3"/>
        </w:rPr>
        <w:t>Presbyterian Guardian</w:t>
      </w:r>
      <w:r>
        <w:rPr>
          <w:rFonts w:ascii="Times New Roman" w:hAnsi="Times New Roman"/>
          <w:spacing w:val="-3"/>
        </w:rPr>
        <w:t>.  In 1945, Ned Stonehouse expressed dismay in the “widespread laxity which prevail[ed] with regard to the observance of the Lord’s Day” in “American Christendom”, which he linked to “the patent fact that innumerable church members regard attendance at a single service as altogether normal and adequate.”</w:t>
      </w:r>
      <w:r>
        <w:rPr>
          <w:rStyle w:val="FootnoteReference"/>
          <w:rFonts w:ascii="Times New Roman" w:hAnsi="Times New Roman"/>
          <w:spacing w:val="-3"/>
        </w:rPr>
        <w:footnoteReference w:id="42"/>
      </w:r>
      <w:r>
        <w:rPr>
          <w:rFonts w:ascii="Times New Roman" w:hAnsi="Times New Roman"/>
          <w:spacing w:val="-3"/>
        </w:rPr>
        <w:t xml:space="preserve">  Echoing Stonehouse’s sentiments, Arthur Kuschke asserted that “two services of public worship are the very least that we can obediently render,”</w:t>
      </w:r>
      <w:r>
        <w:rPr>
          <w:rStyle w:val="FootnoteReference"/>
          <w:rFonts w:ascii="Times New Roman" w:hAnsi="Times New Roman"/>
          <w:spacing w:val="-3"/>
        </w:rPr>
        <w:footnoteReference w:id="43"/>
      </w:r>
      <w:r>
        <w:rPr>
          <w:rFonts w:ascii="Times New Roman" w:hAnsi="Times New Roman"/>
          <w:spacing w:val="-3"/>
        </w:rPr>
        <w:t xml:space="preserve"> and G.I. Williamson condemned the low view of the Sabbath that was revealed in Protestant churches that were “dark and empty on Sunday evening.”</w:t>
      </w:r>
      <w:r>
        <w:rPr>
          <w:rStyle w:val="FootnoteReference"/>
          <w:rFonts w:ascii="Times New Roman" w:hAnsi="Times New Roman"/>
          <w:spacing w:val="-3"/>
        </w:rPr>
        <w:footnoteReference w:id="44"/>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How has OPC practice compared with those convictions?  </w:t>
      </w:r>
      <w:r w:rsidR="004115B3">
        <w:rPr>
          <w:rFonts w:ascii="Times New Roman" w:hAnsi="Times New Roman"/>
          <w:spacing w:val="-3"/>
        </w:rPr>
        <w:t>As far as I could tell, the OPC minutes of 1958 were the first to include worship meeting times in congregational statistics.  Of those congregations that reported meeting times, 63 reported morning and evening worship, and three reported only one service (</w:t>
      </w:r>
      <w:r>
        <w:rPr>
          <w:rFonts w:ascii="Times New Roman" w:hAnsi="Times New Roman"/>
          <w:spacing w:val="-3"/>
        </w:rPr>
        <w:t>95% of our congregations had two services</w:t>
      </w:r>
      <w:r w:rsidR="004115B3">
        <w:rPr>
          <w:rFonts w:ascii="Times New Roman" w:hAnsi="Times New Roman"/>
          <w:spacing w:val="-3"/>
        </w:rPr>
        <w:t>)</w:t>
      </w:r>
      <w:r>
        <w:rPr>
          <w:rFonts w:ascii="Times New Roman" w:hAnsi="Times New Roman"/>
          <w:spacing w:val="-3"/>
        </w:rPr>
        <w:t xml:space="preserve">.  According to the </w:t>
      </w:r>
      <w:r w:rsidR="004115B3">
        <w:rPr>
          <w:rFonts w:ascii="Times New Roman" w:hAnsi="Times New Roman"/>
          <w:spacing w:val="-3"/>
        </w:rPr>
        <w:t xml:space="preserve">1995 OPC Directory, 167 churches reported both morning and evening worship services, and 41 churches reported only morning worship (80% of our congregations had two services).  </w:t>
      </w:r>
      <w:r>
        <w:rPr>
          <w:rFonts w:ascii="Times New Roman" w:hAnsi="Times New Roman"/>
          <w:spacing w:val="-3"/>
        </w:rPr>
        <w:t>What are we to conclude?  It seems that a strong Sabbatarianism still pervades our denomination, at least by the standard suggested by Stonehouse, Kuschke, and Williamson.  But signs of decline may be emerging, or at least a weakening of the consensus.</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More revealing is the contrast with the Presbyterian Church in </w:t>
      </w:r>
      <w:smartTag w:uri="urn:schemas-microsoft-com:office:smarttags" w:element="country-region">
        <w:smartTag w:uri="urn:schemas-microsoft-com:office:smarttags" w:element="place">
          <w:r>
            <w:rPr>
              <w:rFonts w:ascii="Times New Roman" w:hAnsi="Times New Roman"/>
              <w:spacing w:val="-3"/>
            </w:rPr>
            <w:t>America</w:t>
          </w:r>
        </w:smartTag>
      </w:smartTag>
      <w:r>
        <w:rPr>
          <w:rFonts w:ascii="Times New Roman" w:hAnsi="Times New Roman"/>
          <w:spacing w:val="-3"/>
        </w:rPr>
        <w:t xml:space="preserve">.  According to the </w:t>
      </w:r>
      <w:r>
        <w:rPr>
          <w:rFonts w:ascii="Times New Roman" w:hAnsi="Times New Roman"/>
          <w:i/>
          <w:spacing w:val="-3"/>
        </w:rPr>
        <w:t xml:space="preserve">1995 Yearbook of the Presbyterian Church in </w:t>
      </w:r>
      <w:smartTag w:uri="urn:schemas-microsoft-com:office:smarttags" w:element="country-region">
        <w:smartTag w:uri="urn:schemas-microsoft-com:office:smarttags" w:element="place">
          <w:r>
            <w:rPr>
              <w:rFonts w:ascii="Times New Roman" w:hAnsi="Times New Roman"/>
              <w:i/>
              <w:spacing w:val="-3"/>
            </w:rPr>
            <w:t>America</w:t>
          </w:r>
        </w:smartTag>
      </w:smartTag>
      <w:r>
        <w:rPr>
          <w:rFonts w:ascii="Times New Roman" w:hAnsi="Times New Roman"/>
          <w:spacing w:val="-3"/>
        </w:rPr>
        <w:t>, of the 1129 congregations that listed worship times, only 486 had morning and evening worship (43%).  This contrast seems so significant that one wonders why differences in Sabbath practice didn’t surface in past union discussions.</w:t>
      </w:r>
    </w:p>
    <w:p w:rsidR="004115B3"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r>
      <w:r w:rsidR="004115B3">
        <w:rPr>
          <w:rFonts w:ascii="Times New Roman" w:hAnsi="Times New Roman"/>
          <w:spacing w:val="-3"/>
        </w:rPr>
        <w:t xml:space="preserve">Another sister denomination, the Christian Reformed Church, as recently as 1996, ratified a change in its church order Article 51, causing it to read: “The congregation shall assemble for worship </w:t>
      </w:r>
      <w:r w:rsidR="004115B3">
        <w:rPr>
          <w:rFonts w:ascii="Times New Roman" w:hAnsi="Times New Roman"/>
          <w:i/>
          <w:spacing w:val="-3"/>
        </w:rPr>
        <w:t>ordinarily</w:t>
      </w:r>
      <w:r w:rsidR="004115B3">
        <w:rPr>
          <w:rFonts w:ascii="Times New Roman" w:hAnsi="Times New Roman"/>
          <w:spacing w:val="-3"/>
        </w:rPr>
        <w:t xml:space="preserve"> twice on the Lord’s Day, to hear God’s Word.”  The change was the addition of the word “ordinarily” (emphasis in previous sentence added), and this removed the long standing requirement for churches to hold both morning and evening worship services.</w:t>
      </w:r>
    </w:p>
    <w:p w:rsidR="004115B3" w:rsidRDefault="004115B3">
      <w:pPr>
        <w:tabs>
          <w:tab w:val="left" w:pos="-720"/>
        </w:tabs>
        <w:suppressAutoHyphens/>
        <w:spacing w:line="480" w:lineRule="auto"/>
        <w:rPr>
          <w:rFonts w:ascii="Times New Roman" w:hAnsi="Times New Roman"/>
          <w:spacing w:val="-3"/>
        </w:rPr>
      </w:pPr>
      <w:r>
        <w:rPr>
          <w:rFonts w:ascii="Times New Roman" w:hAnsi="Times New Roman"/>
          <w:spacing w:val="-3"/>
        </w:rPr>
        <w:tab/>
      </w:r>
      <w:r w:rsidR="005D3986">
        <w:rPr>
          <w:rFonts w:ascii="Times New Roman" w:hAnsi="Times New Roman"/>
          <w:spacing w:val="-3"/>
        </w:rPr>
        <w:t xml:space="preserve">It will not do to conclude, however, from this sketch of OP Sabbath practice, that the church has simply preserved what most of Protestantism has surrendered in this century.  A closer look at OPC Sabbatarianism indicates that the church has shaped its doctrine of the Sabbath in distinctive ways.  </w:t>
      </w:r>
    </w:p>
    <w:p w:rsidR="004115B3"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r>
      <w:r w:rsidR="004115B3">
        <w:rPr>
          <w:rFonts w:ascii="Times New Roman" w:hAnsi="Times New Roman"/>
          <w:spacing w:val="-3"/>
        </w:rPr>
        <w:t xml:space="preserve">We can approach this first by way of raising the questions proposed by the Lord’s Day </w:t>
      </w:r>
      <w:smartTag w:uri="urn:schemas-microsoft-com:office:smarttags" w:element="place">
        <w:smartTag w:uri="urn:schemas-microsoft-com:office:smarttags" w:element="City">
          <w:r w:rsidR="004115B3">
            <w:rPr>
              <w:rFonts w:ascii="Times New Roman" w:hAnsi="Times New Roman"/>
              <w:spacing w:val="-3"/>
            </w:rPr>
            <w:t>Alliance</w:t>
          </w:r>
        </w:smartTag>
      </w:smartTag>
      <w:r w:rsidR="004115B3">
        <w:rPr>
          <w:rFonts w:ascii="Times New Roman" w:hAnsi="Times New Roman"/>
          <w:spacing w:val="-3"/>
        </w:rPr>
        <w:t xml:space="preserve"> and the National Reform Association.  Should the civil magistrate enforce the Christian Sabbath?  Within the OPC there is a strong commitment to civil libertarianism, especially in Machen and Paul Woolley, that would take issue with the agenda of the LDA and the NRA.  Woolley argued that there “is no reason at all why the state should enforce” Christian obligations to rest and worship on the Sabbath.  The state could determine that the welfare of the people required a weekly day of rest.  In a predominantly Christian culture, that day might most conveniently be Sunday.  In a Muslim culture, it would likely be Friday.  In other words, the state can act out of a general sense of the public good, but it must not enforce the specific observance of biblical commandments or promote biblical worship.</w:t>
      </w:r>
      <w:r w:rsidR="004115B3">
        <w:rPr>
          <w:rStyle w:val="FootnoteReference"/>
          <w:rFonts w:ascii="Times New Roman" w:hAnsi="Times New Roman"/>
          <w:spacing w:val="-3"/>
        </w:rPr>
        <w:footnoteReference w:id="45"/>
      </w:r>
      <w:r w:rsidR="004115B3">
        <w:rPr>
          <w:rFonts w:ascii="Times New Roman" w:hAnsi="Times New Roman"/>
          <w:spacing w:val="-3"/>
        </w:rPr>
        <w:t xml:space="preserve">  Likewise, Machen did on at least one occasion advocate Blue Laws, but his logic was a departure from the nationalism of his Victorian contemporaries.  In a letter to the Governor of Pennsylvania, Machen pressed the case for Sunday business closing on the democratic principle that it would help a greater number of people than it would hurt.  Absent was any appeal to </w:t>
      </w:r>
      <w:smartTag w:uri="urn:schemas-microsoft-com:office:smarttags" w:element="place">
        <w:smartTag w:uri="urn:schemas-microsoft-com:office:smarttags" w:element="country-region">
          <w:r w:rsidR="004115B3">
            <w:rPr>
              <w:rFonts w:ascii="Times New Roman" w:hAnsi="Times New Roman"/>
              <w:spacing w:val="-3"/>
            </w:rPr>
            <w:t>America</w:t>
          </w:r>
        </w:smartTag>
      </w:smartTag>
      <w:r w:rsidR="004115B3">
        <w:rPr>
          <w:rFonts w:ascii="Times New Roman" w:hAnsi="Times New Roman"/>
          <w:spacing w:val="-3"/>
        </w:rPr>
        <w:t>’s Christian heritage or to a national covenant.</w:t>
      </w:r>
      <w:r w:rsidR="004115B3">
        <w:rPr>
          <w:rStyle w:val="FootnoteReference"/>
          <w:rFonts w:ascii="Times New Roman" w:hAnsi="Times New Roman"/>
          <w:spacing w:val="-3"/>
        </w:rPr>
        <w:footnoteReference w:id="46"/>
      </w:r>
      <w:r w:rsidR="004115B3">
        <w:rPr>
          <w:rFonts w:ascii="Times New Roman" w:hAnsi="Times New Roman"/>
          <w:spacing w:val="-3"/>
        </w:rPr>
        <w:t xml:space="preserve">  For Machen and Woolley, Sabbath laws should be established on the basis of civil liberties and not to privilege a particular form of religious expression.</w:t>
      </w:r>
    </w:p>
    <w:p w:rsidR="004115B3" w:rsidRDefault="004115B3">
      <w:pPr>
        <w:tabs>
          <w:tab w:val="left" w:pos="-720"/>
        </w:tabs>
        <w:suppressAutoHyphens/>
        <w:spacing w:line="480" w:lineRule="auto"/>
        <w:rPr>
          <w:rFonts w:ascii="Times New Roman" w:hAnsi="Times New Roman"/>
          <w:spacing w:val="-3"/>
        </w:rPr>
      </w:pPr>
      <w:r>
        <w:rPr>
          <w:rFonts w:ascii="Times New Roman" w:hAnsi="Times New Roman"/>
          <w:spacing w:val="-3"/>
        </w:rPr>
        <w:tab/>
        <w:t xml:space="preserve">Moreover, some in the OPC have gone so far as to argue that the Sabbath is not a requirement for those outside the covenant community.  Professor Meredith G. Kline, for example, while insisting that the Sabbath is a creation ordinance that antedates its revelation in the Mosaic law, stresses the </w:t>
      </w:r>
      <w:r>
        <w:rPr>
          <w:rFonts w:ascii="Times New Roman" w:hAnsi="Times New Roman"/>
          <w:i/>
          <w:spacing w:val="-3"/>
        </w:rPr>
        <w:t>covenantal</w:t>
      </w:r>
      <w:r>
        <w:rPr>
          <w:rFonts w:ascii="Times New Roman" w:hAnsi="Times New Roman"/>
          <w:spacing w:val="-3"/>
        </w:rPr>
        <w:t xml:space="preserve"> character of the Sabbath.  The Sabbath contains both covenantal promise (of Sabbath rest) and duty (of Sabbath observance).  Likening the Sabbath to a sacrament,</w:t>
      </w:r>
      <w:r>
        <w:rPr>
          <w:rStyle w:val="FootnoteReference"/>
          <w:rFonts w:ascii="Times New Roman" w:hAnsi="Times New Roman"/>
          <w:spacing w:val="-3"/>
        </w:rPr>
        <w:footnoteReference w:id="47"/>
      </w:r>
      <w:r>
        <w:rPr>
          <w:rFonts w:ascii="Times New Roman" w:hAnsi="Times New Roman"/>
          <w:spacing w:val="-3"/>
        </w:rPr>
        <w:t xml:space="preserve"> Kline has made the bold suggestion that the observance of the Sabbath is not to be pressed beyond the covenant community, because unbelievers ought not to be granted a foretaste of the blessing that is not theirs to inherit.</w:t>
      </w:r>
      <w:r>
        <w:rPr>
          <w:rStyle w:val="FootnoteReference"/>
          <w:rFonts w:ascii="Times New Roman" w:hAnsi="Times New Roman"/>
          <w:spacing w:val="-3"/>
        </w:rPr>
        <w:footnoteReference w:id="48"/>
      </w:r>
    </w:p>
    <w:p w:rsidR="004115B3" w:rsidRDefault="004115B3">
      <w:pPr>
        <w:tabs>
          <w:tab w:val="left" w:pos="-720"/>
        </w:tabs>
        <w:suppressAutoHyphens/>
        <w:spacing w:line="480" w:lineRule="auto"/>
        <w:rPr>
          <w:rFonts w:ascii="Times New Roman" w:hAnsi="Times New Roman"/>
          <w:spacing w:val="-3"/>
        </w:rPr>
      </w:pPr>
      <w:r>
        <w:rPr>
          <w:rFonts w:ascii="Times New Roman" w:hAnsi="Times New Roman"/>
          <w:spacing w:val="-3"/>
        </w:rPr>
        <w:tab/>
        <w:t xml:space="preserve">Kline’s views are not shared by all in the OPC, and far more influential on the denomination has been the teaching of John Murray.  In </w:t>
      </w:r>
      <w:r>
        <w:rPr>
          <w:rFonts w:ascii="Times New Roman" w:hAnsi="Times New Roman"/>
          <w:i/>
          <w:spacing w:val="-3"/>
        </w:rPr>
        <w:t>Principles of Conduct</w:t>
      </w:r>
      <w:r>
        <w:rPr>
          <w:rFonts w:ascii="Times New Roman" w:hAnsi="Times New Roman"/>
          <w:spacing w:val="-3"/>
        </w:rPr>
        <w:t xml:space="preserve">, </w:t>
      </w:r>
      <w:smartTag w:uri="urn:schemas-microsoft-com:office:smarttags" w:element="place">
        <w:smartTag w:uri="urn:schemas-microsoft-com:office:smarttags" w:element="City">
          <w:r>
            <w:rPr>
              <w:rFonts w:ascii="Times New Roman" w:hAnsi="Times New Roman"/>
              <w:spacing w:val="-3"/>
            </w:rPr>
            <w:t>Murray</w:t>
          </w:r>
        </w:smartTag>
      </w:smartTag>
      <w:r>
        <w:rPr>
          <w:rFonts w:ascii="Times New Roman" w:hAnsi="Times New Roman"/>
          <w:spacing w:val="-3"/>
        </w:rPr>
        <w:t xml:space="preserve"> stresses, as we might expect, the abiding obligation and sanctity of the Sabbath as a creation ordinance.</w:t>
      </w:r>
      <w:r>
        <w:rPr>
          <w:rStyle w:val="FootnoteReference"/>
          <w:rFonts w:ascii="Times New Roman" w:hAnsi="Times New Roman"/>
          <w:spacing w:val="-3"/>
        </w:rPr>
        <w:footnoteReference w:id="49"/>
      </w:r>
      <w:r>
        <w:rPr>
          <w:rFonts w:ascii="Times New Roman" w:hAnsi="Times New Roman"/>
          <w:spacing w:val="-3"/>
        </w:rPr>
        <w:t xml:space="preserve">  But unlike, for example, his discussion of the prerogative of the state in relation to just war or capital punishment, </w:t>
      </w:r>
      <w:smartTag w:uri="urn:schemas-microsoft-com:office:smarttags" w:element="place">
        <w:smartTag w:uri="urn:schemas-microsoft-com:office:smarttags" w:element="City">
          <w:r>
            <w:rPr>
              <w:rFonts w:ascii="Times New Roman" w:hAnsi="Times New Roman"/>
              <w:spacing w:val="-3"/>
            </w:rPr>
            <w:t>Murray</w:t>
          </w:r>
        </w:smartTag>
      </w:smartTag>
      <w:r>
        <w:rPr>
          <w:rFonts w:ascii="Times New Roman" w:hAnsi="Times New Roman"/>
          <w:spacing w:val="-3"/>
        </w:rPr>
        <w:t xml:space="preserve"> does not mention the role of the state in establishing and enforcing Sabbath legislation.  There is lacking here any discussion that the Sabbath carries a nationalistic or cultural agenda; instead, </w:t>
      </w:r>
      <w:smartTag w:uri="urn:schemas-microsoft-com:office:smarttags" w:element="place">
        <w:smartTag w:uri="urn:schemas-microsoft-com:office:smarttags" w:element="City">
          <w:r>
            <w:rPr>
              <w:rFonts w:ascii="Times New Roman" w:hAnsi="Times New Roman"/>
              <w:spacing w:val="-3"/>
            </w:rPr>
            <w:t>Murray</w:t>
          </w:r>
        </w:smartTag>
      </w:smartTag>
      <w:r>
        <w:rPr>
          <w:rFonts w:ascii="Times New Roman" w:hAnsi="Times New Roman"/>
          <w:spacing w:val="-3"/>
        </w:rPr>
        <w:t xml:space="preserve"> stresses that the Sabbath is essential for the moral integrity of the </w:t>
      </w:r>
      <w:r>
        <w:rPr>
          <w:rFonts w:ascii="Times New Roman" w:hAnsi="Times New Roman"/>
          <w:i/>
          <w:spacing w:val="-3"/>
        </w:rPr>
        <w:t>church</w:t>
      </w:r>
      <w:r>
        <w:rPr>
          <w:rFonts w:ascii="Times New Roman" w:hAnsi="Times New Roman"/>
          <w:spacing w:val="-3"/>
        </w:rPr>
        <w:t>.</w:t>
      </w:r>
      <w:r>
        <w:rPr>
          <w:rStyle w:val="FootnoteReference"/>
          <w:rFonts w:ascii="Times New Roman" w:hAnsi="Times New Roman"/>
          <w:spacing w:val="-3"/>
        </w:rPr>
        <w:footnoteReference w:id="50"/>
      </w:r>
    </w:p>
    <w:p w:rsidR="005D3986" w:rsidRDefault="005D3986">
      <w:pPr>
        <w:tabs>
          <w:tab w:val="left" w:pos="-720"/>
        </w:tabs>
        <w:suppressAutoHyphens/>
        <w:spacing w:line="480" w:lineRule="auto"/>
        <w:rPr>
          <w:rFonts w:ascii="Times New Roman" w:hAnsi="Times New Roman"/>
          <w:spacing w:val="-3"/>
        </w:rPr>
      </w:pPr>
    </w:p>
    <w:p w:rsidR="005D3986" w:rsidRDefault="005D3986">
      <w:pPr>
        <w:tabs>
          <w:tab w:val="left" w:pos="-720"/>
        </w:tabs>
        <w:suppressAutoHyphens/>
        <w:spacing w:line="480" w:lineRule="auto"/>
        <w:jc w:val="center"/>
        <w:rPr>
          <w:rFonts w:ascii="Times New Roman" w:hAnsi="Times New Roman"/>
          <w:b/>
        </w:rPr>
      </w:pPr>
      <w:r>
        <w:rPr>
          <w:rFonts w:ascii="Times New Roman" w:hAnsi="Times New Roman"/>
          <w:b/>
        </w:rPr>
        <w:t>The Sabbath: Plausibility for a Pilgrim People</w:t>
      </w:r>
    </w:p>
    <w:p w:rsidR="004115B3" w:rsidRDefault="004115B3">
      <w:pPr>
        <w:tabs>
          <w:tab w:val="left" w:pos="-720"/>
        </w:tabs>
        <w:suppressAutoHyphens/>
        <w:spacing w:line="480" w:lineRule="auto"/>
        <w:rPr>
          <w:rFonts w:ascii="Times New Roman" w:hAnsi="Times New Roman"/>
        </w:rPr>
      </w:pP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r>
      <w:r w:rsidR="004115B3">
        <w:rPr>
          <w:rFonts w:ascii="Times New Roman" w:hAnsi="Times New Roman"/>
          <w:spacing w:val="-3"/>
        </w:rPr>
        <w:t xml:space="preserve">As different as their formulations on the Sabbath are, </w:t>
      </w:r>
      <w:smartTag w:uri="urn:schemas-microsoft-com:office:smarttags" w:element="place">
        <w:smartTag w:uri="urn:schemas-microsoft-com:office:smarttags" w:element="City">
          <w:r w:rsidR="004115B3">
            <w:rPr>
              <w:rFonts w:ascii="Times New Roman" w:hAnsi="Times New Roman"/>
              <w:spacing w:val="-3"/>
            </w:rPr>
            <w:t>Murray</w:t>
          </w:r>
        </w:smartTag>
      </w:smartTag>
      <w:r w:rsidR="004115B3">
        <w:rPr>
          <w:rFonts w:ascii="Times New Roman" w:hAnsi="Times New Roman"/>
          <w:spacing w:val="-3"/>
        </w:rPr>
        <w:t xml:space="preserve"> and Kline share at least this much: the Sabbath question must begin from the perspective of </w:t>
      </w:r>
      <w:r>
        <w:rPr>
          <w:rFonts w:ascii="Times New Roman" w:hAnsi="Times New Roman"/>
          <w:spacing w:val="-3"/>
        </w:rPr>
        <w:t xml:space="preserve">the church as a community living under the covenant.  Charles Dennison has </w:t>
      </w:r>
      <w:r w:rsidR="004115B3">
        <w:rPr>
          <w:rFonts w:ascii="Times New Roman" w:hAnsi="Times New Roman"/>
          <w:spacing w:val="-3"/>
        </w:rPr>
        <w:t>developed at some length this feature of OPC spirituality: the OPC is a pilgrim people with a corporate identity of a disenfranchised and counter-cultural character.</w:t>
      </w:r>
      <w:r w:rsidR="004115B3">
        <w:rPr>
          <w:rStyle w:val="FootnoteReference"/>
          <w:rFonts w:ascii="Times New Roman" w:hAnsi="Times New Roman"/>
          <w:spacing w:val="-3"/>
        </w:rPr>
        <w:footnoteReference w:id="51"/>
      </w:r>
    </w:p>
    <w:p w:rsidR="00B24F10"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This vision of the church as a dissident band of “resident aliens” has significance for the shaping of the Sabbath.  </w:t>
      </w:r>
      <w:r w:rsidR="004115B3">
        <w:rPr>
          <w:rFonts w:ascii="Times New Roman" w:hAnsi="Times New Roman"/>
          <w:spacing w:val="-3"/>
        </w:rPr>
        <w:t>If we may borrow from the social theory of Peter Berger, t</w:t>
      </w:r>
      <w:r>
        <w:rPr>
          <w:rFonts w:ascii="Times New Roman" w:hAnsi="Times New Roman"/>
          <w:spacing w:val="-3"/>
        </w:rPr>
        <w:t xml:space="preserve">he Sabbath serves as a “plausibility structure” for the OPC.  </w:t>
      </w:r>
      <w:r w:rsidR="004115B3">
        <w:rPr>
          <w:rFonts w:ascii="Times New Roman" w:hAnsi="Times New Roman"/>
          <w:spacing w:val="-3"/>
        </w:rPr>
        <w:t>Operati</w:t>
      </w:r>
      <w:r w:rsidR="00B24F10">
        <w:rPr>
          <w:rFonts w:ascii="Times New Roman" w:hAnsi="Times New Roman"/>
          <w:spacing w:val="-3"/>
        </w:rPr>
        <w:t>ng from the perspective of the sociology of knowledge,</w:t>
      </w:r>
      <w:r>
        <w:rPr>
          <w:rFonts w:ascii="Times New Roman" w:hAnsi="Times New Roman"/>
          <w:spacing w:val="-3"/>
        </w:rPr>
        <w:t xml:space="preserve"> Berger </w:t>
      </w:r>
      <w:r w:rsidR="00B24F10">
        <w:rPr>
          <w:rFonts w:ascii="Times New Roman" w:hAnsi="Times New Roman"/>
          <w:spacing w:val="-3"/>
        </w:rPr>
        <w:t xml:space="preserve">argues for </w:t>
      </w:r>
      <w:r>
        <w:rPr>
          <w:rFonts w:ascii="Times New Roman" w:hAnsi="Times New Roman"/>
          <w:spacing w:val="-3"/>
        </w:rPr>
        <w:t xml:space="preserve">the “social construction of reality,” which posits a relationship between ideas and the social conditions that support those ideas.  </w:t>
      </w:r>
      <w:r w:rsidR="00B24F10">
        <w:rPr>
          <w:rFonts w:ascii="Times New Roman" w:hAnsi="Times New Roman"/>
          <w:spacing w:val="-3"/>
        </w:rPr>
        <w:t xml:space="preserve">Especially in highly developed modern societies,  Berger argues, one encounters a large degree of </w:t>
      </w:r>
      <w:r>
        <w:rPr>
          <w:rFonts w:ascii="Times New Roman" w:hAnsi="Times New Roman"/>
          <w:spacing w:val="-3"/>
        </w:rPr>
        <w:t xml:space="preserve">religious pluralism, </w:t>
      </w:r>
      <w:r w:rsidR="00B24F10">
        <w:rPr>
          <w:rFonts w:ascii="Times New Roman" w:hAnsi="Times New Roman"/>
          <w:spacing w:val="-3"/>
        </w:rPr>
        <w:t>and exposure to different subcultures and worldviews has the corrosive and contaminating effect of eroding confidence in one’s religious convictions.  Thus, “</w:t>
      </w:r>
      <w:r>
        <w:rPr>
          <w:rFonts w:ascii="Times New Roman" w:hAnsi="Times New Roman"/>
          <w:spacing w:val="-3"/>
        </w:rPr>
        <w:t>organized practices</w:t>
      </w:r>
      <w:r w:rsidR="00B24F10">
        <w:rPr>
          <w:rFonts w:ascii="Times New Roman" w:hAnsi="Times New Roman"/>
          <w:spacing w:val="-3"/>
        </w:rPr>
        <w:t xml:space="preserve"> [are] designed to still doubts and to prevent lapses of conviction.”</w:t>
      </w:r>
      <w:r w:rsidR="00B24F10">
        <w:rPr>
          <w:rStyle w:val="FootnoteReference"/>
          <w:rFonts w:ascii="Times New Roman" w:hAnsi="Times New Roman"/>
          <w:spacing w:val="-3"/>
        </w:rPr>
        <w:footnoteReference w:id="52"/>
      </w:r>
      <w:r w:rsidR="00B24F10">
        <w:rPr>
          <w:rFonts w:ascii="Times New Roman" w:hAnsi="Times New Roman"/>
          <w:spacing w:val="-3"/>
        </w:rPr>
        <w:t xml:space="preserve">  These practices form the “plausibility structure” of religious conviction, and the strength of one’s </w:t>
      </w:r>
      <w:r>
        <w:rPr>
          <w:rFonts w:ascii="Times New Roman" w:hAnsi="Times New Roman"/>
          <w:spacing w:val="-3"/>
        </w:rPr>
        <w:t xml:space="preserve">convictions are </w:t>
      </w:r>
      <w:r w:rsidR="00B24F10">
        <w:rPr>
          <w:rFonts w:ascii="Times New Roman" w:hAnsi="Times New Roman"/>
          <w:spacing w:val="-3"/>
        </w:rPr>
        <w:t xml:space="preserve">“directly </w:t>
      </w:r>
      <w:r>
        <w:rPr>
          <w:rFonts w:ascii="Times New Roman" w:hAnsi="Times New Roman"/>
          <w:spacing w:val="-3"/>
        </w:rPr>
        <w:t xml:space="preserve">dependent upon </w:t>
      </w:r>
      <w:r w:rsidR="00B24F10">
        <w:rPr>
          <w:rFonts w:ascii="Times New Roman" w:hAnsi="Times New Roman"/>
          <w:spacing w:val="-3"/>
        </w:rPr>
        <w:t>the strength of the supporting structure”</w:t>
      </w:r>
      <w:r w:rsidR="00B24F10">
        <w:rPr>
          <w:rStyle w:val="FootnoteReference"/>
          <w:rFonts w:ascii="Times New Roman" w:hAnsi="Times New Roman"/>
          <w:spacing w:val="-3"/>
        </w:rPr>
        <w:footnoteReference w:id="53"/>
      </w:r>
      <w:r w:rsidR="00B24F10">
        <w:rPr>
          <w:rFonts w:ascii="Times New Roman" w:hAnsi="Times New Roman"/>
          <w:spacing w:val="-3"/>
        </w:rPr>
        <w:t xml:space="preserve">, because by ritualizing the faith they provide the necessary social support.  </w:t>
      </w:r>
    </w:p>
    <w:p w:rsidR="005D3986" w:rsidRDefault="00B24F10">
      <w:pPr>
        <w:tabs>
          <w:tab w:val="left" w:pos="-720"/>
        </w:tabs>
        <w:suppressAutoHyphens/>
        <w:spacing w:line="480" w:lineRule="auto"/>
        <w:rPr>
          <w:rFonts w:ascii="Times New Roman" w:hAnsi="Times New Roman"/>
          <w:spacing w:val="-3"/>
        </w:rPr>
      </w:pPr>
      <w:r>
        <w:rPr>
          <w:rFonts w:ascii="Times New Roman" w:hAnsi="Times New Roman"/>
          <w:spacing w:val="-3"/>
        </w:rPr>
        <w:tab/>
        <w:t>I</w:t>
      </w:r>
      <w:r w:rsidR="005D3986">
        <w:rPr>
          <w:rFonts w:ascii="Times New Roman" w:hAnsi="Times New Roman"/>
          <w:spacing w:val="-3"/>
        </w:rPr>
        <w:t>t is especially vital, Berger continues, for religious minorities to maintain these deviant practices and rituals.</w:t>
      </w:r>
      <w:r>
        <w:rPr>
          <w:rStyle w:val="FootnoteReference"/>
          <w:rFonts w:ascii="Times New Roman" w:hAnsi="Times New Roman"/>
          <w:spacing w:val="-3"/>
        </w:rPr>
        <w:footnoteReference w:id="54"/>
      </w:r>
      <w:r w:rsidR="005D3986">
        <w:rPr>
          <w:rFonts w:ascii="Times New Roman" w:hAnsi="Times New Roman"/>
          <w:spacing w:val="-3"/>
        </w:rPr>
        <w:t xml:space="preserve">  Being reminded daily of the vulnerability of their convictions, religious minorities must establish</w:t>
      </w:r>
      <w:r>
        <w:rPr>
          <w:rFonts w:ascii="Times New Roman" w:hAnsi="Times New Roman"/>
          <w:spacing w:val="-3"/>
        </w:rPr>
        <w:t>, by their plausibility</w:t>
      </w:r>
      <w:r w:rsidR="005D3986">
        <w:rPr>
          <w:rFonts w:ascii="Times New Roman" w:hAnsi="Times New Roman"/>
          <w:spacing w:val="-3"/>
        </w:rPr>
        <w:t xml:space="preserve"> structures</w:t>
      </w:r>
      <w:r>
        <w:rPr>
          <w:rFonts w:ascii="Times New Roman" w:hAnsi="Times New Roman"/>
          <w:spacing w:val="-3"/>
        </w:rPr>
        <w:t>, “fortress” or “ghetto” mentalities that</w:t>
      </w:r>
      <w:r w:rsidR="005D3986">
        <w:rPr>
          <w:rFonts w:ascii="Times New Roman" w:hAnsi="Times New Roman"/>
          <w:spacing w:val="-3"/>
        </w:rPr>
        <w:t xml:space="preserve"> insulate them from the contamination of </w:t>
      </w:r>
      <w:r>
        <w:rPr>
          <w:rFonts w:ascii="Times New Roman" w:hAnsi="Times New Roman"/>
          <w:spacing w:val="-3"/>
        </w:rPr>
        <w:t>competing and more powerful (i.e. more socially plausible)</w:t>
      </w:r>
      <w:r w:rsidR="005D3986">
        <w:rPr>
          <w:rFonts w:ascii="Times New Roman" w:hAnsi="Times New Roman"/>
          <w:spacing w:val="-3"/>
        </w:rPr>
        <w:t xml:space="preserve"> worldviews.</w:t>
      </w:r>
      <w:r>
        <w:rPr>
          <w:rFonts w:ascii="Times New Roman" w:hAnsi="Times New Roman"/>
          <w:spacing w:val="-3"/>
        </w:rPr>
        <w:t xml:space="preserve">  While we tend to think of ghettos and fortresses in disparaging ways, the sociology of religion suggests that they are essential for the maintenance of religious convictions. T</w:t>
      </w:r>
      <w:r w:rsidR="005D3986">
        <w:rPr>
          <w:rFonts w:ascii="Times New Roman" w:hAnsi="Times New Roman"/>
          <w:spacing w:val="-3"/>
        </w:rPr>
        <w:t>his is precisely what the Sabbath does for Orthodox Presbyterians: it enables them to live out their convictions in the context of fellow believers, providing the social support for their “otherworldly,” or heavenly, citizenship.  Put another way, a counter-cultural identity and the practice of the Sabbath become mutually reinforcing.</w:t>
      </w:r>
    </w:p>
    <w:p w:rsidR="00B24F10"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Berger himself warns that theologians call upon the sociologist at their own peril.  His theory of plausibility structure, useful though it is for highlighting the social factors at work in the Christian faith, could become a tool of sociological reductionism that explains </w:t>
      </w:r>
      <w:r>
        <w:rPr>
          <w:rFonts w:ascii="Times New Roman" w:hAnsi="Times New Roman"/>
          <w:i/>
          <w:spacing w:val="-3"/>
        </w:rPr>
        <w:t xml:space="preserve">away </w:t>
      </w:r>
      <w:r>
        <w:rPr>
          <w:rFonts w:ascii="Times New Roman" w:hAnsi="Times New Roman"/>
          <w:spacing w:val="-3"/>
        </w:rPr>
        <w:t>religion by attributing it solely to social conditions.</w:t>
      </w:r>
    </w:p>
    <w:p w:rsidR="005D3986" w:rsidRDefault="00B24F10">
      <w:pPr>
        <w:tabs>
          <w:tab w:val="left" w:pos="-720"/>
        </w:tabs>
        <w:suppressAutoHyphens/>
        <w:spacing w:line="480" w:lineRule="auto"/>
        <w:rPr>
          <w:rFonts w:ascii="Times New Roman" w:hAnsi="Times New Roman"/>
          <w:spacing w:val="-3"/>
        </w:rPr>
      </w:pPr>
      <w:r>
        <w:rPr>
          <w:rFonts w:ascii="Times New Roman" w:hAnsi="Times New Roman"/>
          <w:spacing w:val="-3"/>
        </w:rPr>
        <w:tab/>
      </w:r>
      <w:r w:rsidR="005D3986">
        <w:rPr>
          <w:rFonts w:ascii="Times New Roman" w:hAnsi="Times New Roman"/>
          <w:spacing w:val="-3"/>
        </w:rPr>
        <w:t>So we need to go beyond Berger.  The Sabbath is not a socially-constructed coping device.  It is better to speak not of the “social construction of reality” but of the “eschatological construction of reality.”  Professor Richard B. Gaffin has argued that the new covenant Sabbath requires not only a shift in the day but also a shift in the logic of observance: the Sabbath is grounded in the eschatological structure of New Testament times: life in the “already/not yet.”</w:t>
      </w:r>
      <w:r w:rsidR="005D3986">
        <w:rPr>
          <w:rStyle w:val="FootnoteReference"/>
          <w:rFonts w:ascii="Times New Roman" w:hAnsi="Times New Roman"/>
          <w:spacing w:val="-3"/>
        </w:rPr>
        <w:footnoteReference w:id="55"/>
      </w:r>
      <w:r w:rsidR="005D3986">
        <w:rPr>
          <w:rFonts w:ascii="Times New Roman" w:hAnsi="Times New Roman"/>
          <w:spacing w:val="-3"/>
        </w:rPr>
        <w:t xml:space="preserve">  In the covenantal Sabbatarianism that it espouses, the OPC has sought to give the Sabbath such a heightened eschatological focus.  Because it is a pilgrim people “not yet” in the promised land of a consummated kingdom, it continues to mark the weekly Sabbath as a testimony that it is still on the way.  Because it “already” possesses the kingdom in its inaugurated state, it refuses to assimilate into the agenda of this world, and instead it defines the Sabbath for its peculiar </w:t>
      </w:r>
      <w:r w:rsidR="005D3986">
        <w:rPr>
          <w:rFonts w:ascii="Times New Roman" w:hAnsi="Times New Roman"/>
          <w:i/>
          <w:spacing w:val="-3"/>
        </w:rPr>
        <w:t>polis</w:t>
      </w:r>
      <w:r w:rsidR="005D3986">
        <w:rPr>
          <w:rFonts w:ascii="Times New Roman" w:hAnsi="Times New Roman"/>
          <w:spacing w:val="-3"/>
        </w:rPr>
        <w:t xml:space="preserve">; the Sabbath is part of the politics of the </w:t>
      </w:r>
      <w:smartTag w:uri="urn:schemas-microsoft-com:office:smarttags" w:element="place">
        <w:smartTag w:uri="urn:schemas-microsoft-com:office:smarttags" w:element="PlaceType">
          <w:r w:rsidR="005D3986">
            <w:rPr>
              <w:rFonts w:ascii="Times New Roman" w:hAnsi="Times New Roman"/>
              <w:spacing w:val="-3"/>
            </w:rPr>
            <w:t>kingdom</w:t>
          </w:r>
        </w:smartTag>
        <w:r w:rsidR="005D3986">
          <w:rPr>
            <w:rFonts w:ascii="Times New Roman" w:hAnsi="Times New Roman"/>
            <w:spacing w:val="-3"/>
          </w:rPr>
          <w:t xml:space="preserve"> of </w:t>
        </w:r>
        <w:smartTag w:uri="urn:schemas-microsoft-com:office:smarttags" w:element="PlaceName">
          <w:r w:rsidR="005D3986">
            <w:rPr>
              <w:rFonts w:ascii="Times New Roman" w:hAnsi="Times New Roman"/>
              <w:spacing w:val="-3"/>
            </w:rPr>
            <w:t>God</w:t>
          </w:r>
        </w:smartTag>
      </w:smartTag>
      <w:r w:rsidR="005D3986">
        <w:rPr>
          <w:rFonts w:ascii="Times New Roman" w:hAnsi="Times New Roman"/>
          <w:spacing w:val="-3"/>
        </w:rPr>
        <w:t>.</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In </w:t>
      </w:r>
      <w:r w:rsidR="00B24F10">
        <w:rPr>
          <w:rFonts w:ascii="Times New Roman" w:hAnsi="Times New Roman"/>
          <w:spacing w:val="-3"/>
        </w:rPr>
        <w:t xml:space="preserve">maintaining this Vossian understanding of </w:t>
      </w:r>
      <w:r>
        <w:rPr>
          <w:rFonts w:ascii="Times New Roman" w:hAnsi="Times New Roman"/>
          <w:spacing w:val="-3"/>
        </w:rPr>
        <w:t>th</w:t>
      </w:r>
      <w:r w:rsidR="00B24F10">
        <w:rPr>
          <w:rFonts w:ascii="Times New Roman" w:hAnsi="Times New Roman"/>
          <w:spacing w:val="-3"/>
        </w:rPr>
        <w:t>e</w:t>
      </w:r>
      <w:r>
        <w:rPr>
          <w:rFonts w:ascii="Times New Roman" w:hAnsi="Times New Roman"/>
          <w:spacing w:val="-3"/>
        </w:rPr>
        <w:t xml:space="preserve"> eschatological location of the church, the OPC has insisted that the church is not for hire, neither by the state nor any other cause short of the hope to which it is called to testify.  Similarly, it has said that the Sabbath is not for hire: it is not for use in the defense of that which is fading away, not for the improvement or progress of the kingdoms of this world.</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The Sabbatarianism of the 19th century and its decline in the 20th century are both products of the assimilationist impulse in American Protestantism.  The rise and fall of American Sabbatarianism is tied to its use as an instrument to promote and preserve the social order.  The OPC, in contrast, has emerged in God’s providence as a culture of dissent, not of assimilation.  It has not articulated a Sabbath doctrine designed to repristinate a golden age of Protestant cultural hegemony.  It seeks to use the Sabbath as a vehicle to maintain the faithfulness of its subculture, an eschatological covenant community.  To employ the Sabbath otherwise would be to deny the </w:t>
      </w:r>
      <w:r>
        <w:rPr>
          <w:rFonts w:ascii="Times New Roman" w:hAnsi="Times New Roman"/>
          <w:i/>
          <w:spacing w:val="-3"/>
        </w:rPr>
        <w:t xml:space="preserve">already </w:t>
      </w:r>
      <w:r>
        <w:rPr>
          <w:rFonts w:ascii="Times New Roman" w:hAnsi="Times New Roman"/>
          <w:spacing w:val="-3"/>
        </w:rPr>
        <w:t>of the church’s identity.</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This eschatological Sabbath becomes, in our historical setting, a “Sabbath after Christendom.”  And the ways in which the OPC practices the Sabbath have remarkable affinities with what other voices are saying about the role of the church in a post-Christian, or post-Constantinian, or post-modern era.</w:t>
      </w:r>
      <w:r>
        <w:rPr>
          <w:rStyle w:val="FootnoteReference"/>
          <w:rFonts w:ascii="Times New Roman" w:hAnsi="Times New Roman"/>
          <w:spacing w:val="-3"/>
        </w:rPr>
        <w:footnoteReference w:id="56"/>
      </w:r>
      <w:r>
        <w:rPr>
          <w:rFonts w:ascii="Times New Roman" w:hAnsi="Times New Roman"/>
          <w:spacing w:val="-3"/>
        </w:rPr>
        <w:t xml:space="preserve">  The marginalization of the church in our society and particularly its diminished social voice may be less than the liability evangelicals are tempted to see it as.  Stanley Hauerwas has argued that because the church is now freed from the role of legitimizing the state, it is now able to witness to the world by becoming most distinctively </w:t>
      </w:r>
      <w:r>
        <w:rPr>
          <w:rFonts w:ascii="Times New Roman" w:hAnsi="Times New Roman"/>
          <w:i/>
          <w:spacing w:val="-3"/>
        </w:rPr>
        <w:t>against</w:t>
      </w:r>
      <w:r>
        <w:rPr>
          <w:rFonts w:ascii="Times New Roman" w:hAnsi="Times New Roman"/>
          <w:spacing w:val="-3"/>
        </w:rPr>
        <w:t xml:space="preserve"> the world.  The Sabbath becomes a symbol for the Christian’s heavenly citizenship, a sign of our true and only hope, and thus a subversive tool for a counter-cultural community to renounce worldliness, especially the idols of work, leisure, and consumption.</w:t>
      </w:r>
    </w:p>
    <w:p w:rsidR="005D3986"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t xml:space="preserve">The Sabbath, then, is an adhesive that holds the OPC’s identity together.  It provides a weekly embodiment of the church’s pilgrim identity and its eschatological hope.  So central is this discipline to the identity of the church that we ought to ask ourselves if we are using the Sabbath as the discipline that it is designed to be, or whether there are signs of decline in our Sabbath practice.  Do we believe that it is the </w:t>
      </w:r>
      <w:r>
        <w:rPr>
          <w:rFonts w:ascii="Times New Roman" w:hAnsi="Times New Roman"/>
          <w:i/>
          <w:spacing w:val="-3"/>
        </w:rPr>
        <w:t>first duty</w:t>
      </w:r>
      <w:r>
        <w:rPr>
          <w:rFonts w:ascii="Times New Roman" w:hAnsi="Times New Roman"/>
          <w:spacing w:val="-3"/>
        </w:rPr>
        <w:t xml:space="preserve"> of communicant church membership, and that it is the </w:t>
      </w:r>
      <w:r>
        <w:rPr>
          <w:rFonts w:ascii="Times New Roman" w:hAnsi="Times New Roman"/>
          <w:i/>
          <w:spacing w:val="-3"/>
        </w:rPr>
        <w:t>sine qua non</w:t>
      </w:r>
      <w:r>
        <w:rPr>
          <w:rFonts w:ascii="Times New Roman" w:hAnsi="Times New Roman"/>
          <w:spacing w:val="-3"/>
        </w:rPr>
        <w:t xml:space="preserve"> of evangelism?  Why are more of our churches now darkened and empty on Sunday evening?  Will the experience of the mainline repeat itself?  </w:t>
      </w:r>
      <w:smartTag w:uri="urn:schemas-microsoft-com:office:smarttags" w:element="country-region">
        <w:smartTag w:uri="urn:schemas-microsoft-com:office:smarttags" w:element="place">
          <w:r>
            <w:rPr>
              <w:rFonts w:ascii="Times New Roman" w:hAnsi="Times New Roman"/>
              <w:spacing w:val="-3"/>
            </w:rPr>
            <w:t>America</w:t>
          </w:r>
        </w:smartTag>
      </w:smartTag>
      <w:r>
        <w:rPr>
          <w:rFonts w:ascii="Times New Roman" w:hAnsi="Times New Roman"/>
          <w:spacing w:val="-3"/>
        </w:rPr>
        <w:t xml:space="preserve"> can now be fairly said to be “the land beyond the Sabbath,” and certainly in a day of such Sabbath indifference there is no reason to take our Sabbath identity for granted.</w:t>
      </w:r>
    </w:p>
    <w:p w:rsidR="00B24F10" w:rsidRDefault="005D3986">
      <w:pPr>
        <w:tabs>
          <w:tab w:val="left" w:pos="-720"/>
        </w:tabs>
        <w:suppressAutoHyphens/>
        <w:spacing w:line="480" w:lineRule="auto"/>
        <w:rPr>
          <w:rFonts w:ascii="Times New Roman" w:hAnsi="Times New Roman"/>
          <w:spacing w:val="-3"/>
        </w:rPr>
      </w:pPr>
      <w:r>
        <w:rPr>
          <w:rFonts w:ascii="Times New Roman" w:hAnsi="Times New Roman"/>
          <w:spacing w:val="-3"/>
        </w:rPr>
        <w:tab/>
      </w:r>
      <w:smartTag w:uri="urn:schemas-microsoft-com:office:smarttags" w:element="PersonName">
        <w:r>
          <w:rPr>
            <w:rFonts w:ascii="Times New Roman" w:hAnsi="Times New Roman"/>
            <w:spacing w:val="-3"/>
          </w:rPr>
          <w:t>Ross Graham</w:t>
        </w:r>
      </w:smartTag>
      <w:r>
        <w:rPr>
          <w:rFonts w:ascii="Times New Roman" w:hAnsi="Times New Roman"/>
          <w:spacing w:val="-3"/>
        </w:rPr>
        <w:t>, General Secretary for the Committee on Home Missions and Church Extension, recently observed that “OPC distinctives are paying dividends.”</w:t>
      </w:r>
      <w:r>
        <w:rPr>
          <w:rStyle w:val="FootnoteReference"/>
          <w:rFonts w:ascii="Times New Roman" w:hAnsi="Times New Roman"/>
          <w:spacing w:val="-3"/>
        </w:rPr>
        <w:footnoteReference w:id="57"/>
      </w:r>
      <w:r>
        <w:rPr>
          <w:rFonts w:ascii="Times New Roman" w:hAnsi="Times New Roman"/>
          <w:spacing w:val="-3"/>
        </w:rPr>
        <w:t xml:space="preserve">  I believe that he is right, and that those distinctives include the way in which it has taught and practiced the Sabbath.  It is not too bold a claim to assert that in the years ahead, the OPC will be more attractive, especially to post-Christendom pilgrims, to the extent that it highlights and not mutes its distinctively covenantal and eschatological Sabbatarianism.</w:t>
      </w:r>
    </w:p>
    <w:sectPr w:rsidR="00B24F10">
      <w:footerReference w:type="default" r:id="rId7"/>
      <w:endnotePr>
        <w:numFmt w:val="decimal"/>
      </w:endnotePr>
      <w:pgSz w:w="12240" w:h="15840"/>
      <w:pgMar w:top="1440" w:right="1440" w:bottom="1440" w:left="1440" w:header="1440" w:footer="1440" w:gutter="0"/>
      <w:pgNumType w:start="1"/>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1862" w:rsidRDefault="00951862">
      <w:pPr>
        <w:spacing w:line="20" w:lineRule="exact"/>
      </w:pPr>
    </w:p>
  </w:endnote>
  <w:endnote w:type="continuationSeparator" w:id="0">
    <w:p w:rsidR="00951862" w:rsidRDefault="00951862">
      <w:r>
        <w:t xml:space="preserve"> </w:t>
      </w:r>
    </w:p>
  </w:endnote>
  <w:endnote w:type="continuationNotice" w:id="1">
    <w:p w:rsidR="00951862" w:rsidRDefault="00951862">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4F10" w:rsidRDefault="00B24F10">
    <w:pPr>
      <w:spacing w:before="140" w:line="100" w:lineRule="exact"/>
      <w:rPr>
        <w:sz w:val="10"/>
      </w:rPr>
    </w:pPr>
  </w:p>
  <w:p w:rsidR="00B24F10" w:rsidRDefault="00B24F10">
    <w:pPr>
      <w:suppressAutoHyphens/>
      <w:spacing w:line="480" w:lineRule="auto"/>
      <w:jc w:val="center"/>
    </w:pPr>
  </w:p>
  <w:p w:rsidR="00B24F10" w:rsidRDefault="00554A96">
    <w:r>
      <w:rPr>
        <w:rFonts w:ascii="Times New Roman" w:hAnsi="Times New Roman"/>
        <w:noProof/>
        <w:sz w:val="20"/>
      </w:rPr>
      <mc:AlternateContent>
        <mc:Choice Requires="wps">
          <w:drawing>
            <wp:anchor distT="0" distB="0" distL="114300" distR="114300" simplePos="0" relativeHeight="251657728" behindDoc="0" locked="0" layoutInCell="0" allowOverlap="1">
              <wp:simplePos x="0" y="0"/>
              <wp:positionH relativeFrom="page">
                <wp:posOffset>1005840</wp:posOffset>
              </wp:positionH>
              <wp:positionV relativeFrom="paragraph">
                <wp:posOffset>161290</wp:posOffset>
              </wp:positionV>
              <wp:extent cx="59436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rsidR="00B24F10" w:rsidRDefault="00B24F10">
                          <w:pPr>
                            <w:tabs>
                              <w:tab w:val="center" w:pos="4680"/>
                              <w:tab w:val="right" w:pos="9360"/>
                            </w:tabs>
                            <w:rPr>
                              <w:spacing w:val="-3"/>
                            </w:rPr>
                          </w:pPr>
                          <w:r>
                            <w:tab/>
                          </w:r>
                          <w:r>
                            <w:rPr>
                              <w:rFonts w:ascii="Times New Roman" w:hAnsi="Times New Roman"/>
                              <w:spacing w:val="-3"/>
                            </w:rPr>
                            <w:fldChar w:fldCharType="begin"/>
                          </w:r>
                          <w:r>
                            <w:rPr>
                              <w:rFonts w:ascii="Times New Roman" w:hAnsi="Times New Roman"/>
                              <w:spacing w:val="-3"/>
                            </w:rPr>
                            <w:instrText>page \* arabic</w:instrText>
                          </w:r>
                          <w:r>
                            <w:rPr>
                              <w:rFonts w:ascii="Times New Roman" w:hAnsi="Times New Roman"/>
                              <w:spacing w:val="-3"/>
                            </w:rPr>
                            <w:fldChar w:fldCharType="separate"/>
                          </w:r>
                          <w:r w:rsidR="00844582">
                            <w:rPr>
                              <w:rFonts w:ascii="Times New Roman" w:hAnsi="Times New Roman"/>
                              <w:noProof/>
                              <w:spacing w:val="-3"/>
                            </w:rPr>
                            <w:t>20</w:t>
                          </w:r>
                          <w:r>
                            <w:rPr>
                              <w:rFonts w:ascii="Times New Roman" w:hAnsi="Times New Roman"/>
                              <w:spacing w:val="-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79.2pt;margin-top:12.7pt;width:468pt;height:1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" o:allowincell="f" filled="f" stroked="f" strokeweight="0">
              <v:textbox inset="0,0,0,0">
                <w:txbxContent>
                  <w:p w:rsidR="00B24F10" w:rsidRDefault="00B24F10">
                    <w:pPr>
                      <w:tabs>
                        <w:tab w:val="center" w:pos="4680"/>
                        <w:tab w:val="right" w:pos="9360"/>
                      </w:tabs>
                      <w:rPr>
                        <w:spacing w:val="-3"/>
                      </w:rPr>
                    </w:pPr>
                    <w:r>
                      <w:tab/>
                    </w:r>
                    <w:r>
                      <w:rPr>
                        <w:rFonts w:ascii="Times New Roman" w:hAnsi="Times New Roman"/>
                        <w:spacing w:val="-3"/>
                      </w:rPr>
                      <w:fldChar w:fldCharType="begin"/>
                    </w:r>
                    <w:r>
                      <w:rPr>
                        <w:rFonts w:ascii="Times New Roman" w:hAnsi="Times New Roman"/>
                        <w:spacing w:val="-3"/>
                      </w:rPr>
                      <w:instrText>page \* arabic</w:instrText>
                    </w:r>
                    <w:r>
                      <w:rPr>
                        <w:rFonts w:ascii="Times New Roman" w:hAnsi="Times New Roman"/>
                        <w:spacing w:val="-3"/>
                      </w:rPr>
                      <w:fldChar w:fldCharType="separate"/>
                    </w:r>
                    <w:r w:rsidR="00844582">
                      <w:rPr>
                        <w:rFonts w:ascii="Times New Roman" w:hAnsi="Times New Roman"/>
                        <w:noProof/>
                        <w:spacing w:val="-3"/>
                      </w:rPr>
                      <w:t>20</w:t>
                    </w:r>
                    <w:r>
                      <w:rPr>
                        <w:rFonts w:ascii="Times New Roman" w:hAnsi="Times New Roman"/>
                        <w:spacing w:val="-3"/>
                      </w:rPr>
                      <w:fldChar w:fldCharType="end"/>
                    </w:r>
                  </w:p>
                </w:txbxContent>
              </v:textbox>
              <w10:wrap anchorx="pag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1862" w:rsidRDefault="00951862">
      <w:r>
        <w:separator/>
      </w:r>
    </w:p>
  </w:footnote>
  <w:footnote w:type="continuationSeparator" w:id="0">
    <w:p w:rsidR="00951862" w:rsidRDefault="00951862">
      <w:r>
        <w:continuationSeparator/>
      </w:r>
    </w:p>
  </w:footnote>
  <w:footnote w:id="1">
    <w:p w:rsidR="004115B3" w:rsidRDefault="004115B3">
      <w:pPr>
        <w:pStyle w:val="FootnoteText"/>
      </w:pPr>
      <w:r>
        <w:rPr>
          <w:rStyle w:val="FootnoteReference"/>
          <w:spacing w:val="-3"/>
          <w:vertAlign w:val="baseline"/>
        </w:rPr>
        <w:t>    </w:t>
      </w:r>
      <w:r>
        <w:rPr>
          <w:rStyle w:val="FootnoteReference"/>
          <w:spacing w:val="-3"/>
        </w:rPr>
        <w:footnoteRef/>
      </w:r>
      <w:r>
        <w:t xml:space="preserve">Quoted in J. McDowell Richards, “The Lord’s Day,” in </w:t>
      </w:r>
      <w:r>
        <w:rPr>
          <w:i/>
        </w:rPr>
        <w:t>The Lord’s Day</w:t>
      </w:r>
      <w:r>
        <w:t>, ed. James P. Wesberry (Nashville: Broadman Press, 1986), p. 85.</w:t>
      </w:r>
    </w:p>
  </w:footnote>
  <w:footnote w:id="2">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George M. Marsden. </w:t>
      </w:r>
      <w:r>
        <w:rPr>
          <w:i/>
          <w:spacing w:val="-3"/>
        </w:rPr>
        <w:t xml:space="preserve">Fundamentalism and American Culture: The Shaping of Twentieth-Century Evangelicalism, 1870-1925 </w:t>
      </w:r>
      <w:r>
        <w:rPr>
          <w:spacing w:val="-3"/>
        </w:rPr>
        <w:t>(New York: Oxford University Press, 1980),</w:t>
      </w:r>
      <w:r>
        <w:rPr>
          <w:i/>
          <w:spacing w:val="-3"/>
        </w:rPr>
        <w:t xml:space="preserve"> </w:t>
      </w:r>
      <w:r>
        <w:rPr>
          <w:spacing w:val="-3"/>
        </w:rPr>
        <w:t xml:space="preserve"> p. 13.</w:t>
      </w:r>
    </w:p>
  </w:footnote>
  <w:footnote w:id="3">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Maurice W. Armstrong, Lefferts A. Loetscher, and Charles A. Anderson, eds. </w:t>
      </w:r>
      <w:r>
        <w:rPr>
          <w:i/>
          <w:spacing w:val="-3"/>
        </w:rPr>
        <w:t xml:space="preserve">The Presbyterian </w:t>
      </w:r>
      <w:smartTag w:uri="urn:schemas-microsoft-com:office:smarttags" w:element="City">
        <w:smartTag w:uri="urn:schemas-microsoft-com:office:smarttags" w:element="place">
          <w:r>
            <w:rPr>
              <w:i/>
              <w:spacing w:val="-3"/>
            </w:rPr>
            <w:t>Enterprise</w:t>
          </w:r>
        </w:smartTag>
      </w:smartTag>
      <w:r>
        <w:rPr>
          <w:i/>
          <w:spacing w:val="-3"/>
        </w:rPr>
        <w:t xml:space="preserve">: Sources of American Presbyterian History </w:t>
      </w:r>
      <w:r>
        <w:rPr>
          <w:spacing w:val="-3"/>
        </w:rPr>
        <w:t xml:space="preserve">(Philadelphia: Westminster Press, 1956), p. 134. </w:t>
      </w:r>
    </w:p>
  </w:footnote>
  <w:footnote w:id="4">
    <w:p w:rsidR="00B24F10" w:rsidRDefault="00B24F10">
      <w:pPr>
        <w:pStyle w:val="FootnoteText"/>
      </w:pPr>
      <w:r>
        <w:rPr>
          <w:rStyle w:val="FootnoteReference"/>
        </w:rPr>
        <w:footnoteRef/>
      </w:r>
      <w:r>
        <w:t xml:space="preserve"> </w:t>
      </w:r>
      <w:r>
        <w:rPr>
          <w:i/>
        </w:rPr>
        <w:t xml:space="preserve">Minutes of the General Assembly of the Presbyterian Church in the </w:t>
      </w:r>
      <w:smartTag w:uri="urn:schemas-microsoft-com:office:smarttags" w:element="country-region">
        <w:smartTag w:uri="urn:schemas-microsoft-com:office:smarttags" w:element="place">
          <w:r>
            <w:rPr>
              <w:i/>
            </w:rPr>
            <w:t>U.S.A.</w:t>
          </w:r>
        </w:smartTag>
      </w:smartTag>
      <w:r>
        <w:t xml:space="preserve"> (Philadelphia: Presbyterian Board of Publication, 1819), p. 713.</w:t>
      </w:r>
    </w:p>
    <w:p w:rsidR="00B24F10" w:rsidRDefault="00B24F10">
      <w:pPr>
        <w:pStyle w:val="FootnoteText"/>
      </w:pPr>
    </w:p>
  </w:footnote>
  <w:footnote w:id="5">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E. H. Gillett, </w:t>
      </w:r>
      <w:r>
        <w:rPr>
          <w:i/>
          <w:spacing w:val="-3"/>
        </w:rPr>
        <w:t>History of the Presbyterian Church in the United States of America</w:t>
      </w:r>
      <w:r>
        <w:rPr>
          <w:spacing w:val="-3"/>
        </w:rPr>
        <w:t>, 2 vol.s. (Philadelphia: Presbyterian Publication Committee, 1864), 2:109.</w:t>
      </w:r>
    </w:p>
  </w:footnote>
  <w:footnote w:id="6">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Joseph H. Hall. </w:t>
      </w:r>
      <w:r>
        <w:rPr>
          <w:i/>
          <w:spacing w:val="-3"/>
        </w:rPr>
        <w:t xml:space="preserve">Presbyterian Conflict and Resolution on the </w:t>
      </w:r>
      <w:smartTag w:uri="urn:schemas-microsoft-com:office:smarttags" w:element="State">
        <w:smartTag w:uri="urn:schemas-microsoft-com:office:smarttags" w:element="place">
          <w:r>
            <w:rPr>
              <w:i/>
              <w:spacing w:val="-3"/>
            </w:rPr>
            <w:t>Missouri</w:t>
          </w:r>
        </w:smartTag>
      </w:smartTag>
      <w:r>
        <w:rPr>
          <w:i/>
          <w:spacing w:val="-3"/>
        </w:rPr>
        <w:t xml:space="preserve"> Frontier </w:t>
      </w:r>
      <w:r>
        <w:rPr>
          <w:spacing w:val="-3"/>
        </w:rPr>
        <w:t>(Lewiston/Queenston: The Edwin Mellen Press, 1987) p. 44.</w:t>
      </w:r>
    </w:p>
  </w:footnote>
  <w:footnote w:id="7">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Fred J. Hood. </w:t>
      </w:r>
      <w:r>
        <w:rPr>
          <w:i/>
          <w:spacing w:val="-3"/>
        </w:rPr>
        <w:t xml:space="preserve">Reformed </w:t>
      </w:r>
      <w:smartTag w:uri="urn:schemas-microsoft-com:office:smarttags" w:element="country-region">
        <w:smartTag w:uri="urn:schemas-microsoft-com:office:smarttags" w:element="place">
          <w:r>
            <w:rPr>
              <w:i/>
              <w:spacing w:val="-3"/>
            </w:rPr>
            <w:t>America</w:t>
          </w:r>
        </w:smartTag>
      </w:smartTag>
      <w:r>
        <w:rPr>
          <w:i/>
          <w:spacing w:val="-3"/>
        </w:rPr>
        <w:t xml:space="preserve">: The Middle and Southern States, 1783-1837 </w:t>
      </w:r>
      <w:r>
        <w:rPr>
          <w:spacing w:val="-3"/>
        </w:rPr>
        <w:t>(University, AL: The University of Alabama Press, 1980), p. 98.</w:t>
      </w:r>
    </w:p>
  </w:footnote>
  <w:footnote w:id="8">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i/>
          <w:spacing w:val="-3"/>
        </w:rPr>
        <w:t>Ibid.</w:t>
      </w:r>
    </w:p>
  </w:footnote>
  <w:footnote w:id="9">
    <w:p w:rsidR="00B24F10" w:rsidRDefault="00B24F10">
      <w:pPr>
        <w:pStyle w:val="FootnoteText"/>
      </w:pPr>
      <w:r>
        <w:rPr>
          <w:rStyle w:val="FootnoteReference"/>
        </w:rPr>
        <w:footnoteRef/>
      </w:r>
      <w:r>
        <w:t xml:space="preserve"> Cited in Ernest Trice Thompson, </w:t>
      </w:r>
      <w:r>
        <w:rPr>
          <w:i/>
        </w:rPr>
        <w:t>Presbyterians in the South</w:t>
      </w:r>
      <w:r>
        <w:t>, 3 vols. (Richmond, VA: John Knox Press, 1973), 3:227.</w:t>
      </w:r>
    </w:p>
    <w:p w:rsidR="00B24F10" w:rsidRDefault="00B24F10">
      <w:pPr>
        <w:pStyle w:val="FootnoteText"/>
      </w:pPr>
    </w:p>
  </w:footnote>
  <w:footnote w:id="10">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See Gary Scott Smith, </w:t>
      </w:r>
      <w:r>
        <w:rPr>
          <w:i/>
          <w:spacing w:val="-3"/>
        </w:rPr>
        <w:t>The Seeds of Secularization: Calvinism, Culture, and Pluralism in American 1870-1915</w:t>
      </w:r>
      <w:r>
        <w:rPr>
          <w:spacing w:val="-3"/>
        </w:rPr>
        <w:t xml:space="preserve"> (Grand Rapids: Christian University Press, 1985). </w:t>
      </w:r>
    </w:p>
  </w:footnote>
  <w:footnote w:id="11">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John S. Gilkeson, Jr.  “The Rise and Decline of the ‘Puritan Sunday’ in </w:t>
      </w:r>
      <w:smartTag w:uri="urn:schemas-microsoft-com:office:smarttags" w:element="City">
        <w:r>
          <w:rPr>
            <w:spacing w:val="-3"/>
          </w:rPr>
          <w:t>Providence</w:t>
        </w:r>
      </w:smartTag>
      <w:r>
        <w:rPr>
          <w:spacing w:val="-3"/>
        </w:rPr>
        <w:t xml:space="preserve">, </w:t>
      </w:r>
      <w:smartTag w:uri="urn:schemas-microsoft-com:office:smarttags" w:element="State">
        <w:r>
          <w:rPr>
            <w:spacing w:val="-3"/>
          </w:rPr>
          <w:t>Rhode Island</w:t>
        </w:r>
      </w:smartTag>
      <w:r>
        <w:rPr>
          <w:spacing w:val="-3"/>
        </w:rPr>
        <w:t xml:space="preserve">, 1810-1926” </w:t>
      </w:r>
      <w:smartTag w:uri="urn:schemas-microsoft-com:office:smarttags" w:element="place">
        <w:r>
          <w:rPr>
            <w:i/>
            <w:spacing w:val="-3"/>
          </w:rPr>
          <w:t>New England</w:t>
        </w:r>
      </w:smartTag>
      <w:r>
        <w:rPr>
          <w:i/>
          <w:spacing w:val="-3"/>
        </w:rPr>
        <w:t xml:space="preserve"> Quarterly</w:t>
      </w:r>
      <w:r>
        <w:rPr>
          <w:spacing w:val="-3"/>
        </w:rPr>
        <w:t xml:space="preserve"> 59 (1986), </w:t>
      </w:r>
      <w:r>
        <w:rPr>
          <w:i/>
          <w:spacing w:val="-3"/>
        </w:rPr>
        <w:t xml:space="preserve"> </w:t>
      </w:r>
      <w:r>
        <w:rPr>
          <w:spacing w:val="-3"/>
        </w:rPr>
        <w:t>p. 75.</w:t>
      </w:r>
    </w:p>
  </w:footnote>
  <w:footnote w:id="12">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i/>
          <w:spacing w:val="-3"/>
        </w:rPr>
        <w:t xml:space="preserve">Ibid., </w:t>
      </w:r>
      <w:r>
        <w:rPr>
          <w:spacing w:val="-3"/>
        </w:rPr>
        <w:t>p. 77. Ironically, the crusade for Sabbatarianism and temperance in Victorian America occasionally clashed.  For example, one way in which drunkenness was discouraged was through the creation of alternative, “wholesome amusements”, such as public libraries, which would eventually have Sunday hours. (</w:t>
      </w:r>
      <w:r>
        <w:rPr>
          <w:i/>
          <w:spacing w:val="-3"/>
        </w:rPr>
        <w:t>Ibid.</w:t>
      </w:r>
      <w:r>
        <w:rPr>
          <w:spacing w:val="-3"/>
        </w:rPr>
        <w:t>, p. 79)</w:t>
      </w:r>
    </w:p>
  </w:footnote>
  <w:footnote w:id="13">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Martin E. Marty. </w:t>
      </w:r>
      <w:r>
        <w:rPr>
          <w:i/>
          <w:spacing w:val="-3"/>
        </w:rPr>
        <w:t xml:space="preserve">Righteous Empire: The Protestant Experience in </w:t>
      </w:r>
      <w:smartTag w:uri="urn:schemas-microsoft-com:office:smarttags" w:element="country-region">
        <w:smartTag w:uri="urn:schemas-microsoft-com:office:smarttags" w:element="place">
          <w:r>
            <w:rPr>
              <w:i/>
              <w:spacing w:val="-3"/>
            </w:rPr>
            <w:t>America</w:t>
          </w:r>
        </w:smartTag>
      </w:smartTag>
      <w:r>
        <w:rPr>
          <w:i/>
          <w:spacing w:val="-3"/>
        </w:rPr>
        <w:t xml:space="preserve"> </w:t>
      </w:r>
      <w:r>
        <w:rPr>
          <w:spacing w:val="-3"/>
        </w:rPr>
        <w:t>(New York: Harper &amp; Row,  1977), p. 126.</w:t>
      </w:r>
    </w:p>
  </w:footnote>
  <w:footnote w:id="14">
    <w:p w:rsidR="00B24F10" w:rsidRDefault="00B24F10">
      <w:pPr>
        <w:pStyle w:val="FootnoteText"/>
      </w:pPr>
      <w:r>
        <w:rPr>
          <w:rStyle w:val="FootnoteReference"/>
        </w:rPr>
        <w:footnoteRef/>
      </w:r>
      <w:r>
        <w:t xml:space="preserve"> Daniel Hoffman Martin, “Why Save the Lord’s Day?” in </w:t>
      </w:r>
      <w:r>
        <w:rPr>
          <w:i/>
        </w:rPr>
        <w:t>The Fundamentals</w:t>
      </w:r>
      <w:r>
        <w:t xml:space="preserve"> (Grand Rapids: Baker, 1970 [1917]), 4:208. </w:t>
      </w:r>
    </w:p>
  </w:footnote>
  <w:footnote w:id="15">
    <w:p w:rsidR="00B24F10" w:rsidRDefault="00B24F10">
      <w:pPr>
        <w:pStyle w:val="FootnoteText"/>
      </w:pPr>
      <w:r>
        <w:rPr>
          <w:rStyle w:val="FootnoteReference"/>
        </w:rPr>
        <w:footnoteRef/>
      </w:r>
      <w:r>
        <w:t xml:space="preserve"> </w:t>
      </w:r>
      <w:r>
        <w:rPr>
          <w:i/>
        </w:rPr>
        <w:t>Ibid.</w:t>
      </w:r>
    </w:p>
  </w:footnote>
  <w:footnote w:id="16">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Quoted in Bradley J. Longfield, </w:t>
      </w:r>
      <w:r>
        <w:rPr>
          <w:i/>
          <w:spacing w:val="-3"/>
        </w:rPr>
        <w:t xml:space="preserve">The Presbyterian Controversy: Fundamentalists, Modernists, and Moderates </w:t>
      </w:r>
      <w:r>
        <w:rPr>
          <w:spacing w:val="-3"/>
        </w:rPr>
        <w:t>(New York: Oxford University Press, 1991), p. 144.</w:t>
      </w:r>
    </w:p>
  </w:footnote>
  <w:footnote w:id="17">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Henry Sloane Coffin, </w:t>
      </w:r>
      <w:r>
        <w:rPr>
          <w:i/>
          <w:spacing w:val="-3"/>
        </w:rPr>
        <w:t>The Ten Commandments</w:t>
      </w:r>
      <w:r>
        <w:rPr>
          <w:spacing w:val="-3"/>
        </w:rPr>
        <w:t xml:space="preserve"> (New York: George H. Doran, 1915), p. 83.</w:t>
      </w:r>
    </w:p>
  </w:footnote>
  <w:footnote w:id="18">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See J. Gresham Machen, “Christianity in Conflict” in Vergilius Ferm, ed. </w:t>
      </w:r>
      <w:r>
        <w:rPr>
          <w:i/>
          <w:spacing w:val="-3"/>
        </w:rPr>
        <w:t>Contemporary American Theology</w:t>
      </w:r>
      <w:r>
        <w:rPr>
          <w:spacing w:val="-3"/>
        </w:rPr>
        <w:t xml:space="preserve"> (New York: Round Table Press, 1932), 1:247.</w:t>
      </w:r>
    </w:p>
  </w:footnote>
  <w:footnote w:id="19">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Ned B. Stonehouse, </w:t>
      </w:r>
      <w:r>
        <w:rPr>
          <w:i/>
          <w:spacing w:val="-3"/>
        </w:rPr>
        <w:t xml:space="preserve">J. Gresham Machen: A Biographical Memoir </w:t>
      </w:r>
      <w:r>
        <w:rPr>
          <w:spacing w:val="-3"/>
        </w:rPr>
        <w:t>(Grand Rapids: Wm. B. Eerdmans Publishing Co., 1954),</w:t>
      </w:r>
      <w:r>
        <w:rPr>
          <w:i/>
          <w:spacing w:val="-3"/>
        </w:rPr>
        <w:t xml:space="preserve"> </w:t>
      </w:r>
      <w:r>
        <w:rPr>
          <w:spacing w:val="-3"/>
        </w:rPr>
        <w:t xml:space="preserve">  p. 259.</w:t>
      </w:r>
    </w:p>
  </w:footnote>
  <w:footnote w:id="20">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i/>
          <w:spacing w:val="-3"/>
        </w:rPr>
        <w:t>Ibid</w:t>
      </w:r>
      <w:r>
        <w:rPr>
          <w:spacing w:val="-3"/>
        </w:rPr>
        <w:t xml:space="preserve">., p. 260.  During student days Machen revealed what a poor prophet he was: “I have come to the conclusion that the two institutions which </w:t>
      </w:r>
      <w:smartTag w:uri="urn:schemas-microsoft-com:office:smarttags" w:element="country-region">
        <w:smartTag w:uri="urn:schemas-microsoft-com:office:smarttags" w:element="place">
          <w:r>
            <w:rPr>
              <w:spacing w:val="-3"/>
            </w:rPr>
            <w:t>Germany</w:t>
          </w:r>
        </w:smartTag>
      </w:smartTag>
      <w:r>
        <w:rPr>
          <w:spacing w:val="-3"/>
        </w:rPr>
        <w:t xml:space="preserve"> most needs are (1) The Sabbath; and (2) American football” (</w:t>
      </w:r>
      <w:r>
        <w:rPr>
          <w:i/>
          <w:spacing w:val="-3"/>
        </w:rPr>
        <w:t>Ibid.</w:t>
      </w:r>
      <w:r>
        <w:rPr>
          <w:spacing w:val="-3"/>
        </w:rPr>
        <w:t>, p. 84).</w:t>
      </w:r>
    </w:p>
  </w:footnote>
  <w:footnote w:id="21">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Johnson, “On Dropping the Subject: Presbyterians and Sabbath Observance in the Twentieth Century,” in Milton J Coulter, John M. Mulder, and Louis B. Weeks, eds. </w:t>
      </w:r>
      <w:r>
        <w:rPr>
          <w:i/>
          <w:spacing w:val="-3"/>
        </w:rPr>
        <w:t xml:space="preserve">The Presbyterian Predicament: Six Perspectives </w:t>
      </w:r>
      <w:r>
        <w:rPr>
          <w:spacing w:val="-3"/>
        </w:rPr>
        <w:t>(Louisville: Westminster/John Knox Press, 1990), pp. 90-108.</w:t>
      </w:r>
    </w:p>
  </w:footnote>
  <w:footnote w:id="22">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i/>
          <w:spacing w:val="-3"/>
        </w:rPr>
        <w:t>Ibid</w:t>
      </w:r>
      <w:r>
        <w:rPr>
          <w:spacing w:val="-3"/>
        </w:rPr>
        <w:t>., p. 99.</w:t>
      </w:r>
    </w:p>
  </w:footnote>
  <w:footnote w:id="23">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i/>
          <w:spacing w:val="-3"/>
        </w:rPr>
        <w:t>Ibid</w:t>
      </w:r>
      <w:r>
        <w:rPr>
          <w:spacing w:val="-3"/>
        </w:rPr>
        <w:t>., 106.</w:t>
      </w:r>
    </w:p>
  </w:footnote>
  <w:footnote w:id="24">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Louis B. Weeks, “The Scriptures and Sabbath Observance in the South” </w:t>
      </w:r>
      <w:r>
        <w:rPr>
          <w:i/>
          <w:spacing w:val="-3"/>
        </w:rPr>
        <w:t>Journal of Presbyterian History</w:t>
      </w:r>
      <w:r>
        <w:rPr>
          <w:spacing w:val="-3"/>
        </w:rPr>
        <w:t xml:space="preserve"> 59 (1981), 267-283. The Southern Presbyterian Church’s doctrine of the spirituality of the church also tempered the social crusading that characterized the north.</w:t>
      </w:r>
    </w:p>
  </w:footnote>
  <w:footnote w:id="25">
    <w:p w:rsidR="004115B3" w:rsidRDefault="004115B3">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John J. Timmerman, “Whatever Happened to Sunday?” </w:t>
      </w:r>
      <w:r>
        <w:rPr>
          <w:i/>
          <w:spacing w:val="-3"/>
        </w:rPr>
        <w:t>Reformed Journal</w:t>
      </w:r>
      <w:r>
        <w:rPr>
          <w:spacing w:val="-3"/>
        </w:rPr>
        <w:t xml:space="preserve"> 31:2 (February 1981), p. 15.</w:t>
      </w:r>
    </w:p>
  </w:footnote>
  <w:footnote w:id="26">
    <w:p w:rsidR="004115B3" w:rsidRDefault="004115B3">
      <w:pPr>
        <w:pStyle w:val="FootnoteText"/>
      </w:pPr>
      <w:r>
        <w:rPr>
          <w:rStyle w:val="FootnoteReference"/>
        </w:rPr>
        <w:footnoteRef/>
      </w:r>
      <w:r>
        <w:t xml:space="preserve"> Robert S. Mardsen, </w:t>
      </w:r>
      <w:r>
        <w:rPr>
          <w:i/>
        </w:rPr>
        <w:t xml:space="preserve">The First Ten Years </w:t>
      </w:r>
      <w:r>
        <w:t>(Philadelphia: Committee on Home Missions and Church Extension, 1946).</w:t>
      </w:r>
    </w:p>
    <w:p w:rsidR="004115B3" w:rsidRDefault="004115B3">
      <w:pPr>
        <w:pStyle w:val="FootnoteText"/>
      </w:pPr>
    </w:p>
  </w:footnote>
  <w:footnote w:id="27">
    <w:p w:rsidR="004115B3" w:rsidRDefault="004115B3">
      <w:pPr>
        <w:pStyle w:val="FootnoteText"/>
      </w:pPr>
      <w:r>
        <w:rPr>
          <w:rStyle w:val="FootnoteReference"/>
        </w:rPr>
        <w:footnoteRef/>
      </w:r>
      <w:r>
        <w:t xml:space="preserve"> R. B. Kuiper, “What’s Right With the Orthodox Presbyterian Church” </w:t>
      </w:r>
      <w:r>
        <w:rPr>
          <w:i/>
        </w:rPr>
        <w:t xml:space="preserve">Presbyterian Guardian </w:t>
      </w:r>
      <w:r>
        <w:t>35:5 (June, 1966), pp. 76-80.</w:t>
      </w:r>
    </w:p>
    <w:p w:rsidR="004115B3" w:rsidRDefault="004115B3">
      <w:pPr>
        <w:pStyle w:val="FootnoteText"/>
      </w:pPr>
    </w:p>
  </w:footnote>
  <w:footnote w:id="28">
    <w:p w:rsidR="004115B3" w:rsidRDefault="004115B3">
      <w:pPr>
        <w:pStyle w:val="FootnoteText"/>
      </w:pPr>
      <w:r>
        <w:rPr>
          <w:rStyle w:val="FootnoteReference"/>
        </w:rPr>
        <w:footnoteRef/>
      </w:r>
      <w:r>
        <w:t xml:space="preserve"> Charles G. Dennison, “Some Thoughts About Our Identity” </w:t>
      </w:r>
      <w:r>
        <w:rPr>
          <w:i/>
        </w:rPr>
        <w:t>New Horizons in the Orthodox Presbyterian Church</w:t>
      </w:r>
      <w:r>
        <w:t xml:space="preserve"> 13:6 (June/July 1992), pp. 2-3; John P. Galbraith, “The Future of the Orthodox Presbyterian Church?” </w:t>
      </w:r>
      <w:r>
        <w:rPr>
          <w:i/>
        </w:rPr>
        <w:t xml:space="preserve">New Horizons </w:t>
      </w:r>
      <w:r>
        <w:t>13:6 (June/July 1992), pp. 4-5.</w:t>
      </w:r>
    </w:p>
  </w:footnote>
  <w:footnote w:id="29">
    <w:p w:rsidR="00B24F10" w:rsidRDefault="00B24F10">
      <w:pPr>
        <w:pStyle w:val="FootnoteText"/>
      </w:pPr>
      <w:r>
        <w:rPr>
          <w:rStyle w:val="FootnoteReference"/>
        </w:rPr>
        <w:footnoteRef/>
      </w:r>
      <w:r>
        <w:t xml:space="preserve"> George W. Marston. </w:t>
      </w:r>
      <w:r>
        <w:rPr>
          <w:i/>
        </w:rPr>
        <w:t xml:space="preserve">A </w:t>
      </w:r>
      <w:smartTag w:uri="urn:schemas-microsoft-com:office:smarttags" w:element="PlaceName">
        <w:r>
          <w:rPr>
            <w:i/>
          </w:rPr>
          <w:t>Communicant</w:t>
        </w:r>
      </w:smartTag>
      <w:r>
        <w:rPr>
          <w:i/>
        </w:rPr>
        <w:t xml:space="preserve"> </w:t>
      </w:r>
      <w:smartTag w:uri="urn:schemas-microsoft-com:office:smarttags" w:element="PlaceType">
        <w:r>
          <w:rPr>
            <w:i/>
          </w:rPr>
          <w:t>Church</w:t>
        </w:r>
      </w:smartTag>
      <w:r>
        <w:rPr>
          <w:i/>
        </w:rPr>
        <w:t xml:space="preserve"> Membership Course </w:t>
      </w:r>
      <w:r>
        <w:t>(</w:t>
      </w:r>
      <w:smartTag w:uri="urn:schemas-microsoft-com:office:smarttags" w:element="City">
        <w:smartTag w:uri="urn:schemas-microsoft-com:office:smarttags" w:element="place">
          <w:r>
            <w:t>Philadelphia</w:t>
          </w:r>
        </w:smartTag>
      </w:smartTag>
      <w:r>
        <w:t>: Committee on Christian Education of the OPC, n.d.).</w:t>
      </w:r>
    </w:p>
  </w:footnote>
  <w:footnote w:id="30">
    <w:p w:rsidR="00B24F10" w:rsidRDefault="00B24F10">
      <w:pPr>
        <w:pStyle w:val="FootnoteText"/>
      </w:pPr>
      <w:r>
        <w:rPr>
          <w:rStyle w:val="FootnoteReference"/>
        </w:rPr>
        <w:footnoteRef/>
      </w:r>
      <w:r>
        <w:t xml:space="preserve"> Orthodox Presbyterian Church. </w:t>
      </w:r>
      <w:r>
        <w:rPr>
          <w:i/>
        </w:rPr>
        <w:t xml:space="preserve">Minutes of the Seventeenth General Assembly </w:t>
      </w:r>
      <w:r>
        <w:t>(Philadelphia: Orthodox Presbyterian Church, 1950), p. 34.</w:t>
      </w:r>
    </w:p>
  </w:footnote>
  <w:footnote w:id="31">
    <w:p w:rsidR="004115B3" w:rsidRDefault="004115B3">
      <w:pPr>
        <w:pStyle w:val="FootnoteText"/>
      </w:pPr>
      <w:r>
        <w:rPr>
          <w:rStyle w:val="FootnoteReference"/>
        </w:rPr>
        <w:footnoteRef/>
      </w:r>
      <w:r>
        <w:t xml:space="preserve"> “Keeping the Sabbath” </w:t>
      </w:r>
      <w:r>
        <w:rPr>
          <w:i/>
        </w:rPr>
        <w:t xml:space="preserve">Presbyterian Guardian </w:t>
      </w:r>
      <w:r>
        <w:t xml:space="preserve">22 (February 16, 1953), pp. 32-33. </w:t>
      </w:r>
    </w:p>
  </w:footnote>
  <w:footnote w:id="32">
    <w:p w:rsidR="004115B3" w:rsidRDefault="004115B3">
      <w:pPr>
        <w:pStyle w:val="FootnoteText"/>
      </w:pPr>
      <w:r>
        <w:rPr>
          <w:rStyle w:val="FootnoteReference"/>
        </w:rPr>
        <w:footnoteRef/>
      </w:r>
      <w:r>
        <w:t xml:space="preserve"> “Positive not Negative Approach” </w:t>
      </w:r>
      <w:r>
        <w:rPr>
          <w:i/>
        </w:rPr>
        <w:t xml:space="preserve">Presbyterian Guardian </w:t>
      </w:r>
      <w:r>
        <w:t xml:space="preserve">28 (March 10, 1959), p. 69. </w:t>
      </w:r>
    </w:p>
  </w:footnote>
  <w:footnote w:id="33">
    <w:p w:rsidR="004115B3" w:rsidRDefault="004115B3">
      <w:pPr>
        <w:pStyle w:val="FootnoteText"/>
      </w:pPr>
      <w:r>
        <w:rPr>
          <w:rStyle w:val="FootnoteReference"/>
        </w:rPr>
        <w:footnoteRef/>
      </w:r>
      <w:r>
        <w:t xml:space="preserve"> “The Lord’s Day” </w:t>
      </w:r>
      <w:r>
        <w:rPr>
          <w:i/>
        </w:rPr>
        <w:t xml:space="preserve">Presbyterian Guardian </w:t>
      </w:r>
      <w:r>
        <w:t>21 (July 15, 1952), p. 122.</w:t>
      </w:r>
      <w:r>
        <w:rPr>
          <w:i/>
        </w:rPr>
        <w:t xml:space="preserve"> </w:t>
      </w:r>
    </w:p>
  </w:footnote>
  <w:footnote w:id="34">
    <w:p w:rsidR="004115B3" w:rsidRDefault="004115B3">
      <w:pPr>
        <w:pStyle w:val="FootnoteText"/>
      </w:pPr>
      <w:r>
        <w:rPr>
          <w:rStyle w:val="FootnoteReference"/>
        </w:rPr>
        <w:footnoteRef/>
      </w:r>
      <w:r>
        <w:t xml:space="preserve"> “Summer Sabbaths” </w:t>
      </w:r>
      <w:r>
        <w:rPr>
          <w:i/>
        </w:rPr>
        <w:t xml:space="preserve">Presbyterian Guardian </w:t>
      </w:r>
      <w:r>
        <w:t>19 (July 1950), 134.</w:t>
      </w:r>
    </w:p>
  </w:footnote>
  <w:footnote w:id="35">
    <w:p w:rsidR="004115B3" w:rsidRDefault="004115B3">
      <w:pPr>
        <w:pStyle w:val="FootnoteText"/>
      </w:pPr>
      <w:r>
        <w:rPr>
          <w:rStyle w:val="FootnoteReference"/>
        </w:rPr>
        <w:footnoteRef/>
      </w:r>
      <w:r>
        <w:t xml:space="preserve"> “Shalt Thou Labor” </w:t>
      </w:r>
      <w:r>
        <w:rPr>
          <w:i/>
        </w:rPr>
        <w:t xml:space="preserve">Presbyterian Guardian </w:t>
      </w:r>
      <w:r>
        <w:t>17 (September 1948), pp. 207-208, 222.</w:t>
      </w:r>
    </w:p>
  </w:footnote>
  <w:footnote w:id="36">
    <w:p w:rsidR="004115B3" w:rsidRDefault="004115B3">
      <w:pPr>
        <w:pStyle w:val="FootnoteText"/>
      </w:pPr>
      <w:r>
        <w:rPr>
          <w:rStyle w:val="FootnoteReference"/>
        </w:rPr>
        <w:footnoteRef/>
      </w:r>
      <w:r>
        <w:t xml:space="preserve"> “The Sabbath of the Lord Thy God” </w:t>
      </w:r>
      <w:r>
        <w:rPr>
          <w:i/>
        </w:rPr>
        <w:t xml:space="preserve">Presbyterian Guardian </w:t>
      </w:r>
      <w:r>
        <w:t xml:space="preserve">32 (March 1963), 35-37; “Sanctifying the Sabbath” </w:t>
      </w:r>
      <w:r>
        <w:rPr>
          <w:i/>
        </w:rPr>
        <w:t xml:space="preserve">Presbyterian Guardian </w:t>
      </w:r>
      <w:r>
        <w:t xml:space="preserve">32 (April 1963), 51-52; “The Christian Sabbath or Lord’s Day” </w:t>
      </w:r>
      <w:r>
        <w:rPr>
          <w:i/>
        </w:rPr>
        <w:t xml:space="preserve">Presbyterian Guardian </w:t>
      </w:r>
      <w:r>
        <w:t>32 (June 1963), 90-91.</w:t>
      </w:r>
    </w:p>
  </w:footnote>
  <w:footnote w:id="37">
    <w:p w:rsidR="004115B3" w:rsidRDefault="004115B3">
      <w:pPr>
        <w:pStyle w:val="FootnoteText"/>
      </w:pPr>
      <w:r>
        <w:rPr>
          <w:rStyle w:val="FootnoteReference"/>
        </w:rPr>
        <w:footnoteRef/>
      </w:r>
      <w:r>
        <w:t xml:space="preserve"> “The Lord’s Day” </w:t>
      </w:r>
      <w:r>
        <w:rPr>
          <w:i/>
        </w:rPr>
        <w:t xml:space="preserve">Presbyterian Guardian </w:t>
      </w:r>
      <w:r>
        <w:t>34 (December 1965), p. 157.</w:t>
      </w:r>
    </w:p>
  </w:footnote>
  <w:footnote w:id="38">
    <w:p w:rsidR="00B24F10" w:rsidRDefault="00B24F10">
      <w:pPr>
        <w:pStyle w:val="FootnoteText"/>
      </w:pPr>
      <w:r>
        <w:rPr>
          <w:rStyle w:val="FootnoteReference"/>
        </w:rPr>
        <w:footnoteRef/>
      </w:r>
      <w:r>
        <w:t xml:space="preserve"> Orthodox Presbyterian Church. </w:t>
      </w:r>
      <w:r>
        <w:rPr>
          <w:i/>
        </w:rPr>
        <w:t xml:space="preserve">Minutes of the Fortieth General Assembly </w:t>
      </w:r>
      <w:r>
        <w:t>(Philadelphia: Orthodox Presbyterian Church, 1973), p. 106.</w:t>
      </w:r>
    </w:p>
  </w:footnote>
  <w:footnote w:id="39">
    <w:p w:rsidR="00B24F10" w:rsidRDefault="00B24F10">
      <w:pPr>
        <w:pStyle w:val="FootnoteText"/>
      </w:pPr>
      <w:r>
        <w:rPr>
          <w:rStyle w:val="FootnoteReference"/>
        </w:rPr>
        <w:footnoteRef/>
      </w:r>
      <w:r>
        <w:t xml:space="preserve"> </w:t>
      </w:r>
      <w:r>
        <w:rPr>
          <w:i/>
        </w:rPr>
        <w:t>Ibid.</w:t>
      </w:r>
      <w:r>
        <w:t>, p. 110.</w:t>
      </w:r>
    </w:p>
  </w:footnote>
  <w:footnote w:id="40">
    <w:p w:rsidR="00B24F10" w:rsidRDefault="00B24F10">
      <w:pPr>
        <w:pStyle w:val="FootnoteText"/>
      </w:pPr>
      <w:r>
        <w:rPr>
          <w:rStyle w:val="FootnoteReference"/>
        </w:rPr>
        <w:footnoteRef/>
      </w:r>
      <w:r>
        <w:t xml:space="preserve"> Orthodox Presbyterian Church. </w:t>
      </w:r>
      <w:r>
        <w:rPr>
          <w:i/>
        </w:rPr>
        <w:t xml:space="preserve">Minutes of the Forty-fourth General Assembly </w:t>
      </w:r>
      <w:r>
        <w:t>(Philadelphia: Orthodox Presbyterian Church, 1977), p. 125.</w:t>
      </w:r>
    </w:p>
  </w:footnote>
  <w:footnote w:id="41">
    <w:p w:rsidR="00B24F10" w:rsidRDefault="00B24F10">
      <w:pPr>
        <w:pStyle w:val="FootnoteText"/>
      </w:pPr>
      <w:r>
        <w:rPr>
          <w:rStyle w:val="FootnoteReference"/>
        </w:rPr>
        <w:footnoteRef/>
      </w:r>
      <w:r>
        <w:t xml:space="preserve"> John J. Mitchell. “General Assemblies and Their Effects” </w:t>
      </w:r>
      <w:r>
        <w:rPr>
          <w:i/>
        </w:rPr>
        <w:t>Presbyterian Guardian</w:t>
      </w:r>
      <w:r>
        <w:t xml:space="preserve"> 42 (June/July, 1973), p. 89.</w:t>
      </w:r>
    </w:p>
    <w:p w:rsidR="00B24F10" w:rsidRDefault="00B24F10">
      <w:pPr>
        <w:pStyle w:val="FootnoteText"/>
      </w:pPr>
    </w:p>
  </w:footnote>
  <w:footnote w:id="42">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“Why Attend Church Twice?” </w:t>
      </w:r>
      <w:r>
        <w:rPr>
          <w:i/>
          <w:spacing w:val="-3"/>
        </w:rPr>
        <w:t xml:space="preserve">Presbyterian Guardian </w:t>
      </w:r>
      <w:r>
        <w:rPr>
          <w:spacing w:val="-3"/>
        </w:rPr>
        <w:t>14 (July 25, 1945), p. 215.</w:t>
      </w:r>
    </w:p>
  </w:footnote>
  <w:footnote w:id="43">
    <w:p w:rsidR="00B24F10" w:rsidRDefault="00B24F10">
      <w:pPr>
        <w:pStyle w:val="FootnoteText"/>
      </w:pPr>
      <w:r>
        <w:rPr>
          <w:rStyle w:val="FootnoteReference"/>
        </w:rPr>
        <w:footnoteRef/>
      </w:r>
      <w:r>
        <w:t xml:space="preserve"> “The Bible and the Sabbath” </w:t>
      </w:r>
      <w:r>
        <w:rPr>
          <w:i/>
        </w:rPr>
        <w:t xml:space="preserve">Presbyterian Guardian </w:t>
      </w:r>
      <w:r>
        <w:t>16 (December 10, 1947), p. 339.</w:t>
      </w:r>
    </w:p>
  </w:footnote>
  <w:footnote w:id="44">
    <w:p w:rsidR="00B24F10" w:rsidRDefault="00B24F10">
      <w:pPr>
        <w:pStyle w:val="FootnoteText"/>
      </w:pPr>
      <w:r>
        <w:rPr>
          <w:rStyle w:val="FootnoteReference"/>
        </w:rPr>
        <w:footnoteRef/>
      </w:r>
      <w:r>
        <w:t xml:space="preserve"> “Sunday Evening” </w:t>
      </w:r>
      <w:r>
        <w:rPr>
          <w:i/>
        </w:rPr>
        <w:t xml:space="preserve">Presbyterian Guardian </w:t>
      </w:r>
      <w:r>
        <w:t>30 (September 1961), p. 162.</w:t>
      </w:r>
    </w:p>
    <w:p w:rsidR="00B24F10" w:rsidRDefault="00B24F10">
      <w:pPr>
        <w:pStyle w:val="FootnoteText"/>
      </w:pPr>
    </w:p>
  </w:footnote>
  <w:footnote w:id="45">
    <w:p w:rsidR="004115B3" w:rsidRDefault="004115B3">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Paul Woolley, </w:t>
      </w:r>
      <w:r>
        <w:rPr>
          <w:i/>
          <w:spacing w:val="-3"/>
        </w:rPr>
        <w:t xml:space="preserve">Family, State, and Church: God’s Institutions </w:t>
      </w:r>
      <w:r>
        <w:rPr>
          <w:spacing w:val="-3"/>
        </w:rPr>
        <w:t>(Grand Rapids: Baker Book House, 1965), pp. 30-31.</w:t>
      </w:r>
    </w:p>
  </w:footnote>
  <w:footnote w:id="46">
    <w:p w:rsidR="004115B3" w:rsidRDefault="004115B3">
      <w:pPr>
        <w:pStyle w:val="FootnoteText"/>
      </w:pPr>
      <w:r>
        <w:rPr>
          <w:rStyle w:val="FootnoteReference"/>
        </w:rPr>
        <w:footnoteRef/>
      </w:r>
      <w:r>
        <w:t xml:space="preserve"> Machen to Gifford Pinchot, April 20, 1933.  Machen Archives, </w:t>
      </w:r>
      <w:smartTag w:uri="urn:schemas-microsoft-com:office:smarttags" w:element="place">
        <w:smartTag w:uri="urn:schemas-microsoft-com:office:smarttags" w:element="City">
          <w:r>
            <w:t>Westminster</w:t>
          </w:r>
        </w:smartTag>
      </w:smartTag>
      <w:r>
        <w:t xml:space="preserve"> Theological Seminary. </w:t>
      </w:r>
    </w:p>
  </w:footnote>
  <w:footnote w:id="47">
    <w:p w:rsidR="004115B3" w:rsidRDefault="004115B3">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“[T]he Sabbath, continuing on into redemptive administrations of the covenant, is like its accompanying signs of circumcision and baptism.” (Meredith G. Kline, </w:t>
      </w:r>
      <w:r>
        <w:rPr>
          <w:i/>
          <w:spacing w:val="-3"/>
        </w:rPr>
        <w:t>Kingdom Prologue</w:t>
      </w:r>
      <w:r>
        <w:rPr>
          <w:spacing w:val="-3"/>
        </w:rPr>
        <w:t xml:space="preserve"> [South Hamilton, Mass: M.G. Kline 1993], p. 52).</w:t>
      </w:r>
    </w:p>
  </w:footnote>
  <w:footnote w:id="48">
    <w:p w:rsidR="004115B3" w:rsidRDefault="004115B3">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 </w:t>
      </w:r>
      <w:r>
        <w:rPr>
          <w:i/>
          <w:spacing w:val="-3"/>
        </w:rPr>
        <w:t xml:space="preserve">Ibid. </w:t>
      </w:r>
      <w:r>
        <w:rPr>
          <w:spacing w:val="-3"/>
        </w:rPr>
        <w:t>See especially p. 51, where Kline writes: “That the Sabbath was appointed to the covenant community at the creation suggests that it is of perpetual validity, as long at least as that community experiences life and history as a succession of days.  However, if we appreciate this essential connection of the Sabbath with the covenant, and especially if we recognize that the Sabbath is always covenantal promise and privilege as well as duty, we will avoid thinking of it abstractly as at any time after the Fall a universal ordinance of general application to the world at large.  The Sabbath belongs to the covenant community exclusively.”</w:t>
      </w:r>
    </w:p>
  </w:footnote>
  <w:footnote w:id="49">
    <w:p w:rsidR="004115B3" w:rsidRDefault="004115B3">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John Murray. </w:t>
      </w:r>
      <w:r>
        <w:rPr>
          <w:i/>
          <w:spacing w:val="-3"/>
        </w:rPr>
        <w:t xml:space="preserve">Principles of Conduct: Aspects of Biblical Ethics </w:t>
      </w:r>
      <w:r>
        <w:rPr>
          <w:spacing w:val="-3"/>
        </w:rPr>
        <w:t xml:space="preserve">(Grand Rapids: Wm. B. Eerdmans Publishing Co., 1957). An interesting emphasis that recurs in </w:t>
      </w:r>
      <w:smartTag w:uri="urn:schemas-microsoft-com:office:smarttags" w:element="City">
        <w:smartTag w:uri="urn:schemas-microsoft-com:office:smarttags" w:element="place">
          <w:r>
            <w:rPr>
              <w:spacing w:val="-3"/>
            </w:rPr>
            <w:t>Murray</w:t>
          </w:r>
        </w:smartTag>
      </w:smartTag>
      <w:r>
        <w:rPr>
          <w:spacing w:val="-3"/>
        </w:rPr>
        <w:t xml:space="preserve"> is the idea that embedded in the Sabbath ordinance is the requirement to labor for six days.  Seeing earlier that most observers the effects of the culture of leisure and consumerism, </w:t>
      </w:r>
      <w:smartTag w:uri="urn:schemas-microsoft-com:office:smarttags" w:element="place">
        <w:smartTag w:uri="urn:schemas-microsoft-com:office:smarttags" w:element="City">
          <w:r>
            <w:rPr>
              <w:spacing w:val="-3"/>
            </w:rPr>
            <w:t>Murray</w:t>
          </w:r>
        </w:smartTag>
      </w:smartTag>
      <w:r>
        <w:rPr>
          <w:spacing w:val="-3"/>
        </w:rPr>
        <w:t xml:space="preserve"> rightly warned of the moral degeneration that a five day work week would create. </w:t>
      </w:r>
    </w:p>
  </w:footnote>
  <w:footnote w:id="50">
    <w:p w:rsidR="004115B3" w:rsidRDefault="004115B3">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I have found one place where </w:t>
      </w:r>
      <w:smartTag w:uri="urn:schemas-microsoft-com:office:smarttags" w:element="City">
        <w:smartTag w:uri="urn:schemas-microsoft-com:office:smarttags" w:element="place">
          <w:r>
            <w:rPr>
              <w:spacing w:val="-3"/>
            </w:rPr>
            <w:t>Murray</w:t>
          </w:r>
        </w:smartTag>
      </w:smartTag>
      <w:r>
        <w:rPr>
          <w:spacing w:val="-3"/>
        </w:rPr>
        <w:t xml:space="preserve"> makes a “nationalist sounding” argument for the Sabbath.  In his </w:t>
      </w:r>
      <w:r>
        <w:rPr>
          <w:i/>
          <w:spacing w:val="-3"/>
        </w:rPr>
        <w:t>Collected Writings</w:t>
      </w:r>
      <w:r>
        <w:rPr>
          <w:spacing w:val="-3"/>
        </w:rPr>
        <w:t xml:space="preserve">, vol. 1 (Edinburgh: Banner of Truth, 1976), some unpublished notes of </w:t>
      </w:r>
      <w:smartTag w:uri="urn:schemas-microsoft-com:office:smarttags" w:element="City">
        <w:smartTag w:uri="urn:schemas-microsoft-com:office:smarttags" w:element="place">
          <w:r>
            <w:rPr>
              <w:spacing w:val="-3"/>
            </w:rPr>
            <w:t>Murray</w:t>
          </w:r>
        </w:smartTag>
      </w:smartTag>
      <w:r>
        <w:rPr>
          <w:spacing w:val="-3"/>
        </w:rPr>
        <w:t xml:space="preserve"> were assembled into a short article, “The Relevance of the Sabbath”.  In it he writes, “The outward observance of the Sabbath promotes public order and makes for the preservation of our most cherished rights and liberties.  Unrestrained violation of the commandments of God destroys the peace without which the social order and political order are impossible.” (p. 226)  Note, however, even here there is no call for Sabbath legislation.</w:t>
      </w:r>
    </w:p>
  </w:footnote>
  <w:footnote w:id="51">
    <w:p w:rsidR="004115B3" w:rsidRDefault="004115B3">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Dennison, “Some Thoughts About Our Identity,” p. 2.</w:t>
      </w:r>
    </w:p>
  </w:footnote>
  <w:footnote w:id="52">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Peter L. Berger, </w:t>
      </w:r>
      <w:r>
        <w:rPr>
          <w:i/>
          <w:spacing w:val="-3"/>
        </w:rPr>
        <w:t xml:space="preserve">A Rumor of Angels: Modern Society and the Rediscovery of the Supernatural </w:t>
      </w:r>
      <w:r>
        <w:rPr>
          <w:spacing w:val="-3"/>
        </w:rPr>
        <w:t>(Garden City, NY: Doubleday, 1969), p. 43.</w:t>
      </w:r>
    </w:p>
  </w:footnote>
  <w:footnote w:id="53">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i/>
          <w:spacing w:val="-3"/>
        </w:rPr>
        <w:t>Ibid</w:t>
      </w:r>
      <w:r>
        <w:rPr>
          <w:spacing w:val="-3"/>
        </w:rPr>
        <w:t>., pp. 44-45.</w:t>
      </w:r>
    </w:p>
  </w:footnote>
  <w:footnote w:id="54">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The damage to a religious cognitive minority from the loss of plausibility can be seen by studying a non-Protestant example.  In Gary Wills’ </w:t>
      </w:r>
      <w:r>
        <w:rPr>
          <w:i/>
          <w:spacing w:val="-3"/>
        </w:rPr>
        <w:t xml:space="preserve">Bare Ruined Choirs </w:t>
      </w:r>
      <w:r>
        <w:rPr>
          <w:spacing w:val="-3"/>
        </w:rPr>
        <w:t>(Garden City, NY: Doubleday, 1972) he describes the crisis of faith that Vatican II thrust American Catholics, even nominal American Catholics into.  Its revisions of the piety and practice of the church left the American Roman Catholic subculture “in the ruins.”  When meat can be eaten on Fridays and when the mass is said in the vernacular, “home is not there any longer, [even] for the wayward Catholic.”  Latin masses and meatless Fridays are not only beliefs held cognitively but rituals to be experienced: “change the rite, and belief would inevitably change, despite all assurances that it was changeless.” (p. 71)</w:t>
      </w:r>
    </w:p>
  </w:footnote>
  <w:footnote w:id="55">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Richard B. Gaffin, Jr., “A Sabbath Rest Still Awaits the People of God” pp. 33-51 in Charles G. Dennison and Richard C. Gamble, eds. </w:t>
      </w:r>
      <w:r>
        <w:rPr>
          <w:i/>
          <w:spacing w:val="-3"/>
        </w:rPr>
        <w:t xml:space="preserve">Pressing Toward the Mark: Essays Commemorating Fifty Years of the Orthodox Presbyterian Church </w:t>
      </w:r>
      <w:r>
        <w:rPr>
          <w:spacing w:val="-3"/>
        </w:rPr>
        <w:t>(Philadelphia: Committee for the Historian of the OPC, 1986).</w:t>
      </w:r>
    </w:p>
  </w:footnote>
  <w:footnote w:id="56">
    <w:p w:rsidR="00B24F10" w:rsidRDefault="00B24F10">
      <w:pPr>
        <w:pStyle w:val="FootnoteText"/>
        <w:tabs>
          <w:tab w:val="left" w:pos="-720"/>
        </w:tabs>
        <w:suppressAutoHyphens/>
        <w:spacing w:after="240"/>
        <w:jc w:val="both"/>
        <w:rPr>
          <w:spacing w:val="-3"/>
        </w:rPr>
      </w:pPr>
      <w:r>
        <w:rPr>
          <w:rStyle w:val="FootnoteReference"/>
          <w:spacing w:val="-3"/>
          <w:vertAlign w:val="baseline"/>
        </w:rPr>
        <w:t>    </w:t>
      </w:r>
      <w:r>
        <w:rPr>
          <w:rStyle w:val="FootnoteReference"/>
          <w:spacing w:val="-3"/>
        </w:rPr>
        <w:footnoteRef/>
      </w:r>
      <w:r>
        <w:rPr>
          <w:spacing w:val="-3"/>
        </w:rPr>
        <w:t xml:space="preserve">See, for example,  Stanley Hauerwas, </w:t>
      </w:r>
      <w:r>
        <w:rPr>
          <w:i/>
          <w:spacing w:val="-3"/>
        </w:rPr>
        <w:t xml:space="preserve">After Christendom? </w:t>
      </w:r>
      <w:r>
        <w:rPr>
          <w:spacing w:val="-3"/>
        </w:rPr>
        <w:t>(Nashville: Abingdon Press, 1991).</w:t>
      </w:r>
    </w:p>
  </w:footnote>
  <w:footnote w:id="57">
    <w:p w:rsidR="00B24F10" w:rsidRDefault="00B24F10">
      <w:pPr>
        <w:pStyle w:val="FootnoteText"/>
      </w:pPr>
      <w:r>
        <w:rPr>
          <w:rStyle w:val="FootnoteReference"/>
        </w:rPr>
        <w:footnoteRef/>
      </w:r>
      <w:r>
        <w:t xml:space="preserve"> Spoken at the 1995 OPC General Assembly.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2ED"/>
    <w:rsid w:val="004115B3"/>
    <w:rsid w:val="00554A96"/>
    <w:rsid w:val="005D3986"/>
    <w:rsid w:val="006533E3"/>
    <w:rsid w:val="00844582"/>
    <w:rsid w:val="00951862"/>
    <w:rsid w:val="00B24F10"/>
    <w:rsid w:val="00BB1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Courier New" w:hAnsi="Courier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rPr>
      <w:rFonts w:ascii="Times New Roman" w:hAnsi="Times New Roman"/>
      <w:sz w:val="20"/>
    </w:rPr>
  </w:style>
  <w:style w:type="character" w:styleId="FootnoteReference">
    <w:name w:val="footnote reference"/>
    <w:basedOn w:val="DefaultParagraphFont"/>
    <w:semiHidden/>
    <w:rPr>
      <w:vertAlign w:val="superscript"/>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Courier New" w:hAnsi="Courier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rPr>
      <w:rFonts w:ascii="Times New Roman" w:hAnsi="Times New Roman"/>
      <w:sz w:val="20"/>
    </w:rPr>
  </w:style>
  <w:style w:type="character" w:styleId="FootnoteReference">
    <w:name w:val="footnote reference"/>
    <w:basedOn w:val="DefaultParagraphFont"/>
    <w:semiHidden/>
    <w:rPr>
      <w:vertAlign w:val="superscript"/>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5281</Words>
  <Characters>30104</Characters>
  <Application>Microsoft Office Word</Application>
  <DocSecurity>4</DocSecurity>
  <Lines>250</Lines>
  <Paragraphs>70</Paragraphs>
  <ScaleCrop>false</ScaleCrop>
  <HeadingPairs>
    <vt:vector size="2" baseType="variant">
      <vt:variant>
        <vt:lpstr>Title</vt:lpstr>
      </vt:variant>
      <vt:variant>
        <vt:i4>1</vt:i4>
      </vt:variant>
    </vt:vector>
  </HeadingPairs>
  <TitlesOfParts>
    <vt:vector size="1" baseType="lpstr">
      <vt:lpstr>The Sabbath and OPC Identity</vt:lpstr>
    </vt:vector>
  </TitlesOfParts>
  <Company>Reformed Theological Seminary</Company>
  <LinksUpToDate>false</LinksUpToDate>
  <CharactersWithSpaces>35315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Sabbath and OPC Identity</dc:title>
  <dc:creator>________</dc:creator>
  <cp:lastModifiedBy> </cp:lastModifiedBy>
  <cp:revision>2</cp:revision>
  <cp:lastPrinted>2012-12-29T00:55:00Z</cp:lastPrinted>
  <dcterms:created xsi:type="dcterms:W3CDTF">2013-01-02T18:25:00Z</dcterms:created>
  <dcterms:modified xsi:type="dcterms:W3CDTF">2013-01-02T18:25:00Z</dcterms:modified>
</cp:coreProperties>
</file>