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Учебный документ: эксплуатация медицинского оборудования</w:t>
      </w:r>
    </w:p>
    <w:p>
      <w:r>
        <w:t>Документ создан исключительно для тестирования системы обработки DOCX и RAG. Он содержит вымышленные сведения об эксплуатации медицинского оборудования и не является медицинской инструкцией, клинической рекомендацией или руководством производителя.</w:t>
      </w:r>
    </w:p>
    <w:p>
      <w:pPr>
        <w:pStyle w:val="Heading2"/>
      </w:pPr>
      <w:r>
        <w:t>1. Общие сведения</w:t>
      </w:r>
    </w:p>
    <w:p>
      <w:r>
        <w:t>В условном диагностическом центре используется монитор жизненных показателей MedMonitor X200. Устройство предназначено для отображения частоты сердечных сокращений, насыщения крови кислородом и неинвазивно измеренного артериального давления.</w:t>
      </w:r>
    </w:p>
    <w:p>
      <w:r>
        <w:t>За техническое обслуживание оборудования отвечает инженерная служба центра. Перед началом рабочей смены выполняется визуальный осмотр корпуса, кабелей и датчиков.</w:t>
      </w:r>
    </w:p>
    <w:p>
      <w:pPr>
        <w:pStyle w:val="Heading2"/>
      </w:pPr>
      <w:r>
        <w:t>2. Плановое техническое обслуживание</w:t>
      </w:r>
    </w:p>
    <w:p>
      <w:r>
        <w:t>Плановое техническое обслуживание MedMonitor X200 выполняется каждые шесть месяцев. Проверка аккумулятора проводится один раз в три месяца. После обнаружения повреждения кабеля эксплуатация соответствующего кабеля прекращается до его замены.</w:t>
      </w:r>
    </w:p>
    <w:p>
      <w:pPr>
        <w:pStyle w:val="Heading2"/>
      </w:pPr>
      <w:r>
        <w:t>3. Контрольные параметры оборудования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r>
              <w:t>Параметр</w:t>
            </w:r>
          </w:p>
        </w:tc>
        <w:tc>
          <w:tcPr>
            <w:tcW w:type="dxa" w:w="2160"/>
            <w:vAlign w:val="center"/>
          </w:tcPr>
          <w:p>
            <w:r>
              <w:t>Контрольное значение</w:t>
            </w:r>
          </w:p>
        </w:tc>
        <w:tc>
          <w:tcPr>
            <w:tcW w:type="dxa" w:w="2160"/>
            <w:vAlign w:val="center"/>
          </w:tcPr>
          <w:p>
            <w:r>
              <w:t>Периодичность</w:t>
            </w:r>
          </w:p>
        </w:tc>
        <w:tc>
          <w:tcPr>
            <w:tcW w:type="dxa" w:w="2160"/>
            <w:vAlign w:val="center"/>
          </w:tcPr>
          <w:p>
            <w:r>
              <w:t>Ответственный</w:t>
            </w:r>
          </w:p>
        </w:tc>
      </w:tr>
      <w:tr>
        <w:tc>
          <w:tcPr>
            <w:tcW w:type="dxa" w:w="2160"/>
            <w:vAlign w:val="center"/>
          </w:tcPr>
          <w:p>
            <w:r>
              <w:t>Заряд аккумулятора</w:t>
            </w:r>
          </w:p>
        </w:tc>
        <w:tc>
          <w:tcPr>
            <w:tcW w:type="dxa" w:w="2160"/>
            <w:vAlign w:val="center"/>
          </w:tcPr>
          <w:p>
            <w:r>
              <w:t>не менее 40 % перед сменой</w:t>
            </w:r>
          </w:p>
        </w:tc>
        <w:tc>
          <w:tcPr>
            <w:tcW w:type="dxa" w:w="2160"/>
            <w:vAlign w:val="center"/>
          </w:tcPr>
          <w:p>
            <w:r>
              <w:t>перед каждой сменой</w:t>
            </w:r>
          </w:p>
        </w:tc>
        <w:tc>
          <w:tcPr>
            <w:tcW w:type="dxa" w:w="2160"/>
            <w:vAlign w:val="center"/>
          </w:tcPr>
          <w:p>
            <w:r>
              <w:t>дежурный сотрудник</w:t>
            </w:r>
          </w:p>
        </w:tc>
      </w:tr>
      <w:tr>
        <w:tc>
          <w:tcPr>
            <w:tcW w:type="dxa" w:w="2160"/>
            <w:vAlign w:val="center"/>
          </w:tcPr>
          <w:p>
            <w:r>
              <w:t>Проверка аккумулятора</w:t>
            </w:r>
          </w:p>
        </w:tc>
        <w:tc>
          <w:tcPr>
            <w:tcW w:type="dxa" w:w="2160"/>
            <w:vAlign w:val="center"/>
          </w:tcPr>
          <w:p>
            <w:r>
              <w:t>тест автономной работы</w:t>
            </w:r>
          </w:p>
        </w:tc>
        <w:tc>
          <w:tcPr>
            <w:tcW w:type="dxa" w:w="2160"/>
            <w:vAlign w:val="center"/>
          </w:tcPr>
          <w:p>
            <w:r>
              <w:t>1 раз в 3 месяца</w:t>
            </w:r>
          </w:p>
        </w:tc>
        <w:tc>
          <w:tcPr>
            <w:tcW w:type="dxa" w:w="2160"/>
            <w:vAlign w:val="center"/>
          </w:tcPr>
          <w:p>
            <w:r>
              <w:t>инженерная служба</w:t>
            </w:r>
          </w:p>
        </w:tc>
      </w:tr>
      <w:tr>
        <w:tc>
          <w:tcPr>
            <w:tcW w:type="dxa" w:w="2160"/>
            <w:vAlign w:val="center"/>
          </w:tcPr>
          <w:p>
            <w:r>
              <w:t>Плановое обслуживание</w:t>
            </w:r>
          </w:p>
        </w:tc>
        <w:tc>
          <w:tcPr>
            <w:tcW w:type="dxa" w:w="2160"/>
            <w:vAlign w:val="center"/>
          </w:tcPr>
          <w:p>
            <w:r>
              <w:t>полная техническая проверка</w:t>
            </w:r>
          </w:p>
        </w:tc>
        <w:tc>
          <w:tcPr>
            <w:tcW w:type="dxa" w:w="2160"/>
            <w:vAlign w:val="center"/>
          </w:tcPr>
          <w:p>
            <w:r>
              <w:t>1 раз в 6 месяцев</w:t>
            </w:r>
          </w:p>
        </w:tc>
        <w:tc>
          <w:tcPr>
            <w:tcW w:type="dxa" w:w="2160"/>
            <w:vAlign w:val="center"/>
          </w:tcPr>
          <w:p>
            <w:r>
              <w:t>инженерная служба</w:t>
            </w:r>
          </w:p>
        </w:tc>
      </w:tr>
      <w:tr>
        <w:tc>
          <w:tcPr>
            <w:tcW w:type="dxa" w:w="2160"/>
            <w:vAlign w:val="center"/>
          </w:tcPr>
          <w:p>
            <w:r>
              <w:t>Очистка корпуса</w:t>
            </w:r>
          </w:p>
        </w:tc>
        <w:tc>
          <w:tcPr>
            <w:tcW w:type="dxa" w:w="2160"/>
            <w:vAlign w:val="center"/>
          </w:tcPr>
          <w:p>
            <w:r>
              <w:t>без видимых загрязнений</w:t>
            </w:r>
          </w:p>
        </w:tc>
        <w:tc>
          <w:tcPr>
            <w:tcW w:type="dxa" w:w="2160"/>
            <w:vAlign w:val="center"/>
          </w:tcPr>
          <w:p>
            <w:r>
              <w:t>после использования</w:t>
            </w:r>
          </w:p>
        </w:tc>
        <w:tc>
          <w:tcPr>
            <w:tcW w:type="dxa" w:w="2160"/>
            <w:vAlign w:val="center"/>
          </w:tcPr>
          <w:p>
            <w:r>
              <w:t>дежурный сотрудник</w:t>
            </w:r>
          </w:p>
        </w:tc>
      </w:tr>
    </w:tbl>
    <w:p>
      <w:pPr>
        <w:pStyle w:val="Heading2"/>
      </w:pPr>
      <w:r>
        <w:t>4. Журнал обслуживания</w:t>
      </w:r>
    </w:p>
    <w:p>
      <w:r>
        <w:t>Каждая операция технического обслуживания регистрируется в журнале. Запись должна содержать дату, тип выполненной операции, идентификатор оборудования и условное имя ответственного сотрудника.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Дата</w:t>
            </w:r>
          </w:p>
        </w:tc>
        <w:tc>
          <w:tcPr>
            <w:tcW w:type="dxa" w:w="2160"/>
          </w:tcPr>
          <w:p>
            <w:r>
              <w:t>Операция</w:t>
            </w:r>
          </w:p>
        </w:tc>
        <w:tc>
          <w:tcPr>
            <w:tcW w:type="dxa" w:w="2160"/>
          </w:tcPr>
          <w:p>
            <w:r>
              <w:t>Оборудование</w:t>
            </w:r>
          </w:p>
        </w:tc>
        <w:tc>
          <w:tcPr>
            <w:tcW w:type="dxa" w:w="2160"/>
          </w:tcPr>
          <w:p>
            <w:r>
              <w:t>Сотрудник</w:t>
            </w:r>
          </w:p>
        </w:tc>
      </w:tr>
      <w:tr>
        <w:tc>
          <w:tcPr>
            <w:tcW w:type="dxa" w:w="2160"/>
          </w:tcPr>
          <w:p>
            <w:r>
              <w:t>02.09.2026</w:t>
            </w:r>
          </w:p>
        </w:tc>
        <w:tc>
          <w:tcPr>
            <w:tcW w:type="dxa" w:w="2160"/>
          </w:tcPr>
          <w:p>
            <w:r>
              <w:t>Проверка аккумулятора</w:t>
            </w:r>
          </w:p>
        </w:tc>
        <w:tc>
          <w:tcPr>
            <w:tcW w:type="dxa" w:w="2160"/>
          </w:tcPr>
          <w:p>
            <w:r>
              <w:t>MedMonitor X200 / MM-042</w:t>
            </w:r>
          </w:p>
        </w:tc>
        <w:tc>
          <w:tcPr>
            <w:tcW w:type="dxa" w:w="2160"/>
          </w:tcPr>
          <w:p>
            <w:r>
              <w:t>Инженер-17</w:t>
            </w:r>
          </w:p>
        </w:tc>
      </w:tr>
      <w:tr>
        <w:tc>
          <w:tcPr>
            <w:tcW w:type="dxa" w:w="2160"/>
          </w:tcPr>
          <w:p>
            <w:r>
              <w:t>10.09.2026</w:t>
            </w:r>
          </w:p>
        </w:tc>
        <w:tc>
          <w:tcPr>
            <w:tcW w:type="dxa" w:w="2160"/>
          </w:tcPr>
          <w:p>
            <w:r>
              <w:t>Очистка и визуальный осмотр</w:t>
            </w:r>
          </w:p>
        </w:tc>
        <w:tc>
          <w:tcPr>
            <w:tcW w:type="dxa" w:w="2160"/>
          </w:tcPr>
          <w:p>
            <w:r>
              <w:t>MedMonitor X200 / MM-042</w:t>
            </w:r>
          </w:p>
        </w:tc>
        <w:tc>
          <w:tcPr>
            <w:tcW w:type="dxa" w:w="2160"/>
          </w:tcPr>
          <w:p>
            <w:r>
              <w:t>Сотрудник-08</w:t>
            </w:r>
          </w:p>
        </w:tc>
      </w:tr>
    </w:tbl>
    <w:p>
      <w:pPr>
        <w:pStyle w:val="Heading2"/>
      </w:pPr>
      <w:r>
        <w:t>5. Действия при неисправности</w:t>
      </w:r>
    </w:p>
    <w:p>
      <w:r>
        <w:t>При обнаружении технической неисправности устройство выводится из эксплуатации, маркируется как недоступное и передаётся инженерной службе для диагностики. Самостоятельное вскрытие корпуса сотрудниками диагностического кабинета не допускается.</w:t>
      </w:r>
    </w:p>
    <w:p>
      <w:pPr>
        <w:pStyle w:val="Heading2"/>
      </w:pPr>
      <w:r>
        <w:t>6. Контрольные факты для RAG</w:t>
      </w:r>
    </w:p>
    <w:p>
      <w:pPr>
        <w:pStyle w:val="ListBullet"/>
      </w:pPr>
      <w:r>
        <w:t>Модель оборудования: MedMonitor X200.</w:t>
      </w:r>
    </w:p>
    <w:p>
      <w:pPr>
        <w:pStyle w:val="ListBullet"/>
      </w:pPr>
      <w:r>
        <w:t>Плановое техническое обслуживание: каждые шесть месяцев.</w:t>
      </w:r>
    </w:p>
    <w:p>
      <w:pPr>
        <w:pStyle w:val="ListBullet"/>
      </w:pPr>
      <w:r>
        <w:t>Проверка аккумулятора: один раз в три месяца.</w:t>
      </w:r>
    </w:p>
    <w:p>
      <w:pPr>
        <w:pStyle w:val="ListBullet"/>
      </w:pPr>
      <w:r>
        <w:t>Минимальный заряд перед сменой: 40 процентов.</w:t>
      </w:r>
    </w:p>
    <w:p>
      <w:pPr>
        <w:pStyle w:val="ListBullet"/>
      </w:pPr>
      <w:r>
        <w:t>Идентификатор тестового устройства: MM-042.</w:t>
      </w:r>
    </w:p>
    <w:p>
      <w:pPr>
        <w:pStyle w:val="ListBullet"/>
      </w:pPr>
      <w:r>
        <w:t>При неисправности устройство выводится из эксплуатации и передаётся инженерной службе.</w:t>
      </w:r>
    </w:p>
    <w:p>
      <w:pPr>
        <w:pStyle w:val="ListBullet"/>
      </w:pPr>
      <w:r>
        <w:t>IP-адрес устройства, стоимость оборудования, имя пациента и название производителя в документе не указаны.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