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drawing>
          <wp:inline distB="0" distT="0" distL="0" distR="0">
            <wp:extent cx="400050" cy="333375"/>
            <wp:effectExtent b="0" l="0" r="0" t="0"/>
            <wp:docPr descr="Andrew’s Data Services logo" id="1" name="image1.png"/>
            <a:graphic>
              <a:graphicData uri="http://schemas.openxmlformats.org/drawingml/2006/picture">
                <pic:pic>
                  <pic:nvPicPr>
                    <pic:cNvPr descr="Andrew’s Data Services logo" id="0" name="image1.png"/>
                    <pic:cNvPicPr preferRelativeResize="0"/>
                  </pic:nvPicPr>
                  <pic:blipFill>
                    <a:blip r:embed="rId6"/>
                    <a:srcRect b="0" l="0" r="0" t="0"/>
                    <a:stretch>
                      <a:fillRect/>
                    </a:stretch>
                  </pic:blipFill>
                  <pic:spPr>
                    <a:xfrm>
                      <a:off x="0" y="0"/>
                      <a:ext cx="4000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 w:lineRule="auto"/>
        <w:rPr/>
      </w:pPr>
      <w:r w:rsidDel="00000000" w:rsidR="00000000" w:rsidRPr="00000000">
        <w:rPr>
          <w:rFonts w:ascii="Arial" w:cs="Arial" w:eastAsia="Arial" w:hAnsi="Arial"/>
          <w:b w:val="1"/>
          <w:bCs w:val="1"/>
          <w:sz w:val="32"/>
          <w:szCs w:val="32"/>
          <w:rtl w:val="0"/>
        </w:rPr>
        <w:t xml:space="preserve">TERMS AND CONDITIONS</w:t>
      </w:r>
      <w:r w:rsidDel="00000000" w:rsidR="00000000" w:rsidRPr="00000000">
        <w:rPr>
          <w:rtl w:val="0"/>
        </w:rPr>
      </w:r>
    </w:p>
    <w:p w:rsidR="00000000" w:rsidDel="00000000" w:rsidP="00000000" w:rsidRDefault="00000000" w:rsidRPr="00000000" w14:paraId="00000003">
      <w:pPr>
        <w:keepLines w:val="0"/>
        <w:spacing w:after="60" w:line="252.00000000000003" w:lineRule="auto"/>
        <w:rPr/>
      </w:pPr>
      <w:r w:rsidDel="00000000" w:rsidR="00000000" w:rsidRPr="00000000">
        <w:rPr>
          <w:rFonts w:ascii="Arial" w:cs="Arial" w:eastAsia="Arial" w:hAnsi="Arial"/>
          <w:color w:val="000000"/>
          <w:sz w:val="20"/>
          <w:szCs w:val="20"/>
          <w:rtl w:val="0"/>
        </w:rPr>
        <w:t xml:space="preserve">Temporary Mutual NDA &amp; Promotional Agreement – free trial and short-term promotional reporting services</w:t>
      </w:r>
      <w:r w:rsidDel="00000000" w:rsidR="00000000" w:rsidRPr="00000000">
        <w:rPr>
          <w:rtl w:val="0"/>
        </w:rPr>
      </w:r>
    </w:p>
    <w:p w:rsidR="00000000" w:rsidDel="00000000" w:rsidP="00000000" w:rsidRDefault="00000000" w:rsidRPr="00000000" w14:paraId="00000004">
      <w:pPr>
        <w:pBdr>
          <w:bottom w:color="999999" w:space="4" w:sz="6" w:val="single"/>
        </w:pBdr>
        <w:spacing w:after="140" w:lineRule="auto"/>
        <w:rPr/>
      </w:pPr>
      <w:r w:rsidDel="00000000" w:rsidR="00000000" w:rsidRPr="00000000">
        <w:rPr>
          <w:rFonts w:ascii="Arial" w:cs="Arial" w:eastAsia="Arial" w:hAnsi="Arial"/>
          <w:color w:val="000000"/>
          <w:sz w:val="18"/>
          <w:szCs w:val="18"/>
          <w:rtl w:val="0"/>
        </w:rPr>
        <w:t xml:space="preserve">Version 1  |  Effective from October 1 2026  |  Published at</w:t>
      </w:r>
      <w:r w:rsidDel="00000000" w:rsidR="00000000" w:rsidRPr="00000000">
        <w:rPr>
          <w:sz w:val="18"/>
          <w:szCs w:val="18"/>
          <w:rtl w:val="0"/>
        </w:rPr>
        <w:t xml:space="preserve"> </w:t>
      </w:r>
      <w:hyperlink r:id="rId7">
        <w:r w:rsidDel="00000000" w:rsidR="00000000" w:rsidRPr="00000000">
          <w:rPr>
            <w:rFonts w:ascii="Arial" w:cs="Arial" w:eastAsia="Arial" w:hAnsi="Arial"/>
            <w:color w:val="1155cc"/>
            <w:sz w:val="18"/>
            <w:szCs w:val="18"/>
            <w:u w:val="single"/>
            <w:rtl w:val="0"/>
          </w:rPr>
          <w:t xml:space="preserve">https://sites.google.com/view/andrewsdataservices/terms-conditions?authuser=1</w:t>
        </w:r>
      </w:hyperlink>
      <w:r w:rsidDel="00000000" w:rsidR="00000000" w:rsidRPr="00000000">
        <w:rPr>
          <w:rtl w:val="0"/>
        </w:rPr>
      </w:r>
    </w:p>
    <w:p w:rsidR="00000000" w:rsidDel="00000000" w:rsidP="00000000" w:rsidRDefault="00000000" w:rsidRPr="00000000" w14:paraId="00000005">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SERVICE PROVIDER:</w:t>
      </w:r>
      <w:r w:rsidDel="00000000" w:rsidR="00000000" w:rsidRPr="00000000">
        <w:rPr>
          <w:rFonts w:ascii="Arial" w:cs="Arial" w:eastAsia="Arial" w:hAnsi="Arial"/>
          <w:color w:val="000000"/>
          <w:sz w:val="19"/>
          <w:szCs w:val="19"/>
          <w:rtl w:val="0"/>
        </w:rPr>
        <w:t xml:space="preserve"> Andrew Ryton (legal name:</w:t>
      </w:r>
      <w:r w:rsidDel="00000000" w:rsidR="00000000" w:rsidRPr="00000000">
        <w:rPr>
          <w:rtl w:val="0"/>
        </w:rPr>
        <w:t xml:space="preserve"> Dorin-Andrei Dancea</w:t>
      </w:r>
      <w:r w:rsidDel="00000000" w:rsidR="00000000" w:rsidRPr="00000000">
        <w:rPr>
          <w:rFonts w:ascii="Arial" w:cs="Arial" w:eastAsia="Arial" w:hAnsi="Arial"/>
          <w:color w:val="000000"/>
          <w:sz w:val="19"/>
          <w:szCs w:val="19"/>
          <w:rtl w:val="0"/>
        </w:rPr>
        <w:t xml:space="preserve">), trading as Andrew’s Data Services. Email: support@andrewsdataservices.online. </w:t>
      </w:r>
      <w:r w:rsidDel="00000000" w:rsidR="00000000" w:rsidRPr="00000000">
        <w:rPr>
          <w:rtl w:val="0"/>
        </w:rPr>
        <w:t xml:space="preserve">Individual sole trader (no separate entity)</w:t>
      </w:r>
      <w:r w:rsidDel="00000000" w:rsidR="00000000" w:rsidRPr="00000000">
        <w:rPr>
          <w:rFonts w:ascii="Arial" w:cs="Arial" w:eastAsia="Arial" w:hAnsi="Arial"/>
          <w:color w:val="000000"/>
          <w:sz w:val="19"/>
          <w:szCs w:val="19"/>
          <w:rtl w:val="0"/>
        </w:rPr>
        <w:t xml:space="preserve">. The “Provider”.</w:t>
      </w:r>
      <w:r w:rsidDel="00000000" w:rsidR="00000000" w:rsidRPr="00000000">
        <w:rPr>
          <w:rtl w:val="0"/>
        </w:rPr>
      </w:r>
    </w:p>
    <w:p w:rsidR="00000000" w:rsidDel="00000000" w:rsidP="00000000" w:rsidRDefault="00000000" w:rsidRPr="00000000" w14:paraId="00000006">
      <w:pPr>
        <w:keepLines w:val="0"/>
        <w:spacing w:after="100" w:line="252.00000000000003" w:lineRule="auto"/>
        <w:rPr/>
      </w:pPr>
      <w:r w:rsidDel="00000000" w:rsidR="00000000" w:rsidRPr="00000000">
        <w:rPr>
          <w:rFonts w:ascii="Arial" w:cs="Arial" w:eastAsia="Arial" w:hAnsi="Arial"/>
          <w:b w:val="1"/>
          <w:bCs w:val="1"/>
          <w:color w:val="000000"/>
          <w:sz w:val="19"/>
          <w:szCs w:val="19"/>
          <w:rtl w:val="0"/>
        </w:rPr>
        <w:t xml:space="preserve">Application.</w:t>
      </w:r>
      <w:r w:rsidDel="00000000" w:rsidR="00000000" w:rsidRPr="00000000">
        <w:rPr>
          <w:rFonts w:ascii="Arial" w:cs="Arial" w:eastAsia="Arial" w:hAnsi="Arial"/>
          <w:color w:val="000000"/>
          <w:sz w:val="19"/>
          <w:szCs w:val="19"/>
          <w:rtl w:val="0"/>
        </w:rPr>
        <w:t xml:space="preserve"> These Terms apply to every Service Order Form accepted by a client (the “Client”) with the Provider. By accepting an Order Form by an agreed method, the Client agrees to these Terms. The Effective Date is the date acceptance is completed under section 16. An offer lapses and becomes null and void if not accepted by the date stated in the Order Form. “Client Data” means files, exports and information supplied by or for the Client.</w:t>
      </w:r>
      <w:r w:rsidDel="00000000" w:rsidR="00000000" w:rsidRPr="00000000">
        <w:rPr>
          <w:rtl w:val="0"/>
        </w:rPr>
      </w:r>
    </w:p>
    <w:p w:rsidR="00000000" w:rsidDel="00000000" w:rsidP="00000000" w:rsidRDefault="00000000" w:rsidRPr="00000000" w14:paraId="00000007">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1. PURPOSE, ORDER FORM AND PRECEDENCE.</w:t>
      </w:r>
      <w:r w:rsidDel="00000000" w:rsidR="00000000" w:rsidRPr="00000000">
        <w:rPr>
          <w:rFonts w:ascii="Arial" w:cs="Arial" w:eastAsia="Arial" w:hAnsi="Arial"/>
          <w:color w:val="000000"/>
          <w:sz w:val="19"/>
          <w:szCs w:val="19"/>
          <w:rtl w:val="0"/>
        </w:rPr>
        <w:t xml:space="preserve"> These Terms govern the Client’s 14-calendar-day free trial and any short-term promotional reporting service ordered under a Service Order Form (the “Order Form”). Together, the Order Form and these Terms are the “Agreement”, covering limits, fees, confidentiality, data handling, deliverables, termination and liability. The Order Form states the order details (service, trial, fees, batch limits and cancellation periods); if there is a conflict, the Order Form prevails on those details and these Terms prevail on everything else. Operational details (deadlines, platforms, fields, retention) may be agreed by email; changes to commercial or liability terms must identify the clause and be accepted in writing by both parties. The version of these Terms identified in the Order Form applies to that order; later versions apply only to new orders unless both parties agree in writing. The person accepting for a business confirms they are authorised to bind it.</w:t>
      </w:r>
      <w:r w:rsidDel="00000000" w:rsidR="00000000" w:rsidRPr="00000000">
        <w:rPr>
          <w:rtl w:val="0"/>
        </w:rPr>
      </w:r>
    </w:p>
    <w:p w:rsidR="00000000" w:rsidDel="00000000" w:rsidP="00000000" w:rsidRDefault="00000000" w:rsidRPr="00000000" w14:paraId="00000008">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2. SERVICE SCOPE AND LIMITS.</w:t>
      </w:r>
      <w:r w:rsidDel="00000000" w:rsidR="00000000" w:rsidRPr="00000000">
        <w:rPr>
          <w:rFonts w:ascii="Arial" w:cs="Arial" w:eastAsia="Arial" w:hAnsi="Arial"/>
          <w:color w:val="000000"/>
          <w:sz w:val="19"/>
          <w:szCs w:val="19"/>
          <w:rtl w:val="0"/>
        </w:rPr>
        <w:t xml:space="preserve"> The Provider cleans, standardises and consolidates Client-supplied exports into spreadsheets and, if agreed, a Looker Studio dashboard and a brief email noting up to three strongest and three weakest ads where the data supports a meaningful comparison. Strategy, campaign management and lengthy reports are excluded unless agreed in writing. Supported sources include Google Ads, Meta Ads, LinkedIn Ads, TikTok Ads, Amazon Ads, Microsoft/Bing Ads, Pinterest Ads, X, Shopify, GA4 and other platforms agreed in writing. The Client supplies exported copies; no platform login/API access is normally required.</w:t>
      </w:r>
      <w:r w:rsidDel="00000000" w:rsidR="00000000" w:rsidRPr="00000000">
        <w:rPr>
          <w:rtl w:val="0"/>
        </w:rPr>
      </w:r>
    </w:p>
    <w:p w:rsidR="00000000" w:rsidDel="00000000" w:rsidP="00000000" w:rsidRDefault="00000000" w:rsidRPr="00000000" w14:paraId="00000009">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3. STANDARD BATCH LIMITS.</w:t>
      </w:r>
      <w:r w:rsidDel="00000000" w:rsidR="00000000" w:rsidRPr="00000000">
        <w:rPr>
          <w:rFonts w:ascii="Arial" w:cs="Arial" w:eastAsia="Arial" w:hAnsi="Arial"/>
          <w:color w:val="000000"/>
          <w:sz w:val="19"/>
          <w:szCs w:val="19"/>
          <w:rtl w:val="0"/>
        </w:rPr>
        <w:t xml:space="preserve"> Unless changed in writing, each weekly batch covers up to 5 end-client accounts, 15 source files/exports, 1,000 data rows in total (excluding headers) and 16 columns per file. Standard output fields: Client_ID, Date, Platform, Campaign_ID, Campaign_Name, Spend, Impressions, Clicks, Conversions, Revenue, CTR, CPC, CPA, CVR, ROAS and CPM; up to two more (18 maximum) may be added in writing. Excess work may be deferred, reformatted or quoted; no extra fee applies unless agreed by email beforehand.</w:t>
      </w:r>
      <w:r w:rsidDel="00000000" w:rsidR="00000000" w:rsidRPr="00000000">
        <w:rPr>
          <w:rtl w:val="0"/>
        </w:rPr>
      </w:r>
    </w:p>
    <w:p w:rsidR="00000000" w:rsidDel="00000000" w:rsidP="00000000" w:rsidRDefault="00000000" w:rsidRPr="00000000" w14:paraId="0000000A">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4. DELIVERY AND CLIENT DUTIES.</w:t>
      </w:r>
      <w:r w:rsidDel="00000000" w:rsidR="00000000" w:rsidRPr="00000000">
        <w:rPr>
          <w:rFonts w:ascii="Arial" w:cs="Arial" w:eastAsia="Arial" w:hAnsi="Arial"/>
          <w:color w:val="000000"/>
          <w:sz w:val="19"/>
          <w:szCs w:val="19"/>
          <w:rtl w:val="0"/>
        </w:rPr>
        <w:t xml:space="preserve"> Target delivery is 48 hours after complete, usable files are received. For the Monday cycle, a complete batch received by 11:59 p.m. Saturday (Client’s time zone) is targeted for delivery by 9:00 a.m. Monday. Targets do not apply to late, incomplete, corrupted or out-of-scope files, and the clock pauses while clarification or replacements are needed. The Client must provide lawful, authorised data, retain originals, ensure files are accurate and within limits, and remove or mask unnecessary personal or sensitive fields. The Provider need not verify source data with platforms and may exclude fields creating privacy/security risk.</w:t>
      </w:r>
      <w:r w:rsidDel="00000000" w:rsidR="00000000" w:rsidRPr="00000000">
        <w:rPr>
          <w:rtl w:val="0"/>
        </w:rPr>
      </w:r>
    </w:p>
    <w:p w:rsidR="00000000" w:rsidDel="00000000" w:rsidP="00000000" w:rsidRDefault="00000000" w:rsidRPr="00000000" w14:paraId="0000000B">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5. FREE TRIAL AND FEES.</w:t>
      </w:r>
      <w:r w:rsidDel="00000000" w:rsidR="00000000" w:rsidRPr="00000000">
        <w:rPr>
          <w:rFonts w:ascii="Arial" w:cs="Arial" w:eastAsia="Arial" w:hAnsi="Arial"/>
          <w:color w:val="000000"/>
          <w:sz w:val="19"/>
          <w:szCs w:val="19"/>
          <w:rtl w:val="0"/>
        </w:rPr>
        <w:t xml:space="preserve"> The trial lasts 14 calendar days, costs USD $0, needs no payment details and does not convert automatically to paid service. Paid options: USD $299 per activated service month (up to two promotional months) or a single USD $897 prepayment for up to three months, due by the date stated in the Order Form (by default, the second Wednesday of the service month) unless agreed otherwise in writing. The Provider may pause delivery while payment is overdue. Taxes required by law will be handled accordingly; RULL.io may be used for payment/invoicing only. No automatic renewal applies; one transition month at $299 may be agreed in writing, and further work needs a new agreement. No unapproved extras are charged.</w:t>
      </w:r>
      <w:r w:rsidDel="00000000" w:rsidR="00000000" w:rsidRPr="00000000">
        <w:rPr>
          <w:rtl w:val="0"/>
        </w:rPr>
      </w:r>
    </w:p>
    <w:p w:rsidR="00000000" w:rsidDel="00000000" w:rsidP="00000000" w:rsidRDefault="00000000" w:rsidRPr="00000000" w14:paraId="0000000C">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6. CANCELLATION AND REFUNDS.</w:t>
      </w:r>
      <w:r w:rsidDel="00000000" w:rsidR="00000000" w:rsidRPr="00000000">
        <w:rPr>
          <w:rFonts w:ascii="Arial" w:cs="Arial" w:eastAsia="Arial" w:hAnsi="Arial"/>
          <w:color w:val="000000"/>
          <w:sz w:val="19"/>
          <w:szCs w:val="19"/>
          <w:rtl w:val="0"/>
        </w:rPr>
        <w:t xml:space="preserve"> Either party may terminate without cause by email notice: Provider 14 calendar days, Client 7. Termination takes effect at the end of notice unless an earlier date is agreed. If a monthly $299 month is cancelled, the Provider refunds 50% of that month’s fee. For the $897 prepayment, the Provider retains the greater of (a) $299 or (b) the pro-rata fee for the elapsed period to the termination date, and refunds the balance (halfway: retain $448.50/refund $448.50; after one month: retain $299/refund $598). Refunds are initiated within 3 calendar days of the Client’s email request, or of confirming the amount if the Provider terminates; arrival depends on payment providers/banks. Mandatory rights are not waived.</w:t>
      </w:r>
      <w:r w:rsidDel="00000000" w:rsidR="00000000" w:rsidRPr="00000000">
        <w:rPr>
          <w:rtl w:val="0"/>
        </w:rPr>
      </w:r>
    </w:p>
    <w:p w:rsidR="00000000" w:rsidDel="00000000" w:rsidP="00000000" w:rsidRDefault="00000000" w:rsidRPr="00000000" w14:paraId="0000000D">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7. MUTUAL CONFIDENTIALITY.</w:t>
      </w:r>
      <w:r w:rsidDel="00000000" w:rsidR="00000000" w:rsidRPr="00000000">
        <w:rPr>
          <w:rFonts w:ascii="Arial" w:cs="Arial" w:eastAsia="Arial" w:hAnsi="Arial"/>
          <w:color w:val="000000"/>
          <w:sz w:val="19"/>
          <w:szCs w:val="19"/>
          <w:rtl w:val="0"/>
        </w:rPr>
        <w:t xml:space="preserve"> Each party must keep the other’s non-public information confidential, use it only for this service and protect it with reasonable care. Disclosure is allowed only to bound advisers/service providers who need to know, or where law requires (with advance notice where permitted). Information that is lawfully public, already known, independently developed or lawfully received from a third party is excluded. Client Data will not be sold, published, shared with other clients, used for advertising, uploaded to AI tools or used to train AI models. Client names, logos, samples and results will not be used for portfolio, case study, testimonial or marketing purposes without written permission. Duties continue while information remains confidential or legally protected.</w:t>
      </w:r>
      <w:r w:rsidDel="00000000" w:rsidR="00000000" w:rsidRPr="00000000">
        <w:rPr>
          <w:rtl w:val="0"/>
        </w:rPr>
      </w:r>
    </w:p>
    <w:p w:rsidR="00000000" w:rsidDel="00000000" w:rsidP="00000000" w:rsidRDefault="00000000" w:rsidRPr="00000000" w14:paraId="0000000E">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8. STORAGE, RETENTION AND DELETION.</w:t>
      </w:r>
      <w:r w:rsidDel="00000000" w:rsidR="00000000" w:rsidRPr="00000000">
        <w:rPr>
          <w:rFonts w:ascii="Arial" w:cs="Arial" w:eastAsia="Arial" w:hAnsi="Arial"/>
          <w:color w:val="000000"/>
          <w:sz w:val="19"/>
          <w:szCs w:val="19"/>
          <w:rtl w:val="0"/>
        </w:rPr>
        <w:t xml:space="preserve"> Default upload is a password-protected Proton Drive folder sent by email; upload copies, not originals. Raw files and working copies are deleted at the next Sunday cycle, no later than 14 calendar days after upload. Deliverables and dashboard data are retained 14 calendar days after delivery or termination, unless a retention period from 24 hours to 10 years is agreed in writing (identifying covered data and start/end point), at an additional fee unless agreed otherwise. Dashboard availability depends on third-party services. The Provider will take reasonable steps to delete data in workspaces it controls but cannot control third-party backups or deletion cycles; mandatory legal retention applies.</w:t>
      </w:r>
      <w:r w:rsidDel="00000000" w:rsidR="00000000" w:rsidRPr="00000000">
        <w:rPr>
          <w:rtl w:val="0"/>
        </w:rPr>
      </w:r>
    </w:p>
    <w:p w:rsidR="00000000" w:rsidDel="00000000" w:rsidP="00000000" w:rsidRDefault="00000000" w:rsidRPr="00000000" w14:paraId="0000000F">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9. OWNERSHIP AND DELIVERABLES.</w:t>
      </w:r>
      <w:r w:rsidDel="00000000" w:rsidR="00000000" w:rsidRPr="00000000">
        <w:rPr>
          <w:rFonts w:ascii="Arial" w:cs="Arial" w:eastAsia="Arial" w:hAnsi="Arial"/>
          <w:color w:val="000000"/>
          <w:sz w:val="19"/>
          <w:szCs w:val="19"/>
          <w:rtl w:val="0"/>
        </w:rPr>
        <w:t xml:space="preserve"> The Client retains its Client Data. Once fees are paid, the Client owns bespoke final spreadsheets, reports and dashboard configurations and may use, modify, share or resell them without licence fees. The Provider retains pre-existing templates, formulas, methods and tools, and grants the Client a perpetual, worldwide, non-exclusive, royalty-free licence to use any embedded in a paid deliverable. The Client must download deliverables within the retention period; perpetual hosting is not promised.</w:t>
      </w:r>
      <w:r w:rsidDel="00000000" w:rsidR="00000000" w:rsidRPr="00000000">
        <w:rPr>
          <w:rtl w:val="0"/>
        </w:rPr>
      </w:r>
    </w:p>
    <w:p w:rsidR="00000000" w:rsidDel="00000000" w:rsidP="00000000" w:rsidRDefault="00000000" w:rsidRPr="00000000" w14:paraId="00000010">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10. DATA PROTECTION.</w:t>
      </w:r>
      <w:r w:rsidDel="00000000" w:rsidR="00000000" w:rsidRPr="00000000">
        <w:rPr>
          <w:rFonts w:ascii="Arial" w:cs="Arial" w:eastAsia="Arial" w:hAnsi="Arial"/>
          <w:color w:val="000000"/>
          <w:sz w:val="19"/>
          <w:szCs w:val="19"/>
          <w:rtl w:val="0"/>
        </w:rPr>
        <w:t xml:space="preserve"> The service is for campaign and reporting metrics, not customer dossiers. Do not upload special-category data, passwords, card details, government identifiers or other sensitive personal data; mask unneeded personal data. The Client is responsible for the legal basis, notices and authority to supply personal data. The Provider processes it only to provide the service and on documented instructions, limits access, applies reasonable security, does not audit the Client’s legal basis or every file, notifies the Client without undue delay of a personal-data breach, and reasonably assists with lawful data-subject/compliance requests.</w:t>
      </w:r>
      <w:r w:rsidDel="00000000" w:rsidR="00000000" w:rsidRPr="00000000">
        <w:rPr>
          <w:rtl w:val="0"/>
        </w:rPr>
      </w:r>
    </w:p>
    <w:p w:rsidR="00000000" w:rsidDel="00000000" w:rsidP="00000000" w:rsidRDefault="00000000" w:rsidRPr="00000000" w14:paraId="00000011">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11. THIRD-PARTY PLATFORMS.</w:t>
      </w:r>
      <w:r w:rsidDel="00000000" w:rsidR="00000000" w:rsidRPr="00000000">
        <w:rPr>
          <w:rFonts w:ascii="Arial" w:cs="Arial" w:eastAsia="Arial" w:hAnsi="Arial"/>
          <w:color w:val="000000"/>
          <w:sz w:val="19"/>
          <w:szCs w:val="19"/>
          <w:rtl w:val="0"/>
        </w:rPr>
        <w:t xml:space="preserve"> Google Sheets is the dashboard data source, Looker Studio presents dashboards, Proton Drive handles uploads/temporary storage and RULL.io handles payment/invoicing only. These services follow their own terms, infrastructure and deletion policies; the Provider does not control them or guarantee they are immune from incidents. Data may be stored in locations chosen by the provider; required transfer safeguards will be implemented.</w:t>
      </w:r>
      <w:r w:rsidDel="00000000" w:rsidR="00000000" w:rsidRPr="00000000">
        <w:rPr>
          <w:rtl w:val="0"/>
        </w:rPr>
      </w:r>
    </w:p>
    <w:p w:rsidR="00000000" w:rsidDel="00000000" w:rsidP="00000000" w:rsidRDefault="00000000" w:rsidRPr="00000000" w14:paraId="00000012">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12. QUALITY AND CLIENT DECISIONS.</w:t>
      </w:r>
      <w:r w:rsidDel="00000000" w:rsidR="00000000" w:rsidRPr="00000000">
        <w:rPr>
          <w:rFonts w:ascii="Arial" w:cs="Arial" w:eastAsia="Arial" w:hAnsi="Arial"/>
          <w:color w:val="000000"/>
          <w:sz w:val="19"/>
          <w:szCs w:val="19"/>
          <w:rtl w:val="0"/>
        </w:rPr>
        <w:t xml:space="preserve"> For each batch the Provider checks at least the greater of 3 source files or 30% of files (rounded up; all files if fewer than 3), compares sampled output with source data and performs two Excel cross-checks. If a discrepancy of 1% or more is found, or figures cannot reasonably be validated, the Provider will reprocess and redeliver affected reporting at no extra fee where possible, for errors from its processing (not source-file or platform issues). At least 24 hours’ notice of a revised deadline will be given where practicable. Checks are not exhaustive and do not guarantee error-free output; platform definitions, attribution and time zones may cause legitimate differences. The service is not legal, tax, accounting, financial, investment or marketing advice and guarantees no business outcome. The Client must review material outputs and remains responsible for its decisions.</w:t>
      </w:r>
      <w:r w:rsidDel="00000000" w:rsidR="00000000" w:rsidRPr="00000000">
        <w:rPr>
          <w:rtl w:val="0"/>
        </w:rPr>
      </w:r>
    </w:p>
    <w:p w:rsidR="00000000" w:rsidDel="00000000" w:rsidP="00000000" w:rsidRDefault="00000000" w:rsidRPr="00000000" w14:paraId="00000013">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13. LIABILITY LIMIT.</w:t>
      </w:r>
      <w:r w:rsidDel="00000000" w:rsidR="00000000" w:rsidRPr="00000000">
        <w:rPr>
          <w:rFonts w:ascii="Arial" w:cs="Arial" w:eastAsia="Arial" w:hAnsi="Arial"/>
          <w:color w:val="000000"/>
          <w:sz w:val="19"/>
          <w:szCs w:val="19"/>
          <w:rtl w:val="0"/>
        </w:rPr>
        <w:t xml:space="preserve"> To the maximum extent permitted by law, the Provider’s total aggregate liability arising from this Agreement will not exceed USD $500 across all claims. The Provider is not liable for indirect, incidental, special or consequential loss, lost profits, revenue, opportunities or goodwill, business interruption, or losses caused by inaccurate, incomplete or late Client Data, third-party outages or unreviewed outputs. Nothing excludes liability or rights that cannot lawfully be excluded, including data-protection duties.</w:t>
      </w:r>
      <w:r w:rsidDel="00000000" w:rsidR="00000000" w:rsidRPr="00000000">
        <w:rPr>
          <w:rtl w:val="0"/>
        </w:rPr>
      </w:r>
    </w:p>
    <w:p w:rsidR="00000000" w:rsidDel="00000000" w:rsidP="00000000" w:rsidRDefault="00000000" w:rsidRPr="00000000" w14:paraId="00000014">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14. SUSPENSION, TERMINATION FOR CAUSE AND DISPUTES.</w:t>
      </w:r>
      <w:r w:rsidDel="00000000" w:rsidR="00000000" w:rsidRPr="00000000">
        <w:rPr>
          <w:rFonts w:ascii="Arial" w:cs="Arial" w:eastAsia="Arial" w:hAnsi="Arial"/>
          <w:color w:val="000000"/>
          <w:sz w:val="19"/>
          <w:szCs w:val="19"/>
          <w:rtl w:val="0"/>
        </w:rPr>
        <w:t xml:space="preserve"> The Provider may suspend processing or terminate by written notice if the Client fails to pay after notice, requests unlawful processing, provides data posing a material security risk, or materially exceeds scope without remedy after a reasonable request; where possible the Provider will explain and allow correction. Either party may terminate for a material breach unremedied 7 calendar days after written notice. Accrued fees and surviving provisions (confidentiality, data protection, ownership, deletion) remain effective. Before formal proceedings, the parties will try in good faith to resolve disputes by email; urgent relief and mandatory legal deadlines remain available.</w:t>
      </w:r>
      <w:r w:rsidDel="00000000" w:rsidR="00000000" w:rsidRPr="00000000">
        <w:rPr>
          <w:rtl w:val="0"/>
        </w:rPr>
      </w:r>
    </w:p>
    <w:p w:rsidR="00000000" w:rsidDel="00000000" w:rsidP="00000000" w:rsidRDefault="00000000" w:rsidRPr="00000000" w14:paraId="00000015">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15. GENERAL TERMS.</w:t>
      </w:r>
      <w:r w:rsidDel="00000000" w:rsidR="00000000" w:rsidRPr="00000000">
        <w:rPr>
          <w:rFonts w:ascii="Arial" w:cs="Arial" w:eastAsia="Arial" w:hAnsi="Arial"/>
          <w:color w:val="000000"/>
          <w:sz w:val="19"/>
          <w:szCs w:val="19"/>
          <w:rtl w:val="0"/>
        </w:rPr>
        <w:t xml:space="preserve"> This Agreement, including sections 17–18, replaces prior discussions on this service except written project details expressly incorporated. Unenforceable provisions are limited only as necessary. Neither party may assign without written consent, except the Provider may use the service providers named here. Notices may be emailed to the addresses stated in the Order Form and are received when sent without a delivery-failure notice. No third party receives contractual rights, except where law provides otherwise.</w:t>
      </w:r>
      <w:r w:rsidDel="00000000" w:rsidR="00000000" w:rsidRPr="00000000">
        <w:rPr>
          <w:rtl w:val="0"/>
        </w:rPr>
      </w:r>
    </w:p>
    <w:p w:rsidR="00000000" w:rsidDel="00000000" w:rsidP="00000000" w:rsidRDefault="00000000" w:rsidRPr="00000000" w14:paraId="00000016">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16. ACCEPTANCE METHOD.</w:t>
      </w:r>
      <w:r w:rsidDel="00000000" w:rsidR="00000000" w:rsidRPr="00000000">
        <w:rPr>
          <w:rFonts w:ascii="Arial" w:cs="Arial" w:eastAsia="Arial" w:hAnsi="Arial"/>
          <w:color w:val="000000"/>
          <w:sz w:val="19"/>
          <w:szCs w:val="19"/>
          <w:rtl w:val="0"/>
        </w:rPr>
        <w:t xml:space="preserve"> Before acceptance, both parties must agree by email which </w:t>
      </w:r>
      <w:r w:rsidDel="00000000" w:rsidR="00000000" w:rsidRPr="00000000">
        <w:rPr>
          <w:rFonts w:ascii="Arial" w:cs="Arial" w:eastAsia="Arial" w:hAnsi="Arial"/>
          <w:b w:val="1"/>
          <w:bCs w:val="1"/>
          <w:color w:val="000000"/>
          <w:sz w:val="19"/>
          <w:szCs w:val="19"/>
          <w:rtl w:val="0"/>
        </w:rPr>
        <w:t xml:space="preserve">one</w:t>
      </w:r>
      <w:r w:rsidDel="00000000" w:rsidR="00000000" w:rsidRPr="00000000">
        <w:rPr>
          <w:rFonts w:ascii="Arial" w:cs="Arial" w:eastAsia="Arial" w:hAnsi="Arial"/>
          <w:color w:val="000000"/>
          <w:sz w:val="19"/>
          <w:szCs w:val="19"/>
          <w:rtl w:val="0"/>
        </w:rPr>
        <w:t xml:space="preserve"> method applies: (a) </w:t>
      </w:r>
      <w:r w:rsidDel="00000000" w:rsidR="00000000" w:rsidRPr="00000000">
        <w:rPr>
          <w:rFonts w:ascii="Arial" w:cs="Arial" w:eastAsia="Arial" w:hAnsi="Arial"/>
          <w:b w:val="1"/>
          <w:bCs w:val="1"/>
          <w:color w:val="000000"/>
          <w:sz w:val="19"/>
          <w:szCs w:val="19"/>
          <w:rtl w:val="0"/>
        </w:rPr>
        <w:t xml:space="preserve">CSV upload</w:t>
      </w:r>
      <w:r w:rsidDel="00000000" w:rsidR="00000000" w:rsidRPr="00000000">
        <w:rPr>
          <w:rFonts w:ascii="Arial" w:cs="Arial" w:eastAsia="Arial" w:hAnsi="Arial"/>
          <w:color w:val="000000"/>
          <w:sz w:val="19"/>
          <w:szCs w:val="19"/>
          <w:rtl w:val="0"/>
        </w:rPr>
        <w:t xml:space="preserve"> — the Client uploads a CSV file of service data to the Provider’s designated Proton Drive folder after the Provider has emailed the folder details and an invitation to proceed; or (b) </w:t>
      </w:r>
      <w:r w:rsidDel="00000000" w:rsidR="00000000" w:rsidRPr="00000000">
        <w:rPr>
          <w:rFonts w:ascii="Arial" w:cs="Arial" w:eastAsia="Arial" w:hAnsi="Arial"/>
          <w:b w:val="1"/>
          <w:bCs w:val="1"/>
          <w:color w:val="000000"/>
          <w:sz w:val="19"/>
          <w:szCs w:val="19"/>
          <w:rtl w:val="0"/>
        </w:rPr>
        <w:t xml:space="preserve">electronic signature</w:t>
      </w:r>
      <w:r w:rsidDel="00000000" w:rsidR="00000000" w:rsidRPr="00000000">
        <w:rPr>
          <w:rFonts w:ascii="Arial" w:cs="Arial" w:eastAsia="Arial" w:hAnsi="Arial"/>
          <w:color w:val="000000"/>
          <w:sz w:val="19"/>
          <w:szCs w:val="19"/>
          <w:rtl w:val="0"/>
        </w:rPr>
        <w:t xml:space="preserve"> — both parties sign the Order Form electronically and exchange copies. Acceptance by any method not agreed beforehand (such as an email reply or payment alone) is not valid. Under (a), the invitation email and the upload constitute documented acceptance; under (b), the Agreement takes effect when both have signed. Acceptance of the Order Form by an agreed method is also acceptance of these Terms. The Provider will keep a reasonable record of the method, date and Terms version, and an electronic copy may evidence the terms and acceptance to the extent permitted by law.</w:t>
      </w:r>
      <w:r w:rsidDel="00000000" w:rsidR="00000000" w:rsidRPr="00000000">
        <w:rPr>
          <w:rtl w:val="0"/>
        </w:rPr>
      </w:r>
    </w:p>
    <w:p w:rsidR="00000000" w:rsidDel="00000000" w:rsidP="00000000" w:rsidRDefault="00000000" w:rsidRPr="00000000" w14:paraId="00000017">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17. DATA-PROCESSING TERMS (WHERE PROVIDER IS A PROCESSOR).</w:t>
      </w:r>
      <w:r w:rsidDel="00000000" w:rsidR="00000000" w:rsidRPr="00000000">
        <w:rPr>
          <w:rFonts w:ascii="Arial" w:cs="Arial" w:eastAsia="Arial" w:hAnsi="Arial"/>
          <w:color w:val="000000"/>
          <w:sz w:val="19"/>
          <w:szCs w:val="19"/>
          <w:rtl w:val="0"/>
        </w:rPr>
        <w:t xml:space="preserve"> Where law treats the Client as controller and the Provider as processor, these terms apply and control. Purpose: handling exports to clean, standardise, consolidate, calculate and present agreed spreadsheets/dashboards during the trial/service and any agreed retention, including receiving, sorting, extracting, combining, storing, sharing and deleting data. Data generally covers campaign IDs/names, dates, spend, impressions, clicks, conversions, revenue and derived metrics; if identifiers appear, data subjects may include the Client’s leads/customers, employees or account users. Prohibited uploads are listed in section 10. The Provider follows documented instructions, flags instructions it believes unlawful where permitted, and ensures authorised persons are bound by confidentiality. Security measures include password-protected uploads, limited access, platform controls, minimised copies, scheduled deletion and no AI upload/training; no system is guaranteed incident-proof.</w:t>
      </w:r>
      <w:r w:rsidDel="00000000" w:rsidR="00000000" w:rsidRPr="00000000">
        <w:rPr>
          <w:rtl w:val="0"/>
        </w:rPr>
      </w:r>
    </w:p>
    <w:p w:rsidR="00000000" w:rsidDel="00000000" w:rsidP="00000000" w:rsidRDefault="00000000" w:rsidRPr="00000000" w14:paraId="00000018">
      <w:pPr>
        <w:keepLines w:val="0"/>
        <w:spacing w:after="90" w:line="252.00000000000003" w:lineRule="auto"/>
        <w:rPr/>
      </w:pPr>
      <w:r w:rsidDel="00000000" w:rsidR="00000000" w:rsidRPr="00000000">
        <w:rPr>
          <w:rFonts w:ascii="Arial" w:cs="Arial" w:eastAsia="Arial" w:hAnsi="Arial"/>
          <w:b w:val="1"/>
          <w:bCs w:val="1"/>
          <w:color w:val="000000"/>
          <w:sz w:val="19"/>
          <w:szCs w:val="19"/>
          <w:rtl w:val="0"/>
        </w:rPr>
        <w:t xml:space="preserve">18. SUBPROCESSORS, ASSISTANCE AND AUDITS.</w:t>
      </w:r>
      <w:r w:rsidDel="00000000" w:rsidR="00000000" w:rsidRPr="00000000">
        <w:rPr>
          <w:rFonts w:ascii="Arial" w:cs="Arial" w:eastAsia="Arial" w:hAnsi="Arial"/>
          <w:color w:val="000000"/>
          <w:sz w:val="19"/>
          <w:szCs w:val="19"/>
          <w:rtl w:val="0"/>
        </w:rPr>
        <w:t xml:space="preserve"> The Client authorises Proton Drive (uploads/temporary storage), Google Sheets (spreadsheet/dashboard data), Looker Studio (dashboards) and RULL.io (payments/invoicing; no Client CSVs). The Provider will email notice of material changes affecting personal-data processing; the Client may object within 10 calendar days, and if no workable solution exists either party may terminate the affected service subject to the refund/retention terms. The Provider will reasonably assist with data-subject requests, security, breach response, impact assessments and regulator consultation. Audits need 10 calendar days’ notice, reasonable scope and hours, must protect other clients’ information, and are at the Client’s cost unless required by a competent authority or revealing material non-compliance. After service ends, data under the Provider’s control will be made available or deleted at the Client’s choice, subject to retention periods and legal requirements.</w:t>
      </w:r>
      <w:r w:rsidDel="00000000" w:rsidR="00000000" w:rsidRPr="00000000">
        <w:rPr>
          <w:rtl w:val="0"/>
        </w:rPr>
      </w:r>
    </w:p>
    <w:sectPr>
      <w:footerReference r:id="rId8" w:type="default"/>
      <w:pgSz w:h="15840" w:w="12240" w:orient="portrait"/>
      <w:pgMar w:bottom="800" w:top="1000" w:left="936" w:right="936"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right"/>
      <w:rPr/>
    </w:pPr>
    <w:r w:rsidDel="00000000" w:rsidR="00000000" w:rsidRPr="00000000">
      <w:rPr>
        <w:rFonts w:ascii="Arial" w:cs="Arial" w:eastAsia="Arial" w:hAnsi="Arial"/>
        <w:sz w:val="16"/>
        <w:szCs w:val="16"/>
        <w:rtl w:val="0"/>
      </w:rPr>
      <w:t xml:space="preserve">Andrew’s Data Services | Terms and Conditions • Page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of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ites.google.com/view/andrewsdataservices/terms-conditions?authuser=1"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