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8D68" w14:textId="77777777" w:rsidR="00B572D6" w:rsidRDefault="002658F7" w:rsidP="00960334">
      <w:pPr>
        <w:pStyle w:val="Heading1"/>
      </w:pPr>
      <w:r>
        <w:t>Problem set 2020-1</w:t>
      </w:r>
    </w:p>
    <w:p w14:paraId="4C34B8BB" w14:textId="77777777" w:rsidR="002658F7" w:rsidRDefault="002658F7"/>
    <w:p w14:paraId="1D9FB1C8" w14:textId="77777777" w:rsidR="002658F7" w:rsidRDefault="002658F7"/>
    <w:p w14:paraId="127402F3" w14:textId="77777777" w:rsidR="001F5BC4" w:rsidRDefault="001F5BC4" w:rsidP="00B572D6">
      <w:pPr>
        <w:pStyle w:val="ListParagraph"/>
        <w:numPr>
          <w:ilvl w:val="0"/>
          <w:numId w:val="1"/>
        </w:numPr>
      </w:pPr>
      <w:r>
        <w:t>(10)</w:t>
      </w:r>
    </w:p>
    <w:p w14:paraId="07A1EE16" w14:textId="691C1960" w:rsidR="002658F7" w:rsidRPr="006623B8" w:rsidRDefault="002658F7" w:rsidP="001F5BC4">
      <w:pPr>
        <w:pStyle w:val="ListParagraph"/>
        <w:rPr>
          <w:b/>
          <w:bCs/>
        </w:rPr>
      </w:pPr>
      <w:r>
        <w:t xml:space="preserve">Estimate the molar solubility of </w:t>
      </w:r>
      <w:r w:rsidR="00A33910">
        <w:t>b</w:t>
      </w:r>
      <w:r>
        <w:t xml:space="preserve">etamethasone using its melting point and Log P.  Obtain experimental values </w:t>
      </w:r>
      <w:r w:rsidR="002129E2">
        <w:t>for</w:t>
      </w:r>
      <w:r>
        <w:t xml:space="preserve"> the </w:t>
      </w:r>
      <w:r w:rsidR="00A33910">
        <w:t xml:space="preserve">drug’s </w:t>
      </w:r>
      <w:r>
        <w:t>melting point from drugbank</w:t>
      </w:r>
      <w:r w:rsidR="005F7C66">
        <w:t>.ca</w:t>
      </w:r>
      <w:r>
        <w:t xml:space="preserve"> </w:t>
      </w:r>
      <w:r w:rsidR="005F7C66">
        <w:t>or</w:t>
      </w:r>
      <w:r>
        <w:t xml:space="preserve"> PubChem. A literature value for water solubility of </w:t>
      </w:r>
      <w:r w:rsidR="00A33910">
        <w:t>b</w:t>
      </w:r>
      <w:r>
        <w:t>etamethasone is approximately 0.6</w:t>
      </w:r>
      <w:r w:rsidR="00B572D6">
        <w:t>0</w:t>
      </w:r>
      <w:r>
        <w:t xml:space="preserve"> </w:t>
      </w:r>
      <w:proofErr w:type="spellStart"/>
      <w:r>
        <w:t>mM.</w:t>
      </w:r>
      <w:proofErr w:type="spellEnd"/>
      <w:r>
        <w:t xml:space="preserve">  How do</w:t>
      </w:r>
      <w:r w:rsidR="00D33D4E">
        <w:t>es</w:t>
      </w:r>
      <w:r>
        <w:t xml:space="preserve"> </w:t>
      </w:r>
      <w:r w:rsidR="002129E2">
        <w:t>your</w:t>
      </w:r>
      <w:r>
        <w:t xml:space="preserve"> predict</w:t>
      </w:r>
      <w:r w:rsidR="002129E2">
        <w:t>ed value</w:t>
      </w:r>
      <w:r>
        <w:t xml:space="preserve"> compare to the experimental value</w:t>
      </w:r>
      <w:r w:rsidR="002129E2">
        <w:t xml:space="preserve"> reported in the </w:t>
      </w:r>
      <w:proofErr w:type="gramStart"/>
      <w:r w:rsidR="002129E2">
        <w:t>literature</w:t>
      </w:r>
      <w:r>
        <w:t>.</w:t>
      </w:r>
      <w:proofErr w:type="gramEnd"/>
      <w:r w:rsidR="005F7C66">
        <w:t xml:space="preserve">  </w:t>
      </w:r>
      <w:r w:rsidR="00F744F1" w:rsidRPr="006623B8">
        <w:rPr>
          <w:b/>
          <w:bCs/>
        </w:rPr>
        <w:t>Log10(</w:t>
      </w:r>
      <w:proofErr w:type="spellStart"/>
      <w:r w:rsidR="00F744F1" w:rsidRPr="006623B8">
        <w:rPr>
          <w:b/>
          <w:bCs/>
        </w:rPr>
        <w:t>Sw</w:t>
      </w:r>
      <w:proofErr w:type="spellEnd"/>
      <w:r w:rsidR="00F744F1" w:rsidRPr="006623B8">
        <w:rPr>
          <w:b/>
          <w:bCs/>
        </w:rPr>
        <w:t>) = 0.8-0.01(</w:t>
      </w:r>
      <w:proofErr w:type="gramStart"/>
      <w:r w:rsidR="00F744F1" w:rsidRPr="006623B8">
        <w:rPr>
          <w:b/>
          <w:bCs/>
        </w:rPr>
        <w:t>Tm(</w:t>
      </w:r>
      <w:proofErr w:type="gramEnd"/>
      <w:r w:rsidR="00F744F1" w:rsidRPr="006623B8">
        <w:rPr>
          <w:b/>
          <w:bCs/>
        </w:rPr>
        <w:t>deg C)-T)-</w:t>
      </w:r>
      <w:proofErr w:type="spellStart"/>
      <w:r w:rsidR="00F744F1" w:rsidRPr="006623B8">
        <w:rPr>
          <w:b/>
          <w:bCs/>
        </w:rPr>
        <w:t>logP</w:t>
      </w:r>
      <w:proofErr w:type="spellEnd"/>
    </w:p>
    <w:p w14:paraId="6A37723E" w14:textId="77777777" w:rsidR="005F7C66" w:rsidRDefault="005F7C66" w:rsidP="00E025BA">
      <w:pPr>
        <w:ind w:left="360"/>
      </w:pPr>
    </w:p>
    <w:p w14:paraId="6C26B3D3" w14:textId="241D1ED6" w:rsidR="00E025BA" w:rsidRDefault="001D465E" w:rsidP="002658F7">
      <w:r>
        <w:tab/>
      </w:r>
      <w:proofErr w:type="spellStart"/>
      <w:proofErr w:type="gramStart"/>
      <w:r>
        <w:t>Sw</w:t>
      </w:r>
      <w:proofErr w:type="spellEnd"/>
      <w:r>
        <w:t xml:space="preserve">  =</w:t>
      </w:r>
      <w:proofErr w:type="gramEnd"/>
      <w:r>
        <w:t xml:space="preserve"> 0.6166 mM</w:t>
      </w:r>
    </w:p>
    <w:p w14:paraId="700FF17E" w14:textId="77777777" w:rsidR="001D465E" w:rsidRDefault="001D465E" w:rsidP="002658F7"/>
    <w:p w14:paraId="23CD96CC" w14:textId="77777777" w:rsidR="0084703A" w:rsidRDefault="0084703A" w:rsidP="00D33D4E">
      <w:pPr>
        <w:pStyle w:val="ListParagraph"/>
        <w:numPr>
          <w:ilvl w:val="0"/>
          <w:numId w:val="1"/>
        </w:numPr>
      </w:pPr>
      <w:r>
        <w:t>(1</w:t>
      </w:r>
      <w:r w:rsidR="009A375B">
        <w:t>0</w:t>
      </w:r>
      <w:r>
        <w:t>)</w:t>
      </w:r>
    </w:p>
    <w:p w14:paraId="211ECE61" w14:textId="38E323B4" w:rsidR="00692B38" w:rsidRDefault="00D33D4E" w:rsidP="0084703A">
      <w:pPr>
        <w:pStyle w:val="ListParagraph"/>
      </w:pPr>
      <w:r>
        <w:t>You are leading the drug delivery effort for a company working on new microtubule inhibitors.  The</w:t>
      </w:r>
      <w:r w:rsidR="00EE4F72">
        <w:t>se</w:t>
      </w:r>
      <w:r>
        <w:t xml:space="preserve"> drug candidates are not </w:t>
      </w:r>
      <w:proofErr w:type="spellStart"/>
      <w:r>
        <w:t>taxanes</w:t>
      </w:r>
      <w:proofErr w:type="spellEnd"/>
      <w:r w:rsidR="002129E2">
        <w:t>;</w:t>
      </w:r>
      <w:r w:rsidR="009F446E">
        <w:t xml:space="preserve"> they are a new structural class of inhibitors.  T</w:t>
      </w:r>
      <w:r>
        <w:t xml:space="preserve">he </w:t>
      </w:r>
      <w:r w:rsidR="007E5FD5">
        <w:t>compounds</w:t>
      </w:r>
      <w:r>
        <w:t xml:space="preserve"> were</w:t>
      </w:r>
      <w:r w:rsidR="009F446E">
        <w:t xml:space="preserve"> </w:t>
      </w:r>
      <w:r w:rsidR="00277184">
        <w:t>discovered</w:t>
      </w:r>
      <w:r w:rsidR="009F446E">
        <w:t xml:space="preserve"> and</w:t>
      </w:r>
      <w:r>
        <w:t xml:space="preserve"> </w:t>
      </w:r>
      <w:r w:rsidR="00277184">
        <w:t>isolated</w:t>
      </w:r>
      <w:r>
        <w:t xml:space="preserve"> form a marine source.  It turn</w:t>
      </w:r>
      <w:r w:rsidR="007E5FD5">
        <w:t>s</w:t>
      </w:r>
      <w:r>
        <w:t xml:space="preserve"> out that these </w:t>
      </w:r>
      <w:r w:rsidR="009F446E">
        <w:t xml:space="preserve">marine </w:t>
      </w:r>
      <w:r>
        <w:t xml:space="preserve">compounds </w:t>
      </w:r>
      <w:r w:rsidR="007E5FD5">
        <w:t>h</w:t>
      </w:r>
      <w:r>
        <w:t>a</w:t>
      </w:r>
      <w:r w:rsidR="007E5FD5">
        <w:t>v</w:t>
      </w:r>
      <w:r>
        <w:t xml:space="preserve">e </w:t>
      </w:r>
      <w:r w:rsidR="007E5FD5">
        <w:t>significant</w:t>
      </w:r>
      <w:r>
        <w:t xml:space="preserve"> toxic</w:t>
      </w:r>
      <w:r w:rsidR="007E5FD5">
        <w:t>ities</w:t>
      </w:r>
      <w:r w:rsidR="00250E37">
        <w:t xml:space="preserve"> as well as</w:t>
      </w:r>
      <w:r>
        <w:t xml:space="preserve"> hav</w:t>
      </w:r>
      <w:r w:rsidR="00250E37">
        <w:t>ing</w:t>
      </w:r>
      <w:r>
        <w:t xml:space="preserve"> extremely good </w:t>
      </w:r>
      <w:r w:rsidR="007535C9">
        <w:t xml:space="preserve">microtubule </w:t>
      </w:r>
      <w:r w:rsidR="006D633E">
        <w:t>inhibition</w:t>
      </w:r>
      <w:r w:rsidR="007535C9">
        <w:t xml:space="preserve"> </w:t>
      </w:r>
      <w:r>
        <w:t xml:space="preserve">activity. </w:t>
      </w:r>
    </w:p>
    <w:p w14:paraId="35E0108B" w14:textId="77777777" w:rsidR="00692B38" w:rsidRDefault="00692B38" w:rsidP="00692B38">
      <w:pPr>
        <w:pStyle w:val="ListParagraph"/>
      </w:pPr>
    </w:p>
    <w:p w14:paraId="6FE76BE6" w14:textId="05A28A50" w:rsidR="009F446E" w:rsidRDefault="00D33D4E" w:rsidP="00692B38">
      <w:pPr>
        <w:pStyle w:val="ListParagraph"/>
      </w:pPr>
      <w:r>
        <w:t>There are three lead compounds that have been synthesized</w:t>
      </w:r>
      <w:r w:rsidR="00277184">
        <w:t>,</w:t>
      </w:r>
      <w:r>
        <w:t xml:space="preserve"> in </w:t>
      </w:r>
      <w:r w:rsidR="00692B38">
        <w:t xml:space="preserve">very </w:t>
      </w:r>
      <w:r>
        <w:t>small quantities</w:t>
      </w:r>
      <w:r w:rsidR="00277184">
        <w:t>,</w:t>
      </w:r>
      <w:r>
        <w:t xml:space="preserve"> </w:t>
      </w:r>
      <w:r w:rsidR="00683666">
        <w:t>all</w:t>
      </w:r>
      <w:r>
        <w:t xml:space="preserve"> have good activity.  </w:t>
      </w:r>
      <w:proofErr w:type="gramStart"/>
      <w:r w:rsidR="00692B38">
        <w:t>All of</w:t>
      </w:r>
      <w:proofErr w:type="gramEnd"/>
      <w:r w:rsidR="00692B38">
        <w:t xml:space="preserve"> the analogs are very difficult to synthesize</w:t>
      </w:r>
      <w:r w:rsidR="006D633E">
        <w:t>,</w:t>
      </w:r>
      <w:r w:rsidR="00692B38">
        <w:t xml:space="preserve"> and the company has limited resources, so a single lead </w:t>
      </w:r>
      <w:r w:rsidR="00683666">
        <w:t xml:space="preserve">compound </w:t>
      </w:r>
      <w:r w:rsidR="00692B38">
        <w:t xml:space="preserve">will be chosen to take forward. </w:t>
      </w:r>
      <w:r>
        <w:t xml:space="preserve">These three leads have very different physical chemical </w:t>
      </w:r>
      <w:proofErr w:type="gramStart"/>
      <w:r>
        <w:t>properties</w:t>
      </w:r>
      <w:proofErr w:type="gramEnd"/>
      <w:r w:rsidR="00692B38">
        <w:t xml:space="preserve"> and </w:t>
      </w:r>
      <w:r w:rsidR="006D633E">
        <w:t xml:space="preserve">all </w:t>
      </w:r>
      <w:r>
        <w:t>a</w:t>
      </w:r>
      <w:r w:rsidR="009D0943">
        <w:t xml:space="preserve">re </w:t>
      </w:r>
      <w:r w:rsidR="00692B38">
        <w:t xml:space="preserve">very </w:t>
      </w:r>
      <w:r w:rsidR="009D0943">
        <w:t>difficult to solubilize</w:t>
      </w:r>
      <w:r>
        <w:t xml:space="preserve"> in water</w:t>
      </w:r>
      <w:r w:rsidR="00692B38">
        <w:t xml:space="preserve"> and</w:t>
      </w:r>
      <w:r w:rsidR="006D633E">
        <w:t>,</w:t>
      </w:r>
      <w:r w:rsidR="00692B38">
        <w:t xml:space="preserve"> even</w:t>
      </w:r>
      <w:r w:rsidR="006D633E">
        <w:t>,</w:t>
      </w:r>
      <w:r w:rsidR="00692B38">
        <w:t xml:space="preserve"> in some organic solvents</w:t>
      </w:r>
      <w:r>
        <w:t xml:space="preserve">.  </w:t>
      </w:r>
    </w:p>
    <w:p w14:paraId="1C235ABB" w14:textId="77777777" w:rsidR="00D33D4E" w:rsidRDefault="00D33D4E" w:rsidP="009F446E">
      <w:pPr>
        <w:pStyle w:val="ListParagraph"/>
      </w:pPr>
      <w:r>
        <w:t xml:space="preserve">                                                                                                                                                                        </w:t>
      </w:r>
    </w:p>
    <w:p w14:paraId="135C7B4C" w14:textId="196CA276" w:rsidR="00E025BA" w:rsidRDefault="00D7014A" w:rsidP="00D33D4E">
      <w:pPr>
        <w:pStyle w:val="ListParagraph"/>
      </w:pPr>
      <w:r>
        <w:t>E</w:t>
      </w:r>
      <w:r w:rsidR="008C2D64">
        <w:t>stimate the water solubility at 25</w:t>
      </w:r>
      <w:r w:rsidR="008C2D64" w:rsidRPr="009F446E">
        <w:rPr>
          <w:vertAlign w:val="superscript"/>
        </w:rPr>
        <w:t>o</w:t>
      </w:r>
      <w:r w:rsidR="008C2D64">
        <w:t>C for the</w:t>
      </w:r>
      <w:r w:rsidR="009F446E">
        <w:t xml:space="preserve"> three</w:t>
      </w:r>
      <w:r w:rsidR="008C2D64">
        <w:t xml:space="preserve"> lead compounds.  The goal </w:t>
      </w:r>
      <w:r w:rsidR="00683666">
        <w:t>is</w:t>
      </w:r>
      <w:r w:rsidR="008C2D64">
        <w:t xml:space="preserve"> to </w:t>
      </w:r>
      <w:r w:rsidR="009F446E">
        <w:t xml:space="preserve">achieve </w:t>
      </w:r>
      <w:r w:rsidR="00683666">
        <w:t xml:space="preserve">1 mM </w:t>
      </w:r>
      <w:r w:rsidR="008C2D64">
        <w:t>solubility</w:t>
      </w:r>
      <w:r w:rsidR="006D633E">
        <w:t>. D</w:t>
      </w:r>
      <w:r w:rsidR="008C2D64">
        <w:t>o any of t</w:t>
      </w:r>
      <w:r w:rsidR="009F446E">
        <w:t>he compounds</w:t>
      </w:r>
      <w:r w:rsidR="008C2D64">
        <w:t xml:space="preserve"> </w:t>
      </w:r>
      <w:r w:rsidR="00405C56">
        <w:t xml:space="preserve">appear to </w:t>
      </w:r>
      <w:r w:rsidR="008C2D64">
        <w:t xml:space="preserve">reach this goal?  </w:t>
      </w:r>
      <w:r w:rsidR="00692B38">
        <w:t xml:space="preserve">Pick one analog for further study based on its water solubility. </w:t>
      </w:r>
    </w:p>
    <w:p w14:paraId="5DF2D166" w14:textId="77777777" w:rsidR="00CE3DCD" w:rsidRDefault="00CE3DCD" w:rsidP="00D33D4E">
      <w:pPr>
        <w:pStyle w:val="ListParagraph"/>
      </w:pPr>
    </w:p>
    <w:p w14:paraId="47581823" w14:textId="77777777" w:rsidR="00CE3DCD" w:rsidRDefault="00CE3DCD" w:rsidP="00D33D4E">
      <w:pPr>
        <w:pStyle w:val="ListParagraph"/>
      </w:pPr>
      <w:r>
        <w:t>Table 1.</w:t>
      </w:r>
      <w:r w:rsidR="004C40D4">
        <w:t>2</w:t>
      </w:r>
      <w:r w:rsidR="009C3340">
        <w:t>.  Properties of lead drug candidates.</w:t>
      </w:r>
    </w:p>
    <w:p w14:paraId="19A2C7A4" w14:textId="77777777" w:rsidR="00843B90" w:rsidRDefault="00843B90" w:rsidP="00843B90"/>
    <w:tbl>
      <w:tblPr>
        <w:tblStyle w:val="TableGrid"/>
        <w:tblW w:w="6205" w:type="dxa"/>
        <w:tblLook w:val="04A0" w:firstRow="1" w:lastRow="0" w:firstColumn="1" w:lastColumn="0" w:noHBand="0" w:noVBand="1"/>
      </w:tblPr>
      <w:tblGrid>
        <w:gridCol w:w="1312"/>
        <w:gridCol w:w="1131"/>
        <w:gridCol w:w="1073"/>
        <w:gridCol w:w="1083"/>
        <w:gridCol w:w="1606"/>
      </w:tblGrid>
      <w:tr w:rsidR="00277184" w14:paraId="31E06D70" w14:textId="77777777" w:rsidTr="00277184">
        <w:trPr>
          <w:trHeight w:val="629"/>
        </w:trPr>
        <w:tc>
          <w:tcPr>
            <w:tcW w:w="1295" w:type="dxa"/>
          </w:tcPr>
          <w:p w14:paraId="14D198A7" w14:textId="77777777" w:rsidR="00277184" w:rsidRPr="004C40D4" w:rsidRDefault="00277184" w:rsidP="00277184">
            <w:pPr>
              <w:jc w:val="center"/>
              <w:rPr>
                <w:b/>
                <w:color w:val="002060"/>
              </w:rPr>
            </w:pPr>
            <w:r w:rsidRPr="004C40D4">
              <w:rPr>
                <w:b/>
                <w:color w:val="002060"/>
              </w:rPr>
              <w:t>Compound</w:t>
            </w:r>
          </w:p>
        </w:tc>
        <w:tc>
          <w:tcPr>
            <w:tcW w:w="1078" w:type="dxa"/>
          </w:tcPr>
          <w:p w14:paraId="47D9E960" w14:textId="77777777" w:rsidR="00277184" w:rsidRPr="004C40D4" w:rsidRDefault="00277184" w:rsidP="00277184">
            <w:pPr>
              <w:jc w:val="center"/>
              <w:rPr>
                <w:b/>
                <w:color w:val="002060"/>
              </w:rPr>
            </w:pPr>
            <w:r w:rsidRPr="004C40D4">
              <w:rPr>
                <w:b/>
                <w:color w:val="002060"/>
              </w:rPr>
              <w:t>MW</w:t>
            </w:r>
          </w:p>
          <w:p w14:paraId="0DDAF63F" w14:textId="77777777" w:rsidR="00277184" w:rsidRPr="004C40D4" w:rsidRDefault="00277184" w:rsidP="00277184">
            <w:pPr>
              <w:jc w:val="center"/>
              <w:rPr>
                <w:b/>
                <w:color w:val="002060"/>
              </w:rPr>
            </w:pPr>
            <w:r w:rsidRPr="004C40D4">
              <w:rPr>
                <w:b/>
                <w:color w:val="002060"/>
              </w:rPr>
              <w:t>(Daltons)</w:t>
            </w:r>
          </w:p>
        </w:tc>
        <w:tc>
          <w:tcPr>
            <w:tcW w:w="1094" w:type="dxa"/>
          </w:tcPr>
          <w:p w14:paraId="242597B8" w14:textId="77777777" w:rsidR="00277184" w:rsidRPr="004C40D4" w:rsidRDefault="00277184" w:rsidP="00277184">
            <w:pPr>
              <w:jc w:val="center"/>
              <w:rPr>
                <w:b/>
                <w:color w:val="002060"/>
              </w:rPr>
            </w:pPr>
            <w:r w:rsidRPr="004C40D4">
              <w:rPr>
                <w:b/>
                <w:color w:val="002060"/>
              </w:rPr>
              <w:t>Log P</w:t>
            </w:r>
          </w:p>
        </w:tc>
        <w:tc>
          <w:tcPr>
            <w:tcW w:w="1103" w:type="dxa"/>
          </w:tcPr>
          <w:p w14:paraId="513A3699" w14:textId="77777777" w:rsidR="00277184" w:rsidRPr="004C40D4" w:rsidRDefault="00277184" w:rsidP="00277184">
            <w:pPr>
              <w:jc w:val="center"/>
              <w:rPr>
                <w:b/>
                <w:color w:val="002060"/>
                <w:vertAlign w:val="subscript"/>
              </w:rPr>
            </w:pPr>
            <w:r w:rsidRPr="004C40D4">
              <w:rPr>
                <w:b/>
                <w:color w:val="002060"/>
              </w:rPr>
              <w:t>T</w:t>
            </w:r>
            <w:r w:rsidRPr="004C40D4">
              <w:rPr>
                <w:b/>
                <w:color w:val="002060"/>
                <w:vertAlign w:val="subscript"/>
              </w:rPr>
              <w:t>M</w:t>
            </w:r>
          </w:p>
          <w:p w14:paraId="414D73BC" w14:textId="77777777" w:rsidR="00277184" w:rsidRPr="004C40D4" w:rsidRDefault="00277184" w:rsidP="00277184">
            <w:pPr>
              <w:jc w:val="center"/>
              <w:rPr>
                <w:b/>
                <w:color w:val="002060"/>
              </w:rPr>
            </w:pPr>
            <w:r w:rsidRPr="004C40D4">
              <w:rPr>
                <w:b/>
                <w:color w:val="002060"/>
              </w:rPr>
              <w:t>(</w:t>
            </w:r>
            <w:proofErr w:type="spellStart"/>
            <w:r w:rsidRPr="004C40D4">
              <w:rPr>
                <w:b/>
                <w:color w:val="002060"/>
                <w:vertAlign w:val="superscript"/>
              </w:rPr>
              <w:t>o</w:t>
            </w:r>
            <w:r w:rsidRPr="004C40D4">
              <w:rPr>
                <w:b/>
                <w:color w:val="002060"/>
              </w:rPr>
              <w:t>C</w:t>
            </w:r>
            <w:proofErr w:type="spellEnd"/>
            <w:r w:rsidRPr="004C40D4">
              <w:rPr>
                <w:b/>
                <w:color w:val="002060"/>
              </w:rPr>
              <w:t>)</w:t>
            </w:r>
          </w:p>
        </w:tc>
        <w:tc>
          <w:tcPr>
            <w:tcW w:w="1635" w:type="dxa"/>
          </w:tcPr>
          <w:p w14:paraId="535DB934" w14:textId="77777777" w:rsidR="00277184" w:rsidRPr="004C40D4" w:rsidRDefault="00277184" w:rsidP="00277184">
            <w:pPr>
              <w:jc w:val="center"/>
              <w:rPr>
                <w:b/>
                <w:color w:val="002060"/>
                <w:vertAlign w:val="subscript"/>
              </w:rPr>
            </w:pPr>
            <w:r w:rsidRPr="004C40D4">
              <w:rPr>
                <w:b/>
                <w:color w:val="002060"/>
              </w:rPr>
              <w:t>S</w:t>
            </w:r>
            <w:r w:rsidRPr="004C40D4">
              <w:rPr>
                <w:b/>
                <w:color w:val="002060"/>
                <w:vertAlign w:val="subscript"/>
              </w:rPr>
              <w:t>W</w:t>
            </w:r>
          </w:p>
          <w:p w14:paraId="4D96EBC9" w14:textId="77777777" w:rsidR="00277184" w:rsidRPr="004C40D4" w:rsidRDefault="00277184" w:rsidP="00277184">
            <w:pPr>
              <w:jc w:val="center"/>
              <w:rPr>
                <w:b/>
                <w:color w:val="002060"/>
              </w:rPr>
            </w:pPr>
            <w:r w:rsidRPr="004C40D4">
              <w:rPr>
                <w:b/>
                <w:color w:val="002060"/>
              </w:rPr>
              <w:t>(mM)</w:t>
            </w:r>
          </w:p>
        </w:tc>
      </w:tr>
      <w:tr w:rsidR="00277184" w14:paraId="3EC28937" w14:textId="77777777" w:rsidTr="00277184">
        <w:trPr>
          <w:trHeight w:val="343"/>
        </w:trPr>
        <w:tc>
          <w:tcPr>
            <w:tcW w:w="1295" w:type="dxa"/>
          </w:tcPr>
          <w:p w14:paraId="09D33F5A" w14:textId="77777777" w:rsidR="00277184" w:rsidRDefault="00277184" w:rsidP="00277184">
            <w:pPr>
              <w:jc w:val="center"/>
            </w:pPr>
            <w:r>
              <w:t>A36</w:t>
            </w:r>
          </w:p>
        </w:tc>
        <w:tc>
          <w:tcPr>
            <w:tcW w:w="1078" w:type="dxa"/>
          </w:tcPr>
          <w:p w14:paraId="0832151F" w14:textId="77777777" w:rsidR="00277184" w:rsidRDefault="00277184" w:rsidP="00277184">
            <w:pPr>
              <w:jc w:val="center"/>
            </w:pPr>
            <w:r>
              <w:t>633</w:t>
            </w:r>
          </w:p>
        </w:tc>
        <w:tc>
          <w:tcPr>
            <w:tcW w:w="1094" w:type="dxa"/>
          </w:tcPr>
          <w:p w14:paraId="04610D4C" w14:textId="77777777" w:rsidR="00277184" w:rsidRDefault="00277184" w:rsidP="00277184">
            <w:pPr>
              <w:jc w:val="center"/>
            </w:pPr>
            <w:r>
              <w:t>1.5</w:t>
            </w:r>
          </w:p>
        </w:tc>
        <w:tc>
          <w:tcPr>
            <w:tcW w:w="1103" w:type="dxa"/>
          </w:tcPr>
          <w:p w14:paraId="1A47D795" w14:textId="77777777" w:rsidR="00277184" w:rsidRDefault="00277184" w:rsidP="00277184">
            <w:pPr>
              <w:jc w:val="center"/>
            </w:pPr>
            <w:r>
              <w:t>343</w:t>
            </w:r>
          </w:p>
        </w:tc>
        <w:tc>
          <w:tcPr>
            <w:tcW w:w="1635" w:type="dxa"/>
          </w:tcPr>
          <w:p w14:paraId="512620BB" w14:textId="037982CC" w:rsidR="00277184" w:rsidRDefault="003B6267" w:rsidP="00277184">
            <w:pPr>
              <w:jc w:val="center"/>
            </w:pPr>
            <w:r>
              <w:t>0.1318</w:t>
            </w:r>
          </w:p>
        </w:tc>
      </w:tr>
      <w:tr w:rsidR="00277184" w14:paraId="12B6F60C" w14:textId="77777777" w:rsidTr="00277184">
        <w:trPr>
          <w:trHeight w:val="343"/>
        </w:trPr>
        <w:tc>
          <w:tcPr>
            <w:tcW w:w="1295" w:type="dxa"/>
          </w:tcPr>
          <w:p w14:paraId="4816D04E" w14:textId="77777777" w:rsidR="00277184" w:rsidRDefault="00277184" w:rsidP="00277184">
            <w:pPr>
              <w:jc w:val="center"/>
            </w:pPr>
            <w:r>
              <w:t>A48</w:t>
            </w:r>
          </w:p>
        </w:tc>
        <w:tc>
          <w:tcPr>
            <w:tcW w:w="1078" w:type="dxa"/>
          </w:tcPr>
          <w:p w14:paraId="2E422B8F" w14:textId="77777777" w:rsidR="00277184" w:rsidRDefault="00277184" w:rsidP="00277184">
            <w:pPr>
              <w:jc w:val="center"/>
            </w:pPr>
            <w:r>
              <w:t>593</w:t>
            </w:r>
          </w:p>
        </w:tc>
        <w:tc>
          <w:tcPr>
            <w:tcW w:w="1094" w:type="dxa"/>
          </w:tcPr>
          <w:p w14:paraId="3B8DE404" w14:textId="77777777" w:rsidR="00277184" w:rsidRDefault="00277184" w:rsidP="00277184">
            <w:pPr>
              <w:jc w:val="center"/>
            </w:pPr>
            <w:r>
              <w:t>2.2</w:t>
            </w:r>
          </w:p>
        </w:tc>
        <w:tc>
          <w:tcPr>
            <w:tcW w:w="1103" w:type="dxa"/>
          </w:tcPr>
          <w:p w14:paraId="4D7149D7" w14:textId="77777777" w:rsidR="00277184" w:rsidRDefault="00277184" w:rsidP="00277184">
            <w:pPr>
              <w:jc w:val="center"/>
            </w:pPr>
            <w:r>
              <w:t>205</w:t>
            </w:r>
          </w:p>
        </w:tc>
        <w:tc>
          <w:tcPr>
            <w:tcW w:w="1635" w:type="dxa"/>
          </w:tcPr>
          <w:p w14:paraId="0E2A9586" w14:textId="18D9EFBB" w:rsidR="00277184" w:rsidRDefault="003B6267" w:rsidP="00277184">
            <w:pPr>
              <w:jc w:val="center"/>
            </w:pPr>
            <w:r>
              <w:t>0.6310</w:t>
            </w:r>
          </w:p>
        </w:tc>
      </w:tr>
      <w:tr w:rsidR="00277184" w14:paraId="50D967DE" w14:textId="77777777" w:rsidTr="00277184">
        <w:trPr>
          <w:trHeight w:val="343"/>
        </w:trPr>
        <w:tc>
          <w:tcPr>
            <w:tcW w:w="1295" w:type="dxa"/>
          </w:tcPr>
          <w:p w14:paraId="1009DEF6" w14:textId="77777777" w:rsidR="00277184" w:rsidRDefault="00277184" w:rsidP="00277184">
            <w:pPr>
              <w:jc w:val="center"/>
            </w:pPr>
            <w:r>
              <w:t>A67</w:t>
            </w:r>
          </w:p>
        </w:tc>
        <w:tc>
          <w:tcPr>
            <w:tcW w:w="1078" w:type="dxa"/>
          </w:tcPr>
          <w:p w14:paraId="65BB4A79" w14:textId="77777777" w:rsidR="00277184" w:rsidRDefault="00277184" w:rsidP="00277184">
            <w:pPr>
              <w:jc w:val="center"/>
            </w:pPr>
            <w:r>
              <w:t>621</w:t>
            </w:r>
          </w:p>
        </w:tc>
        <w:tc>
          <w:tcPr>
            <w:tcW w:w="1094" w:type="dxa"/>
          </w:tcPr>
          <w:p w14:paraId="5D24EC41" w14:textId="77777777" w:rsidR="00277184" w:rsidRDefault="00277184" w:rsidP="00277184">
            <w:pPr>
              <w:jc w:val="center"/>
            </w:pPr>
            <w:r>
              <w:t>5.6</w:t>
            </w:r>
          </w:p>
        </w:tc>
        <w:tc>
          <w:tcPr>
            <w:tcW w:w="1103" w:type="dxa"/>
          </w:tcPr>
          <w:p w14:paraId="6C8873D2" w14:textId="77777777" w:rsidR="00277184" w:rsidRDefault="00277184" w:rsidP="00277184">
            <w:pPr>
              <w:jc w:val="center"/>
            </w:pPr>
            <w:r>
              <w:t>195</w:t>
            </w:r>
          </w:p>
        </w:tc>
        <w:tc>
          <w:tcPr>
            <w:tcW w:w="1635" w:type="dxa"/>
          </w:tcPr>
          <w:p w14:paraId="49D022F2" w14:textId="387A58F7" w:rsidR="00277184" w:rsidRDefault="003B6267" w:rsidP="00277184">
            <w:pPr>
              <w:jc w:val="center"/>
            </w:pPr>
            <w:r>
              <w:t>0.0003</w:t>
            </w:r>
          </w:p>
        </w:tc>
      </w:tr>
    </w:tbl>
    <w:p w14:paraId="3F729434" w14:textId="77777777" w:rsidR="0084703A" w:rsidRDefault="00DC294E" w:rsidP="0084703A">
      <w:r>
        <w:t xml:space="preserve"> </w:t>
      </w:r>
    </w:p>
    <w:p w14:paraId="29AC5F97" w14:textId="77777777" w:rsidR="0084703A" w:rsidRDefault="0084703A" w:rsidP="0084703A">
      <w:pPr>
        <w:ind w:left="360"/>
      </w:pPr>
    </w:p>
    <w:p w14:paraId="54DBEF62" w14:textId="77777777" w:rsidR="0084703A" w:rsidRDefault="0084703A" w:rsidP="0084703A">
      <w:pPr>
        <w:pStyle w:val="ListParagraph"/>
        <w:numPr>
          <w:ilvl w:val="0"/>
          <w:numId w:val="1"/>
        </w:numPr>
      </w:pPr>
      <w:r>
        <w:t>(2</w:t>
      </w:r>
      <w:r w:rsidR="009A375B">
        <w:t>0</w:t>
      </w:r>
      <w:r>
        <w:t>)</w:t>
      </w:r>
    </w:p>
    <w:p w14:paraId="147B600A" w14:textId="66740B41" w:rsidR="00176967" w:rsidRDefault="00DC294E" w:rsidP="0084703A">
      <w:pPr>
        <w:pStyle w:val="ListParagraph"/>
      </w:pPr>
      <w:r>
        <w:t xml:space="preserve">The project team has selected a compound to take forward </w:t>
      </w:r>
      <w:r w:rsidR="00683666">
        <w:t xml:space="preserve">to </w:t>
      </w:r>
      <w:r>
        <w:t xml:space="preserve">preclinical testing, based on </w:t>
      </w:r>
      <w:r w:rsidR="006D633E">
        <w:t xml:space="preserve">its </w:t>
      </w:r>
      <w:r w:rsidR="00683666">
        <w:t xml:space="preserve">microtubule </w:t>
      </w:r>
      <w:r>
        <w:t xml:space="preserve">activity, solubility and feasibility of synthesis.  You now lead the effort to solubilize the drug for use in preclinical and clinical </w:t>
      </w:r>
      <w:r w:rsidR="00260A7E">
        <w:t>studies</w:t>
      </w:r>
      <w:r>
        <w:t xml:space="preserve">.  There is a strong desire </w:t>
      </w:r>
      <w:r>
        <w:lastRenderedPageBreak/>
        <w:t xml:space="preserve">to use the same formulation in both </w:t>
      </w:r>
      <w:r w:rsidR="00260A7E">
        <w:t>animal</w:t>
      </w:r>
      <w:r>
        <w:t xml:space="preserve"> and clinical studies.  The </w:t>
      </w:r>
      <w:r w:rsidRPr="00F744F1">
        <w:rPr>
          <w:b/>
          <w:bCs/>
        </w:rPr>
        <w:t>target concentration is 10 mg/mL</w:t>
      </w:r>
      <w:r>
        <w:t xml:space="preserve">, </w:t>
      </w:r>
      <w:r w:rsidR="00683666">
        <w:t xml:space="preserve">while </w:t>
      </w:r>
      <w:r>
        <w:t xml:space="preserve">using an aqueous based </w:t>
      </w:r>
      <w:r w:rsidRPr="00F744F1">
        <w:rPr>
          <w:b/>
          <w:bCs/>
        </w:rPr>
        <w:t>non-ionic surfactant system</w:t>
      </w:r>
      <w:r>
        <w:t xml:space="preserve">. </w:t>
      </w:r>
      <w:r w:rsidR="00176967">
        <w:t xml:space="preserve"> By the way</w:t>
      </w:r>
      <w:r w:rsidR="00683666">
        <w:t>,</w:t>
      </w:r>
      <w:r w:rsidR="00176967">
        <w:t xml:space="preserve"> the lead </w:t>
      </w:r>
      <w:r w:rsidR="004C40D4">
        <w:t xml:space="preserve">compound </w:t>
      </w:r>
      <w:r w:rsidR="00176967">
        <w:t>was named Pacific1 by the business development director, a Stanford graduate.</w:t>
      </w:r>
    </w:p>
    <w:p w14:paraId="5C202683" w14:textId="77777777" w:rsidR="00683666" w:rsidRDefault="00683666" w:rsidP="0084703A">
      <w:pPr>
        <w:pStyle w:val="ListParagraph"/>
      </w:pPr>
    </w:p>
    <w:p w14:paraId="58726959" w14:textId="27BE15A8" w:rsidR="007330D0" w:rsidRDefault="00DC294E" w:rsidP="00176967">
      <w:pPr>
        <w:pStyle w:val="ListParagraph"/>
      </w:pPr>
      <w:r>
        <w:t xml:space="preserve">You have screened </w:t>
      </w:r>
      <w:proofErr w:type="gramStart"/>
      <w:r>
        <w:t>a number of</w:t>
      </w:r>
      <w:proofErr w:type="gramEnd"/>
      <w:r>
        <w:t xml:space="preserve"> surfactant systems </w:t>
      </w:r>
      <w:r w:rsidR="00176967">
        <w:t xml:space="preserve">to solubilize Pacific1 </w:t>
      </w:r>
      <w:r>
        <w:t>and found a newer grade poloxamer (</w:t>
      </w:r>
      <w:r w:rsidR="00176967">
        <w:t>P</w:t>
      </w:r>
      <w:r w:rsidR="00260A7E">
        <w:t>2020</w:t>
      </w:r>
      <w:r>
        <w:t>) that gives you the best solubility profile</w:t>
      </w:r>
      <w:r w:rsidR="00260A7E">
        <w:t>.  T</w:t>
      </w:r>
      <w:r>
        <w:t>he experimental data</w:t>
      </w:r>
      <w:r w:rsidR="00260A7E">
        <w:t xml:space="preserve"> for the aqueous solubility of Pacific1 as a function of surfactant concentration is</w:t>
      </w:r>
      <w:r>
        <w:t xml:space="preserve"> shown below</w:t>
      </w:r>
      <w:r w:rsidR="00CE3DCD">
        <w:t xml:space="preserve"> in Table </w:t>
      </w:r>
      <w:r w:rsidR="004C40D4">
        <w:t>1</w:t>
      </w:r>
      <w:r w:rsidR="00CE3DCD">
        <w:t>.</w:t>
      </w:r>
      <w:r w:rsidR="004C40D4">
        <w:t>3</w:t>
      </w:r>
      <w:r>
        <w:t xml:space="preserve">.  </w:t>
      </w:r>
      <w:r w:rsidR="00260A7E">
        <w:t>Compare</w:t>
      </w:r>
      <w:r>
        <w:t xml:space="preserve"> the</w:t>
      </w:r>
      <w:r w:rsidR="00260A7E">
        <w:t xml:space="preserve"> </w:t>
      </w:r>
      <w:r w:rsidR="00260A7E" w:rsidRPr="00F744F1">
        <w:rPr>
          <w:b/>
          <w:bCs/>
        </w:rPr>
        <w:t>observed</w:t>
      </w:r>
      <w:r w:rsidRPr="00F744F1">
        <w:rPr>
          <w:b/>
          <w:bCs/>
        </w:rPr>
        <w:t xml:space="preserve"> water solubility</w:t>
      </w:r>
      <w:r>
        <w:t xml:space="preserve"> </w:t>
      </w:r>
      <w:r w:rsidR="00CE3DCD">
        <w:t xml:space="preserve">below the </w:t>
      </w:r>
      <w:r w:rsidR="001603BF">
        <w:t>critical micelle concentration (</w:t>
      </w:r>
      <w:r w:rsidR="00CE3DCD">
        <w:t>CMC</w:t>
      </w:r>
      <w:r w:rsidR="001603BF">
        <w:t>)</w:t>
      </w:r>
      <w:r>
        <w:t xml:space="preserve"> to the </w:t>
      </w:r>
      <w:r w:rsidRPr="00F744F1">
        <w:rPr>
          <w:b/>
          <w:bCs/>
        </w:rPr>
        <w:t>prediction</w:t>
      </w:r>
      <w:r>
        <w:t xml:space="preserve"> </w:t>
      </w:r>
      <w:r w:rsidR="00260A7E">
        <w:t xml:space="preserve">you made </w:t>
      </w:r>
      <w:r w:rsidR="001603BF">
        <w:t xml:space="preserve">in </w:t>
      </w:r>
      <w:r>
        <w:t xml:space="preserve">Question </w:t>
      </w:r>
      <w:r w:rsidR="004C40D4">
        <w:t>2</w:t>
      </w:r>
      <w:r>
        <w:t xml:space="preserve">.  </w:t>
      </w:r>
      <w:r w:rsidR="00CE3DCD">
        <w:t xml:space="preserve">Estimate an </w:t>
      </w:r>
      <w:r w:rsidR="00CE3DCD" w:rsidRPr="00F744F1">
        <w:rPr>
          <w:b/>
          <w:bCs/>
        </w:rPr>
        <w:t>approximate</w:t>
      </w:r>
      <w:r w:rsidRPr="00F744F1">
        <w:rPr>
          <w:b/>
          <w:bCs/>
        </w:rPr>
        <w:t xml:space="preserve"> CMC</w:t>
      </w:r>
      <w:r>
        <w:t xml:space="preserve"> for the new poloxamer</w:t>
      </w:r>
      <w:r w:rsidR="00CE3DCD">
        <w:t xml:space="preserve"> at 25</w:t>
      </w:r>
      <w:r w:rsidR="00CE3DCD" w:rsidRPr="00CE3DCD">
        <w:rPr>
          <w:vertAlign w:val="superscript"/>
        </w:rPr>
        <w:t>o</w:t>
      </w:r>
      <w:r w:rsidR="00CE3DCD">
        <w:t>C and at 37</w:t>
      </w:r>
      <w:r w:rsidR="00CE3DCD" w:rsidRPr="00CE3DCD">
        <w:rPr>
          <w:vertAlign w:val="superscript"/>
        </w:rPr>
        <w:t>o</w:t>
      </w:r>
      <w:r w:rsidR="00CE3DCD">
        <w:t>C.  S</w:t>
      </w:r>
      <w:r>
        <w:t xml:space="preserve">elect the </w:t>
      </w:r>
      <w:r w:rsidRPr="00F744F1">
        <w:rPr>
          <w:b/>
          <w:bCs/>
        </w:rPr>
        <w:t xml:space="preserve">concentration </w:t>
      </w:r>
      <w:r w:rsidR="00176967" w:rsidRPr="00F744F1">
        <w:rPr>
          <w:b/>
          <w:bCs/>
        </w:rPr>
        <w:t>of surfactant</w:t>
      </w:r>
      <w:r w:rsidR="00176967">
        <w:t xml:space="preserve"> </w:t>
      </w:r>
      <w:r>
        <w:t xml:space="preserve">to manufacture </w:t>
      </w:r>
      <w:r w:rsidR="00260A7E">
        <w:t xml:space="preserve">the </w:t>
      </w:r>
      <w:r>
        <w:t xml:space="preserve">sterile </w:t>
      </w:r>
      <w:r w:rsidR="00260A7E">
        <w:t>drug product for IV administration</w:t>
      </w:r>
      <w:r w:rsidR="00CE3DCD">
        <w:t xml:space="preserve"> of Pacific1</w:t>
      </w:r>
      <w:r w:rsidR="00260A7E">
        <w:t xml:space="preserve">, </w:t>
      </w:r>
      <w:r>
        <w:t xml:space="preserve">at </w:t>
      </w:r>
      <w:r w:rsidR="00176967" w:rsidRPr="00F744F1">
        <w:rPr>
          <w:b/>
          <w:bCs/>
        </w:rPr>
        <w:t>&gt;</w:t>
      </w:r>
      <w:r w:rsidRPr="00F744F1">
        <w:rPr>
          <w:b/>
          <w:bCs/>
        </w:rPr>
        <w:t>10/mg/</w:t>
      </w:r>
      <w:proofErr w:type="spellStart"/>
      <w:r w:rsidRPr="00F744F1">
        <w:rPr>
          <w:b/>
          <w:bCs/>
        </w:rPr>
        <w:t>mL</w:t>
      </w:r>
      <w:r>
        <w:t>.</w:t>
      </w:r>
      <w:proofErr w:type="spellEnd"/>
      <w:r>
        <w:t xml:space="preserve">  </w:t>
      </w:r>
      <w:r w:rsidR="00CE3DCD">
        <w:t xml:space="preserve">In one paragraph give </w:t>
      </w:r>
      <w:r w:rsidR="002A715B">
        <w:t>the</w:t>
      </w:r>
      <w:r w:rsidR="00CE3DCD">
        <w:t xml:space="preserve"> </w:t>
      </w:r>
      <w:r w:rsidR="00CE3DCD" w:rsidRPr="00F744F1">
        <w:rPr>
          <w:b/>
          <w:bCs/>
        </w:rPr>
        <w:t>rational</w:t>
      </w:r>
      <w:r w:rsidR="001603BF" w:rsidRPr="00F744F1">
        <w:rPr>
          <w:b/>
          <w:bCs/>
        </w:rPr>
        <w:t>e</w:t>
      </w:r>
      <w:r w:rsidR="00CE3DCD">
        <w:t xml:space="preserve"> for</w:t>
      </w:r>
      <w:r w:rsidR="002A715B">
        <w:t xml:space="preserve"> </w:t>
      </w:r>
      <w:r w:rsidR="00CE3DCD">
        <w:t>the surfactant concentration</w:t>
      </w:r>
      <w:r w:rsidR="002A715B">
        <w:t xml:space="preserve"> you have selected</w:t>
      </w:r>
      <w:r w:rsidR="00CE3DCD">
        <w:t>.</w:t>
      </w:r>
      <w:r w:rsidR="004C40D4">
        <w:t xml:space="preserve">  Are you confident that the drug will not </w:t>
      </w:r>
      <w:r w:rsidR="004C40D4" w:rsidRPr="00F744F1">
        <w:rPr>
          <w:b/>
          <w:bCs/>
        </w:rPr>
        <w:t>precipitate</w:t>
      </w:r>
      <w:r w:rsidR="004C40D4">
        <w:t xml:space="preserve"> </w:t>
      </w:r>
      <w:r w:rsidR="001603BF">
        <w:t>up</w:t>
      </w:r>
      <w:r w:rsidR="004C40D4">
        <w:t>on infusion?</w:t>
      </w:r>
      <w:r w:rsidR="009F633F">
        <w:t xml:space="preserve"> Solubility increases at higher temperature of body. </w:t>
      </w:r>
    </w:p>
    <w:p w14:paraId="38405B8A" w14:textId="77777777" w:rsidR="00176967" w:rsidRDefault="00176967" w:rsidP="00176967">
      <w:pPr>
        <w:pStyle w:val="ListParagraph"/>
      </w:pPr>
    </w:p>
    <w:p w14:paraId="18049FAB" w14:textId="77777777" w:rsidR="00CE3DCD" w:rsidRDefault="00CE3DCD" w:rsidP="00176967">
      <w:pPr>
        <w:pStyle w:val="ListParagraph"/>
      </w:pPr>
      <w:r>
        <w:t xml:space="preserve">Table </w:t>
      </w:r>
      <w:r w:rsidR="00CA37D1">
        <w:t>1</w:t>
      </w:r>
      <w:r>
        <w:t>.</w:t>
      </w:r>
      <w:r w:rsidR="00CC157B">
        <w:t>3</w:t>
      </w:r>
      <w:r w:rsidR="002D1E28">
        <w:t>. Solubility of Paxcific1 in aqueous solutions with P2020 surfactant</w:t>
      </w:r>
    </w:p>
    <w:p w14:paraId="046E1122" w14:textId="77777777" w:rsidR="00176967" w:rsidRDefault="00176967" w:rsidP="00176967">
      <w:pPr>
        <w:pStyle w:val="ListParagraph"/>
      </w:pPr>
    </w:p>
    <w:tbl>
      <w:tblPr>
        <w:tblStyle w:val="TableGrid"/>
        <w:tblW w:w="0" w:type="auto"/>
        <w:tblInd w:w="720" w:type="dxa"/>
        <w:tblLook w:val="04A0" w:firstRow="1" w:lastRow="0" w:firstColumn="1" w:lastColumn="0" w:noHBand="0" w:noVBand="1"/>
      </w:tblPr>
      <w:tblGrid>
        <w:gridCol w:w="2916"/>
        <w:gridCol w:w="2857"/>
        <w:gridCol w:w="2857"/>
      </w:tblGrid>
      <w:tr w:rsidR="00176967" w14:paraId="0BC82BCE" w14:textId="77777777" w:rsidTr="00176967">
        <w:tc>
          <w:tcPr>
            <w:tcW w:w="3116" w:type="dxa"/>
          </w:tcPr>
          <w:p w14:paraId="0D93E6B3" w14:textId="77777777" w:rsidR="00176967" w:rsidRPr="004C40D4" w:rsidRDefault="00176967" w:rsidP="00176967">
            <w:pPr>
              <w:pStyle w:val="ListParagraph"/>
              <w:ind w:left="0"/>
              <w:rPr>
                <w:b/>
                <w:color w:val="002060"/>
              </w:rPr>
            </w:pPr>
            <w:r w:rsidRPr="004C40D4">
              <w:rPr>
                <w:b/>
                <w:color w:val="002060"/>
              </w:rPr>
              <w:t xml:space="preserve">Surfactant concentration </w:t>
            </w:r>
            <w:r w:rsidR="001B7D36" w:rsidRPr="004C40D4">
              <w:rPr>
                <w:b/>
                <w:color w:val="002060"/>
              </w:rPr>
              <w:t>(mg/mL</w:t>
            </w:r>
            <w:proofErr w:type="gramStart"/>
            <w:r w:rsidR="001B7D36" w:rsidRPr="004C40D4">
              <w:rPr>
                <w:b/>
                <w:color w:val="002060"/>
              </w:rPr>
              <w:t>)</w:t>
            </w:r>
            <w:r w:rsidRPr="004C40D4">
              <w:rPr>
                <w:b/>
                <w:color w:val="002060"/>
              </w:rPr>
              <w:t xml:space="preserve"> </w:t>
            </w:r>
            <w:r w:rsidR="002D1E28" w:rsidRPr="004C40D4">
              <w:rPr>
                <w:b/>
                <w:color w:val="002060"/>
              </w:rPr>
              <w:t xml:space="preserve"> (</w:t>
            </w:r>
            <w:proofErr w:type="gramEnd"/>
            <w:r w:rsidR="002D1E28" w:rsidRPr="004C40D4">
              <w:rPr>
                <w:b/>
                <w:color w:val="002060"/>
              </w:rPr>
              <w:t>Pacific1)</w:t>
            </w:r>
          </w:p>
        </w:tc>
        <w:tc>
          <w:tcPr>
            <w:tcW w:w="3117" w:type="dxa"/>
          </w:tcPr>
          <w:p w14:paraId="7E060DFB" w14:textId="77777777" w:rsidR="00176967" w:rsidRPr="004C40D4" w:rsidRDefault="00176967" w:rsidP="00176967">
            <w:pPr>
              <w:pStyle w:val="ListParagraph"/>
              <w:ind w:left="0"/>
              <w:rPr>
                <w:b/>
                <w:color w:val="002060"/>
              </w:rPr>
            </w:pPr>
            <w:r w:rsidRPr="004C40D4">
              <w:rPr>
                <w:b/>
                <w:color w:val="002060"/>
              </w:rPr>
              <w:t>Solubility at 25</w:t>
            </w:r>
            <w:r w:rsidRPr="004C40D4">
              <w:rPr>
                <w:b/>
                <w:color w:val="002060"/>
                <w:vertAlign w:val="superscript"/>
              </w:rPr>
              <w:t>o</w:t>
            </w:r>
            <w:r w:rsidRPr="004C40D4">
              <w:rPr>
                <w:b/>
                <w:color w:val="002060"/>
              </w:rPr>
              <w:t>C</w:t>
            </w:r>
          </w:p>
          <w:p w14:paraId="495355C9" w14:textId="77777777" w:rsidR="007447B2" w:rsidRPr="004C40D4" w:rsidRDefault="007447B2" w:rsidP="00176967">
            <w:pPr>
              <w:pStyle w:val="ListParagraph"/>
              <w:ind w:left="0"/>
              <w:rPr>
                <w:b/>
                <w:color w:val="002060"/>
              </w:rPr>
            </w:pPr>
            <w:r w:rsidRPr="004C40D4">
              <w:rPr>
                <w:b/>
                <w:color w:val="002060"/>
              </w:rPr>
              <w:t>(mg/mL</w:t>
            </w:r>
            <w:r w:rsidR="00CE3DCD" w:rsidRPr="004C40D4">
              <w:rPr>
                <w:b/>
                <w:color w:val="002060"/>
              </w:rPr>
              <w:t>)</w:t>
            </w:r>
          </w:p>
        </w:tc>
        <w:tc>
          <w:tcPr>
            <w:tcW w:w="3117" w:type="dxa"/>
          </w:tcPr>
          <w:p w14:paraId="1D0EE6C0" w14:textId="77777777" w:rsidR="00176967" w:rsidRPr="004C40D4" w:rsidRDefault="001B7D36" w:rsidP="00176967">
            <w:pPr>
              <w:pStyle w:val="ListParagraph"/>
              <w:ind w:left="0"/>
              <w:rPr>
                <w:b/>
                <w:color w:val="002060"/>
              </w:rPr>
            </w:pPr>
            <w:r w:rsidRPr="004C40D4">
              <w:rPr>
                <w:b/>
                <w:color w:val="002060"/>
              </w:rPr>
              <w:t>Solubility at 37</w:t>
            </w:r>
            <w:r w:rsidRPr="004C40D4">
              <w:rPr>
                <w:b/>
                <w:color w:val="002060"/>
                <w:vertAlign w:val="superscript"/>
              </w:rPr>
              <w:t>o</w:t>
            </w:r>
            <w:r w:rsidRPr="004C40D4">
              <w:rPr>
                <w:b/>
                <w:color w:val="002060"/>
              </w:rPr>
              <w:t>C</w:t>
            </w:r>
          </w:p>
          <w:p w14:paraId="5FB70859" w14:textId="77777777" w:rsidR="007447B2" w:rsidRPr="004C40D4" w:rsidRDefault="007447B2" w:rsidP="00176967">
            <w:pPr>
              <w:pStyle w:val="ListParagraph"/>
              <w:ind w:left="0"/>
              <w:rPr>
                <w:b/>
                <w:color w:val="002060"/>
              </w:rPr>
            </w:pPr>
            <w:r w:rsidRPr="004C40D4">
              <w:rPr>
                <w:b/>
                <w:color w:val="002060"/>
              </w:rPr>
              <w:t>(mg/mL)</w:t>
            </w:r>
          </w:p>
        </w:tc>
      </w:tr>
      <w:tr w:rsidR="00176967" w14:paraId="4486294C" w14:textId="77777777" w:rsidTr="00176967">
        <w:tc>
          <w:tcPr>
            <w:tcW w:w="3116" w:type="dxa"/>
          </w:tcPr>
          <w:p w14:paraId="19453FC7" w14:textId="77777777" w:rsidR="00176967" w:rsidRDefault="00176967" w:rsidP="00176967">
            <w:pPr>
              <w:pStyle w:val="ListParagraph"/>
              <w:ind w:left="0"/>
            </w:pPr>
            <w:r>
              <w:t>0</w:t>
            </w:r>
          </w:p>
        </w:tc>
        <w:tc>
          <w:tcPr>
            <w:tcW w:w="3117" w:type="dxa"/>
          </w:tcPr>
          <w:p w14:paraId="10AC62C7" w14:textId="77777777" w:rsidR="00176967" w:rsidRDefault="007447B2" w:rsidP="00176967">
            <w:pPr>
              <w:pStyle w:val="ListParagraph"/>
              <w:ind w:left="0"/>
            </w:pPr>
            <w:r>
              <w:t>0.31</w:t>
            </w:r>
          </w:p>
        </w:tc>
        <w:tc>
          <w:tcPr>
            <w:tcW w:w="3117" w:type="dxa"/>
          </w:tcPr>
          <w:p w14:paraId="40562996" w14:textId="77777777" w:rsidR="00176967" w:rsidRDefault="007447B2" w:rsidP="00176967">
            <w:pPr>
              <w:pStyle w:val="ListParagraph"/>
              <w:ind w:left="0"/>
            </w:pPr>
            <w:r>
              <w:t>0.52</w:t>
            </w:r>
          </w:p>
        </w:tc>
      </w:tr>
      <w:tr w:rsidR="00176967" w14:paraId="55A64747" w14:textId="77777777" w:rsidTr="00176967">
        <w:tc>
          <w:tcPr>
            <w:tcW w:w="3116" w:type="dxa"/>
          </w:tcPr>
          <w:p w14:paraId="69EB1F39" w14:textId="77777777" w:rsidR="00176967" w:rsidRDefault="001B7D36" w:rsidP="00176967">
            <w:pPr>
              <w:pStyle w:val="ListParagraph"/>
              <w:ind w:left="0"/>
            </w:pPr>
            <w:r>
              <w:t>5</w:t>
            </w:r>
          </w:p>
        </w:tc>
        <w:tc>
          <w:tcPr>
            <w:tcW w:w="3117" w:type="dxa"/>
          </w:tcPr>
          <w:p w14:paraId="7C19CD02" w14:textId="77777777" w:rsidR="00176967" w:rsidRDefault="007447B2" w:rsidP="00176967">
            <w:pPr>
              <w:pStyle w:val="ListParagraph"/>
              <w:ind w:left="0"/>
            </w:pPr>
            <w:r>
              <w:t>0.34</w:t>
            </w:r>
          </w:p>
        </w:tc>
        <w:tc>
          <w:tcPr>
            <w:tcW w:w="3117" w:type="dxa"/>
          </w:tcPr>
          <w:p w14:paraId="04DAB6DF" w14:textId="77777777" w:rsidR="00176967" w:rsidRDefault="007447B2" w:rsidP="00176967">
            <w:pPr>
              <w:pStyle w:val="ListParagraph"/>
              <w:ind w:left="0"/>
            </w:pPr>
            <w:r>
              <w:t>0.53</w:t>
            </w:r>
          </w:p>
        </w:tc>
      </w:tr>
      <w:tr w:rsidR="00176967" w14:paraId="2FFB20E3" w14:textId="77777777" w:rsidTr="00176967">
        <w:tc>
          <w:tcPr>
            <w:tcW w:w="3116" w:type="dxa"/>
          </w:tcPr>
          <w:p w14:paraId="67094675" w14:textId="77777777" w:rsidR="00176967" w:rsidRDefault="001B7D36" w:rsidP="00176967">
            <w:pPr>
              <w:pStyle w:val="ListParagraph"/>
              <w:ind w:left="0"/>
            </w:pPr>
            <w:r>
              <w:t>10</w:t>
            </w:r>
          </w:p>
        </w:tc>
        <w:tc>
          <w:tcPr>
            <w:tcW w:w="3117" w:type="dxa"/>
          </w:tcPr>
          <w:p w14:paraId="69E0E446" w14:textId="77777777" w:rsidR="00176967" w:rsidRDefault="007447B2" w:rsidP="00176967">
            <w:pPr>
              <w:pStyle w:val="ListParagraph"/>
              <w:ind w:left="0"/>
            </w:pPr>
            <w:r>
              <w:t>0.33</w:t>
            </w:r>
          </w:p>
        </w:tc>
        <w:tc>
          <w:tcPr>
            <w:tcW w:w="3117" w:type="dxa"/>
          </w:tcPr>
          <w:p w14:paraId="73A22F3D" w14:textId="77777777" w:rsidR="00176967" w:rsidRDefault="007447B2" w:rsidP="00176967">
            <w:pPr>
              <w:pStyle w:val="ListParagraph"/>
              <w:ind w:left="0"/>
            </w:pPr>
            <w:r>
              <w:t>0.55</w:t>
            </w:r>
          </w:p>
        </w:tc>
      </w:tr>
      <w:tr w:rsidR="00176967" w14:paraId="70A2DA20" w14:textId="77777777" w:rsidTr="00176967">
        <w:tc>
          <w:tcPr>
            <w:tcW w:w="3116" w:type="dxa"/>
          </w:tcPr>
          <w:p w14:paraId="50296354" w14:textId="77777777" w:rsidR="00176967" w:rsidRDefault="001B7D36" w:rsidP="00176967">
            <w:pPr>
              <w:pStyle w:val="ListParagraph"/>
              <w:ind w:left="0"/>
            </w:pPr>
            <w:r>
              <w:t>25</w:t>
            </w:r>
          </w:p>
        </w:tc>
        <w:tc>
          <w:tcPr>
            <w:tcW w:w="3117" w:type="dxa"/>
          </w:tcPr>
          <w:p w14:paraId="5ED47690" w14:textId="77777777" w:rsidR="00176967" w:rsidRDefault="007447B2" w:rsidP="00176967">
            <w:pPr>
              <w:pStyle w:val="ListParagraph"/>
              <w:ind w:left="0"/>
            </w:pPr>
            <w:r>
              <w:t>2.4</w:t>
            </w:r>
          </w:p>
        </w:tc>
        <w:tc>
          <w:tcPr>
            <w:tcW w:w="3117" w:type="dxa"/>
          </w:tcPr>
          <w:p w14:paraId="17D5657B" w14:textId="77777777" w:rsidR="00176967" w:rsidRDefault="007447B2" w:rsidP="00176967">
            <w:pPr>
              <w:pStyle w:val="ListParagraph"/>
              <w:ind w:left="0"/>
            </w:pPr>
            <w:r>
              <w:t>4.6</w:t>
            </w:r>
          </w:p>
        </w:tc>
      </w:tr>
      <w:tr w:rsidR="00176967" w14:paraId="408CD961" w14:textId="77777777" w:rsidTr="00176967">
        <w:tc>
          <w:tcPr>
            <w:tcW w:w="3116" w:type="dxa"/>
          </w:tcPr>
          <w:p w14:paraId="3296F18A" w14:textId="77777777" w:rsidR="00176967" w:rsidRDefault="001B7D36" w:rsidP="00176967">
            <w:pPr>
              <w:pStyle w:val="ListParagraph"/>
              <w:ind w:left="0"/>
            </w:pPr>
            <w:r>
              <w:t>50</w:t>
            </w:r>
          </w:p>
        </w:tc>
        <w:tc>
          <w:tcPr>
            <w:tcW w:w="3117" w:type="dxa"/>
          </w:tcPr>
          <w:p w14:paraId="63BD14F8" w14:textId="77777777" w:rsidR="00176967" w:rsidRDefault="007447B2" w:rsidP="00176967">
            <w:pPr>
              <w:pStyle w:val="ListParagraph"/>
              <w:ind w:left="0"/>
            </w:pPr>
            <w:r>
              <w:t>7.4</w:t>
            </w:r>
          </w:p>
        </w:tc>
        <w:tc>
          <w:tcPr>
            <w:tcW w:w="3117" w:type="dxa"/>
          </w:tcPr>
          <w:p w14:paraId="67DA6620" w14:textId="77777777" w:rsidR="00176967" w:rsidRDefault="007447B2" w:rsidP="00176967">
            <w:pPr>
              <w:pStyle w:val="ListParagraph"/>
              <w:ind w:left="0"/>
            </w:pPr>
            <w:r>
              <w:t>10.3</w:t>
            </w:r>
          </w:p>
        </w:tc>
      </w:tr>
      <w:tr w:rsidR="00176967" w14:paraId="5BB4446E" w14:textId="77777777" w:rsidTr="00176967">
        <w:tc>
          <w:tcPr>
            <w:tcW w:w="3116" w:type="dxa"/>
          </w:tcPr>
          <w:p w14:paraId="767C2C76" w14:textId="77777777" w:rsidR="00176967" w:rsidRDefault="001B7D36" w:rsidP="00176967">
            <w:pPr>
              <w:pStyle w:val="ListParagraph"/>
              <w:ind w:left="0"/>
            </w:pPr>
            <w:r>
              <w:t>75</w:t>
            </w:r>
          </w:p>
        </w:tc>
        <w:tc>
          <w:tcPr>
            <w:tcW w:w="3117" w:type="dxa"/>
          </w:tcPr>
          <w:p w14:paraId="14C29CFC" w14:textId="77777777" w:rsidR="00176967" w:rsidRDefault="007447B2" w:rsidP="00176967">
            <w:pPr>
              <w:pStyle w:val="ListParagraph"/>
              <w:ind w:left="0"/>
            </w:pPr>
            <w:r>
              <w:t>12.8</w:t>
            </w:r>
          </w:p>
        </w:tc>
        <w:tc>
          <w:tcPr>
            <w:tcW w:w="3117" w:type="dxa"/>
          </w:tcPr>
          <w:p w14:paraId="090D3B9A" w14:textId="77777777" w:rsidR="00176967" w:rsidRDefault="007447B2" w:rsidP="00176967">
            <w:pPr>
              <w:pStyle w:val="ListParagraph"/>
              <w:ind w:left="0"/>
            </w:pPr>
            <w:r>
              <w:t>15.6</w:t>
            </w:r>
          </w:p>
        </w:tc>
      </w:tr>
      <w:tr w:rsidR="00176967" w14:paraId="7B5782DE" w14:textId="77777777" w:rsidTr="00176967">
        <w:tc>
          <w:tcPr>
            <w:tcW w:w="3116" w:type="dxa"/>
          </w:tcPr>
          <w:p w14:paraId="2DB226B9" w14:textId="77777777" w:rsidR="00176967" w:rsidRDefault="001B7D36" w:rsidP="00176967">
            <w:pPr>
              <w:pStyle w:val="ListParagraph"/>
              <w:ind w:left="0"/>
            </w:pPr>
            <w:r>
              <w:t>100</w:t>
            </w:r>
          </w:p>
        </w:tc>
        <w:tc>
          <w:tcPr>
            <w:tcW w:w="3117" w:type="dxa"/>
          </w:tcPr>
          <w:p w14:paraId="26845D3A" w14:textId="77777777" w:rsidR="00176967" w:rsidRDefault="007447B2" w:rsidP="00176967">
            <w:pPr>
              <w:pStyle w:val="ListParagraph"/>
              <w:ind w:left="0"/>
            </w:pPr>
            <w:r>
              <w:t>18.4</w:t>
            </w:r>
          </w:p>
        </w:tc>
        <w:tc>
          <w:tcPr>
            <w:tcW w:w="3117" w:type="dxa"/>
          </w:tcPr>
          <w:p w14:paraId="3EF941A1" w14:textId="77777777" w:rsidR="00176967" w:rsidRDefault="007447B2" w:rsidP="00176967">
            <w:pPr>
              <w:pStyle w:val="ListParagraph"/>
              <w:ind w:left="0"/>
            </w:pPr>
            <w:r>
              <w:t>-</w:t>
            </w:r>
          </w:p>
        </w:tc>
      </w:tr>
    </w:tbl>
    <w:p w14:paraId="6744867E" w14:textId="763DEB57" w:rsidR="00176967" w:rsidRDefault="00176967" w:rsidP="00176967">
      <w:pPr>
        <w:pStyle w:val="ListParagraph"/>
      </w:pPr>
    </w:p>
    <w:p w14:paraId="407A674F" w14:textId="6C73B584" w:rsidR="00F744F1" w:rsidRDefault="00F744F1" w:rsidP="00176967">
      <w:pPr>
        <w:pStyle w:val="ListParagraph"/>
      </w:pPr>
      <w:r>
        <w:t xml:space="preserve">Plot solubility vs. surfactant conc. </w:t>
      </w:r>
      <w:r>
        <w:sym w:font="Wingdings" w:char="F0E0"/>
      </w:r>
      <w:r>
        <w:t xml:space="preserve"> point where solubility begins to increase linearly is CMC at each T. </w:t>
      </w:r>
    </w:p>
    <w:p w14:paraId="4AE875C0" w14:textId="77777777" w:rsidR="007330D0" w:rsidRDefault="007330D0" w:rsidP="007330D0"/>
    <w:p w14:paraId="52FA28C1" w14:textId="77777777" w:rsidR="00F860FA" w:rsidRDefault="00F860FA" w:rsidP="007330D0"/>
    <w:p w14:paraId="61FA646E" w14:textId="77777777" w:rsidR="0084703A" w:rsidRDefault="00F860FA" w:rsidP="00F860FA">
      <w:pPr>
        <w:pStyle w:val="ListParagraph"/>
        <w:numPr>
          <w:ilvl w:val="0"/>
          <w:numId w:val="1"/>
        </w:numPr>
      </w:pPr>
      <w:r>
        <w:t xml:space="preserve"> </w:t>
      </w:r>
      <w:r w:rsidR="0084703A">
        <w:t>(</w:t>
      </w:r>
      <w:r w:rsidR="009A375B">
        <w:t>20</w:t>
      </w:r>
      <w:r w:rsidR="0084703A">
        <w:t>)</w:t>
      </w:r>
    </w:p>
    <w:p w14:paraId="5DEBB483" w14:textId="5A595820" w:rsidR="00F860FA" w:rsidRDefault="00F860FA" w:rsidP="0084703A">
      <w:pPr>
        <w:pStyle w:val="ListParagraph"/>
      </w:pPr>
      <w:r>
        <w:t xml:space="preserve">A Phase 1 clinical study was done </w:t>
      </w:r>
      <w:r w:rsidR="00B22AB5">
        <w:t>in</w:t>
      </w:r>
      <w:r>
        <w:t xml:space="preserve"> a</w:t>
      </w:r>
      <w:r w:rsidR="00B22AB5">
        <w:t>n</w:t>
      </w:r>
      <w:r>
        <w:t xml:space="preserve"> “all comers” </w:t>
      </w:r>
      <w:r w:rsidR="00CE3DCD">
        <w:t xml:space="preserve">cancer </w:t>
      </w:r>
      <w:r>
        <w:t xml:space="preserve">patient </w:t>
      </w:r>
      <w:r w:rsidR="00B22AB5">
        <w:t>population</w:t>
      </w:r>
      <w:r>
        <w:t xml:space="preserve"> to determine the pharmacokinetic properties and dose limiting toxicity</w:t>
      </w:r>
      <w:r w:rsidR="00CE3DCD">
        <w:t xml:space="preserve"> of Pacifiic1</w:t>
      </w:r>
      <w:r>
        <w:t xml:space="preserve">.  The maximum tolerated </w:t>
      </w:r>
      <w:r w:rsidRPr="00F744F1">
        <w:rPr>
          <w:b/>
          <w:bCs/>
        </w:rPr>
        <w:t>single dose was determined to be 10 mg by IV bolus</w:t>
      </w:r>
      <w:r>
        <w:t>.  The dose limiting toxicity was peripheral neuropathy</w:t>
      </w:r>
      <w:r w:rsidR="001603BF">
        <w:t xml:space="preserve"> which</w:t>
      </w:r>
      <w:r>
        <w:t xml:space="preserve"> was expected from the </w:t>
      </w:r>
      <w:r w:rsidR="00CE3DCD">
        <w:t xml:space="preserve">results of the preclinical </w:t>
      </w:r>
      <w:r>
        <w:t xml:space="preserve">animal studies. </w:t>
      </w:r>
    </w:p>
    <w:p w14:paraId="3678FCA7" w14:textId="77777777" w:rsidR="00F860FA" w:rsidRDefault="00F860FA" w:rsidP="00F860FA">
      <w:pPr>
        <w:pStyle w:val="ListParagraph"/>
      </w:pPr>
    </w:p>
    <w:p w14:paraId="5A815E32" w14:textId="32C71BD0" w:rsidR="00F860FA" w:rsidRDefault="00F860FA" w:rsidP="00F860FA">
      <w:pPr>
        <w:pStyle w:val="ListParagraph"/>
      </w:pPr>
      <w:r>
        <w:t>There were a couple of remarkable observations from the</w:t>
      </w:r>
      <w:r w:rsidR="00CE3DCD">
        <w:t xml:space="preserve"> Phase 1</w:t>
      </w:r>
      <w:r>
        <w:t xml:space="preserve"> trial.  The fi</w:t>
      </w:r>
      <w:r w:rsidR="00B22AB5">
        <w:t>r</w:t>
      </w:r>
      <w:r>
        <w:t xml:space="preserve">st was the pharmacokinetic profile of the drug, which is shown in the Table </w:t>
      </w:r>
      <w:r w:rsidR="00D93EA1">
        <w:t>1.4</w:t>
      </w:r>
      <w:r w:rsidR="00B27F6D">
        <w:t xml:space="preserve"> </w:t>
      </w:r>
      <w:r>
        <w:t xml:space="preserve">below.  The drug appears to have a </w:t>
      </w:r>
      <w:r w:rsidRPr="00F744F1">
        <w:rPr>
          <w:b/>
          <w:bCs/>
        </w:rPr>
        <w:t>very short half-life</w:t>
      </w:r>
      <w:r>
        <w:t xml:space="preserve"> in patients.  Determine the </w:t>
      </w:r>
      <w:r w:rsidRPr="00F744F1">
        <w:rPr>
          <w:b/>
          <w:bCs/>
        </w:rPr>
        <w:t xml:space="preserve">volume of </w:t>
      </w:r>
      <w:r w:rsidRPr="00F744F1">
        <w:rPr>
          <w:b/>
          <w:bCs/>
        </w:rPr>
        <w:lastRenderedPageBreak/>
        <w:t>distribution, the elimination half-life and the elimination rate constant</w:t>
      </w:r>
      <w:r>
        <w:t xml:space="preserve"> for the mean </w:t>
      </w:r>
      <w:r w:rsidR="00920A19">
        <w:t>PK results</w:t>
      </w:r>
      <w:r>
        <w:t xml:space="preserve"> for the IV bolus at 10 mg</w:t>
      </w:r>
      <w:r w:rsidR="00CE3DCD">
        <w:t>,</w:t>
      </w:r>
      <w:r>
        <w:t xml:space="preserve"> </w:t>
      </w:r>
      <w:r w:rsidR="009A375B">
        <w:t>(n=</w:t>
      </w:r>
      <w:r w:rsidR="00920A19">
        <w:t xml:space="preserve">six </w:t>
      </w:r>
      <w:r>
        <w:t>patients</w:t>
      </w:r>
      <w:r w:rsidR="009A375B">
        <w:t>)</w:t>
      </w:r>
      <w:r>
        <w:t>.</w:t>
      </w:r>
    </w:p>
    <w:p w14:paraId="3007819A" w14:textId="77777777" w:rsidR="00F860FA" w:rsidRDefault="00F860FA" w:rsidP="00F860FA">
      <w:pPr>
        <w:pStyle w:val="ListParagraph"/>
      </w:pPr>
    </w:p>
    <w:p w14:paraId="2B03B7D4" w14:textId="75D2BB56" w:rsidR="00F860FA" w:rsidRDefault="00F860FA" w:rsidP="00F860FA">
      <w:pPr>
        <w:pStyle w:val="ListParagraph"/>
      </w:pPr>
      <w:r>
        <w:t xml:space="preserve">The second surprising observation was </w:t>
      </w:r>
      <w:r w:rsidR="002A715B">
        <w:t>a potential efficacy signal o</w:t>
      </w:r>
      <w:r>
        <w:t xml:space="preserve">f the drug in pancreatic cancer patients.  While there were only two pancreatic cancer patients in this phase I study, both </w:t>
      </w:r>
      <w:r w:rsidR="002863B6">
        <w:t xml:space="preserve">patients </w:t>
      </w:r>
      <w:r>
        <w:t xml:space="preserve">showed </w:t>
      </w:r>
      <w:r w:rsidR="00520951">
        <w:t>some improvement within weeks of the first dose and were kept on study</w:t>
      </w:r>
      <w:r w:rsidR="00920A19">
        <w:t>.</w:t>
      </w:r>
      <w:r w:rsidR="00520951">
        <w:t xml:space="preserve"> </w:t>
      </w:r>
      <w:r w:rsidR="00920A19">
        <w:t>They continued to be</w:t>
      </w:r>
      <w:r w:rsidR="002863B6">
        <w:t xml:space="preserve"> </w:t>
      </w:r>
      <w:r w:rsidR="00520951">
        <w:t xml:space="preserve">treated at 10 mg </w:t>
      </w:r>
      <w:r w:rsidR="00920A19">
        <w:t xml:space="preserve">IV bolus </w:t>
      </w:r>
      <w:r w:rsidR="00520951">
        <w:t>every week thereafter.  These two pancreatic patients both now have stable disease</w:t>
      </w:r>
      <w:r w:rsidR="009A375B">
        <w:t>, but</w:t>
      </w:r>
      <w:r w:rsidR="002863B6">
        <w:t xml:space="preserve"> with some </w:t>
      </w:r>
      <w:r w:rsidR="00CE3DCD">
        <w:t xml:space="preserve">evidence of </w:t>
      </w:r>
      <w:r w:rsidR="002863B6">
        <w:t>peripheral neuropathy.</w:t>
      </w:r>
    </w:p>
    <w:p w14:paraId="48B01369" w14:textId="77777777" w:rsidR="000E7A4C" w:rsidRDefault="000E7A4C" w:rsidP="00F860FA">
      <w:pPr>
        <w:pStyle w:val="ListParagraph"/>
      </w:pPr>
    </w:p>
    <w:p w14:paraId="25E5835B" w14:textId="77777777" w:rsidR="00B27F6D" w:rsidRDefault="00B27F6D" w:rsidP="00F860FA">
      <w:pPr>
        <w:pStyle w:val="ListParagraph"/>
      </w:pPr>
    </w:p>
    <w:p w14:paraId="70ECF639" w14:textId="77777777" w:rsidR="00B27F6D" w:rsidRDefault="00B27F6D" w:rsidP="00F860FA">
      <w:pPr>
        <w:pStyle w:val="ListParagraph"/>
      </w:pPr>
      <w:r>
        <w:t xml:space="preserve">Table </w:t>
      </w:r>
      <w:r w:rsidR="00CA37D1">
        <w:t>1</w:t>
      </w:r>
      <w:r>
        <w:t>.</w:t>
      </w:r>
      <w:r w:rsidR="004C40D4">
        <w:t>4. Mean pharmacokinetic profile for Pacific1 at a 10 mg bolus dose in cancer patients.</w:t>
      </w:r>
    </w:p>
    <w:tbl>
      <w:tblPr>
        <w:tblStyle w:val="TableGrid"/>
        <w:tblW w:w="0" w:type="auto"/>
        <w:tblInd w:w="720" w:type="dxa"/>
        <w:tblLook w:val="04A0" w:firstRow="1" w:lastRow="0" w:firstColumn="1" w:lastColumn="0" w:noHBand="0" w:noVBand="1"/>
      </w:tblPr>
      <w:tblGrid>
        <w:gridCol w:w="825"/>
        <w:gridCol w:w="1578"/>
      </w:tblGrid>
      <w:tr w:rsidR="008823BC" w14:paraId="5062C521" w14:textId="77777777" w:rsidTr="008823BC">
        <w:tc>
          <w:tcPr>
            <w:tcW w:w="825" w:type="dxa"/>
          </w:tcPr>
          <w:p w14:paraId="4DAEE370" w14:textId="77777777" w:rsidR="008823BC" w:rsidRPr="004C40D4" w:rsidRDefault="008823BC" w:rsidP="00F860FA">
            <w:pPr>
              <w:pStyle w:val="ListParagraph"/>
              <w:ind w:left="0"/>
              <w:rPr>
                <w:b/>
                <w:color w:val="002060"/>
              </w:rPr>
            </w:pPr>
            <w:r w:rsidRPr="004C40D4">
              <w:rPr>
                <w:b/>
                <w:color w:val="002060"/>
              </w:rPr>
              <w:t>Time</w:t>
            </w:r>
          </w:p>
        </w:tc>
        <w:tc>
          <w:tcPr>
            <w:tcW w:w="1578" w:type="dxa"/>
          </w:tcPr>
          <w:p w14:paraId="49582DE8" w14:textId="77777777" w:rsidR="008823BC" w:rsidRPr="004C40D4" w:rsidRDefault="004C40D4" w:rsidP="00F860FA">
            <w:pPr>
              <w:pStyle w:val="ListParagraph"/>
              <w:ind w:left="0"/>
              <w:rPr>
                <w:b/>
                <w:color w:val="002060"/>
              </w:rPr>
            </w:pPr>
            <w:r w:rsidRPr="004C40D4">
              <w:rPr>
                <w:b/>
                <w:color w:val="002060"/>
              </w:rPr>
              <w:t>C</w:t>
            </w:r>
            <w:r w:rsidRPr="004C40D4">
              <w:rPr>
                <w:b/>
                <w:color w:val="002060"/>
                <w:vertAlign w:val="subscript"/>
              </w:rPr>
              <w:t>p</w:t>
            </w:r>
            <w:r w:rsidRPr="004C40D4">
              <w:rPr>
                <w:b/>
                <w:color w:val="002060"/>
              </w:rPr>
              <w:t xml:space="preserve"> (ug/mL)</w:t>
            </w:r>
          </w:p>
          <w:p w14:paraId="56E5FE89" w14:textId="77777777" w:rsidR="004C40D4" w:rsidRPr="004C40D4" w:rsidRDefault="004C40D4" w:rsidP="00F860FA">
            <w:pPr>
              <w:pStyle w:val="ListParagraph"/>
              <w:ind w:left="0"/>
              <w:rPr>
                <w:b/>
                <w:color w:val="002060"/>
              </w:rPr>
            </w:pPr>
          </w:p>
        </w:tc>
      </w:tr>
      <w:tr w:rsidR="008823BC" w14:paraId="0413D19E" w14:textId="77777777" w:rsidTr="008823BC">
        <w:tc>
          <w:tcPr>
            <w:tcW w:w="825" w:type="dxa"/>
          </w:tcPr>
          <w:p w14:paraId="78316A63" w14:textId="77777777" w:rsidR="008823BC" w:rsidRDefault="008823BC" w:rsidP="00F860FA">
            <w:pPr>
              <w:pStyle w:val="ListParagraph"/>
              <w:ind w:left="0"/>
            </w:pPr>
            <w:r>
              <w:t>0</w:t>
            </w:r>
          </w:p>
        </w:tc>
        <w:tc>
          <w:tcPr>
            <w:tcW w:w="1578" w:type="dxa"/>
          </w:tcPr>
          <w:p w14:paraId="1ACB4B48" w14:textId="2D1C96A2" w:rsidR="008823BC" w:rsidRDefault="00A52ECE" w:rsidP="00F860FA">
            <w:pPr>
              <w:pStyle w:val="ListParagraph"/>
              <w:ind w:left="0"/>
            </w:pPr>
            <w:r>
              <w:t>N</w:t>
            </w:r>
            <w:r w:rsidR="004C40D4">
              <w:t>a</w:t>
            </w:r>
          </w:p>
        </w:tc>
      </w:tr>
      <w:tr w:rsidR="008823BC" w14:paraId="02EC338B" w14:textId="77777777" w:rsidTr="008823BC">
        <w:tc>
          <w:tcPr>
            <w:tcW w:w="825" w:type="dxa"/>
          </w:tcPr>
          <w:p w14:paraId="075D4051" w14:textId="77777777" w:rsidR="008823BC" w:rsidRDefault="008823BC" w:rsidP="00F860FA">
            <w:pPr>
              <w:pStyle w:val="ListParagraph"/>
              <w:ind w:left="0"/>
            </w:pPr>
            <w:r>
              <w:t>1</w:t>
            </w:r>
          </w:p>
        </w:tc>
        <w:tc>
          <w:tcPr>
            <w:tcW w:w="1578" w:type="dxa"/>
          </w:tcPr>
          <w:p w14:paraId="1F791375" w14:textId="77777777" w:rsidR="008823BC" w:rsidRDefault="008823BC" w:rsidP="00F860FA">
            <w:pPr>
              <w:pStyle w:val="ListParagraph"/>
              <w:ind w:left="0"/>
            </w:pPr>
            <w:r>
              <w:t>.088</w:t>
            </w:r>
          </w:p>
        </w:tc>
      </w:tr>
      <w:tr w:rsidR="008823BC" w14:paraId="51E05651" w14:textId="77777777" w:rsidTr="008823BC">
        <w:tc>
          <w:tcPr>
            <w:tcW w:w="825" w:type="dxa"/>
          </w:tcPr>
          <w:p w14:paraId="3A820C46" w14:textId="77777777" w:rsidR="008823BC" w:rsidRDefault="008823BC" w:rsidP="00F860FA">
            <w:pPr>
              <w:pStyle w:val="ListParagraph"/>
              <w:ind w:left="0"/>
            </w:pPr>
            <w:r>
              <w:t>2</w:t>
            </w:r>
          </w:p>
        </w:tc>
        <w:tc>
          <w:tcPr>
            <w:tcW w:w="1578" w:type="dxa"/>
          </w:tcPr>
          <w:p w14:paraId="2A1DBCCA" w14:textId="77777777" w:rsidR="008823BC" w:rsidRDefault="008823BC" w:rsidP="00F860FA">
            <w:pPr>
              <w:pStyle w:val="ListParagraph"/>
              <w:ind w:left="0"/>
            </w:pPr>
            <w:r>
              <w:t>0.075</w:t>
            </w:r>
          </w:p>
        </w:tc>
      </w:tr>
      <w:tr w:rsidR="008823BC" w14:paraId="37237324" w14:textId="77777777" w:rsidTr="008823BC">
        <w:tc>
          <w:tcPr>
            <w:tcW w:w="825" w:type="dxa"/>
          </w:tcPr>
          <w:p w14:paraId="265C3F76" w14:textId="77777777" w:rsidR="008823BC" w:rsidRDefault="008823BC" w:rsidP="00F860FA">
            <w:pPr>
              <w:pStyle w:val="ListParagraph"/>
              <w:ind w:left="0"/>
            </w:pPr>
            <w:r>
              <w:t>3</w:t>
            </w:r>
          </w:p>
        </w:tc>
        <w:tc>
          <w:tcPr>
            <w:tcW w:w="1578" w:type="dxa"/>
          </w:tcPr>
          <w:p w14:paraId="3BFB6A22" w14:textId="77777777" w:rsidR="008823BC" w:rsidRDefault="008823BC" w:rsidP="00F860FA">
            <w:pPr>
              <w:pStyle w:val="ListParagraph"/>
              <w:ind w:left="0"/>
            </w:pPr>
            <w:r>
              <w:t>0.061</w:t>
            </w:r>
          </w:p>
        </w:tc>
      </w:tr>
      <w:tr w:rsidR="008823BC" w14:paraId="7EDB65B7" w14:textId="77777777" w:rsidTr="008823BC">
        <w:tc>
          <w:tcPr>
            <w:tcW w:w="825" w:type="dxa"/>
          </w:tcPr>
          <w:p w14:paraId="66050F48" w14:textId="77777777" w:rsidR="008823BC" w:rsidRDefault="008823BC" w:rsidP="00F860FA">
            <w:pPr>
              <w:pStyle w:val="ListParagraph"/>
              <w:ind w:left="0"/>
            </w:pPr>
            <w:r>
              <w:t>4</w:t>
            </w:r>
          </w:p>
        </w:tc>
        <w:tc>
          <w:tcPr>
            <w:tcW w:w="1578" w:type="dxa"/>
          </w:tcPr>
          <w:p w14:paraId="6B2829E0" w14:textId="77777777" w:rsidR="008823BC" w:rsidRDefault="008823BC" w:rsidP="00F860FA">
            <w:pPr>
              <w:pStyle w:val="ListParagraph"/>
              <w:ind w:left="0"/>
            </w:pPr>
            <w:r>
              <w:t>0.051</w:t>
            </w:r>
          </w:p>
        </w:tc>
      </w:tr>
      <w:tr w:rsidR="008823BC" w14:paraId="67936285" w14:textId="77777777" w:rsidTr="008823BC">
        <w:tc>
          <w:tcPr>
            <w:tcW w:w="825" w:type="dxa"/>
          </w:tcPr>
          <w:p w14:paraId="41DA1AB0" w14:textId="77777777" w:rsidR="008823BC" w:rsidRDefault="008823BC" w:rsidP="00F860FA">
            <w:pPr>
              <w:pStyle w:val="ListParagraph"/>
              <w:ind w:left="0"/>
            </w:pPr>
            <w:r>
              <w:t>6</w:t>
            </w:r>
          </w:p>
        </w:tc>
        <w:tc>
          <w:tcPr>
            <w:tcW w:w="1578" w:type="dxa"/>
          </w:tcPr>
          <w:p w14:paraId="673E997E" w14:textId="77777777" w:rsidR="008823BC" w:rsidRDefault="008823BC" w:rsidP="00F860FA">
            <w:pPr>
              <w:pStyle w:val="ListParagraph"/>
              <w:ind w:left="0"/>
            </w:pPr>
            <w:r>
              <w:t>0.034</w:t>
            </w:r>
          </w:p>
        </w:tc>
      </w:tr>
      <w:tr w:rsidR="008823BC" w14:paraId="54AE5720" w14:textId="77777777" w:rsidTr="008823BC">
        <w:tc>
          <w:tcPr>
            <w:tcW w:w="825" w:type="dxa"/>
          </w:tcPr>
          <w:p w14:paraId="1C3769CD" w14:textId="77777777" w:rsidR="008823BC" w:rsidRDefault="008823BC" w:rsidP="00F860FA">
            <w:pPr>
              <w:pStyle w:val="ListParagraph"/>
              <w:ind w:left="0"/>
            </w:pPr>
            <w:r>
              <w:t>8</w:t>
            </w:r>
          </w:p>
        </w:tc>
        <w:tc>
          <w:tcPr>
            <w:tcW w:w="1578" w:type="dxa"/>
          </w:tcPr>
          <w:p w14:paraId="14E29D04" w14:textId="77777777" w:rsidR="008823BC" w:rsidRDefault="008823BC" w:rsidP="00F860FA">
            <w:pPr>
              <w:pStyle w:val="ListParagraph"/>
              <w:ind w:left="0"/>
            </w:pPr>
            <w:r>
              <w:t>0.026</w:t>
            </w:r>
          </w:p>
        </w:tc>
      </w:tr>
      <w:tr w:rsidR="008823BC" w14:paraId="60A5DC7E" w14:textId="77777777" w:rsidTr="008823BC">
        <w:tc>
          <w:tcPr>
            <w:tcW w:w="825" w:type="dxa"/>
          </w:tcPr>
          <w:p w14:paraId="3F515B10" w14:textId="77777777" w:rsidR="008823BC" w:rsidRDefault="008823BC" w:rsidP="00F860FA">
            <w:pPr>
              <w:pStyle w:val="ListParagraph"/>
              <w:ind w:left="0"/>
            </w:pPr>
            <w:r>
              <w:t>12</w:t>
            </w:r>
          </w:p>
        </w:tc>
        <w:tc>
          <w:tcPr>
            <w:tcW w:w="1578" w:type="dxa"/>
          </w:tcPr>
          <w:p w14:paraId="2F1F58FE" w14:textId="77777777" w:rsidR="008823BC" w:rsidRDefault="008823BC" w:rsidP="00F860FA">
            <w:pPr>
              <w:pStyle w:val="ListParagraph"/>
              <w:ind w:left="0"/>
            </w:pPr>
            <w:r>
              <w:t>0.0115</w:t>
            </w:r>
          </w:p>
        </w:tc>
      </w:tr>
      <w:tr w:rsidR="008823BC" w14:paraId="149CCEF6" w14:textId="77777777" w:rsidTr="008823BC">
        <w:tc>
          <w:tcPr>
            <w:tcW w:w="825" w:type="dxa"/>
          </w:tcPr>
          <w:p w14:paraId="5608ADE8" w14:textId="77777777" w:rsidR="008823BC" w:rsidRDefault="008823BC" w:rsidP="00F860FA">
            <w:pPr>
              <w:pStyle w:val="ListParagraph"/>
              <w:ind w:left="0"/>
            </w:pPr>
            <w:r>
              <w:t>16</w:t>
            </w:r>
          </w:p>
        </w:tc>
        <w:tc>
          <w:tcPr>
            <w:tcW w:w="1578" w:type="dxa"/>
          </w:tcPr>
          <w:p w14:paraId="260478D8" w14:textId="77777777" w:rsidR="008823BC" w:rsidRDefault="008823BC" w:rsidP="00F860FA">
            <w:pPr>
              <w:pStyle w:val="ListParagraph"/>
              <w:ind w:left="0"/>
            </w:pPr>
            <w:r>
              <w:t>Below quantification</w:t>
            </w:r>
          </w:p>
        </w:tc>
      </w:tr>
    </w:tbl>
    <w:p w14:paraId="5EBC7AB3" w14:textId="77777777" w:rsidR="00520951" w:rsidRDefault="00520951" w:rsidP="00F860FA">
      <w:pPr>
        <w:pStyle w:val="ListParagraph"/>
      </w:pPr>
    </w:p>
    <w:p w14:paraId="7FBBFBDE" w14:textId="6EFF8F20" w:rsidR="008F0F70" w:rsidRDefault="00F744F1" w:rsidP="00F860FA">
      <w:pPr>
        <w:pStyle w:val="ListParagraph"/>
      </w:pPr>
      <w:r>
        <w:t xml:space="preserve">Plot and fit to either 1- or 2-compartment model; parameters are V and </w:t>
      </w:r>
      <w:proofErr w:type="spellStart"/>
      <w:r>
        <w:t>ke</w:t>
      </w:r>
      <w:proofErr w:type="spellEnd"/>
    </w:p>
    <w:p w14:paraId="69BA617E" w14:textId="77777777" w:rsidR="00920A19" w:rsidRDefault="00920A19" w:rsidP="00F860FA">
      <w:pPr>
        <w:pStyle w:val="ListParagraph"/>
      </w:pPr>
    </w:p>
    <w:p w14:paraId="2E3B03B4" w14:textId="77777777" w:rsidR="0084703A" w:rsidRDefault="0084703A" w:rsidP="00920A19">
      <w:pPr>
        <w:pStyle w:val="ListParagraph"/>
        <w:numPr>
          <w:ilvl w:val="0"/>
          <w:numId w:val="1"/>
        </w:numPr>
      </w:pPr>
      <w:r>
        <w:t>(20)</w:t>
      </w:r>
    </w:p>
    <w:p w14:paraId="2909DD92" w14:textId="7E4056EE" w:rsidR="00920A19" w:rsidRPr="00F744F1" w:rsidRDefault="00E36656" w:rsidP="0084703A">
      <w:pPr>
        <w:pStyle w:val="ListParagraph"/>
        <w:rPr>
          <w:b/>
          <w:bCs/>
        </w:rPr>
      </w:pPr>
      <w:r>
        <w:t>From mouse tumor studies</w:t>
      </w:r>
      <w:r w:rsidR="002A715B">
        <w:t>,</w:t>
      </w:r>
      <w:r>
        <w:t xml:space="preserve"> it was established that </w:t>
      </w:r>
      <w:r w:rsidRPr="00F744F1">
        <w:rPr>
          <w:b/>
          <w:bCs/>
        </w:rPr>
        <w:t>efficacy</w:t>
      </w:r>
      <w:r>
        <w:t xml:space="preserve"> was dependent on dose </w:t>
      </w:r>
      <w:r w:rsidR="00D247B3">
        <w:t>intensity</w:t>
      </w:r>
      <w:r>
        <w:t xml:space="preserve"> </w:t>
      </w:r>
      <w:r w:rsidR="002A715B">
        <w:t>(</w:t>
      </w:r>
      <w:r w:rsidR="002A715B" w:rsidRPr="00F744F1">
        <w:rPr>
          <w:b/>
          <w:bCs/>
        </w:rPr>
        <w:t>average exposure over time</w:t>
      </w:r>
      <w:r w:rsidR="002A715B">
        <w:t xml:space="preserve">) </w:t>
      </w:r>
      <w:r>
        <w:t>and not maximum plasma concentration.  However, t</w:t>
      </w:r>
      <w:r w:rsidR="00920A19">
        <w:t xml:space="preserve">he clinical and pharmacology teams both suspect that the </w:t>
      </w:r>
      <w:r w:rsidR="00D247B3">
        <w:t>chemotherapy</w:t>
      </w:r>
      <w:r w:rsidR="003527CA">
        <w:t>-</w:t>
      </w:r>
      <w:r w:rsidR="00D247B3">
        <w:t xml:space="preserve">induced </w:t>
      </w:r>
      <w:r w:rsidR="00920A19" w:rsidRPr="00F744F1">
        <w:rPr>
          <w:b/>
          <w:bCs/>
        </w:rPr>
        <w:t>peripheral neuropathy</w:t>
      </w:r>
      <w:r w:rsidR="008823BC">
        <w:t xml:space="preserve"> (CIPN)</w:t>
      </w:r>
      <w:r w:rsidR="00920A19">
        <w:t xml:space="preserve"> is caused by </w:t>
      </w:r>
      <w:r w:rsidR="009A375B">
        <w:t xml:space="preserve">the </w:t>
      </w:r>
      <w:r w:rsidR="00D247B3" w:rsidRPr="00F744F1">
        <w:rPr>
          <w:b/>
          <w:bCs/>
        </w:rPr>
        <w:t xml:space="preserve">maximum </w:t>
      </w:r>
      <w:r w:rsidR="00920A19" w:rsidRPr="00F744F1">
        <w:rPr>
          <w:b/>
          <w:bCs/>
        </w:rPr>
        <w:t>concentration</w:t>
      </w:r>
      <w:r w:rsidR="00D247B3" w:rsidRPr="00F744F1">
        <w:rPr>
          <w:b/>
          <w:bCs/>
        </w:rPr>
        <w:t>s</w:t>
      </w:r>
      <w:r w:rsidR="00920A19">
        <w:t xml:space="preserve"> </w:t>
      </w:r>
      <w:r w:rsidR="009A375B">
        <w:t xml:space="preserve">observed </w:t>
      </w:r>
      <w:r w:rsidR="003527CA">
        <w:t>during</w:t>
      </w:r>
      <w:r>
        <w:t xml:space="preserve"> </w:t>
      </w:r>
      <w:r w:rsidR="00920A19">
        <w:t>bolus dos</w:t>
      </w:r>
      <w:r w:rsidR="00D247B3">
        <w:t>ing</w:t>
      </w:r>
      <w:r w:rsidR="00920A19">
        <w:t xml:space="preserve"> at 10 mg.  The teams ask you to predict </w:t>
      </w:r>
      <w:r>
        <w:t xml:space="preserve">maximum plasma concentrations </w:t>
      </w:r>
      <w:r w:rsidR="009A375B">
        <w:t>for</w:t>
      </w:r>
      <w:r>
        <w:t xml:space="preserve"> </w:t>
      </w:r>
      <w:r w:rsidR="009A375B">
        <w:t xml:space="preserve">the 10 mg dose administered as </w:t>
      </w:r>
      <w:r w:rsidR="001E3E4C" w:rsidRPr="00F744F1">
        <w:rPr>
          <w:b/>
          <w:bCs/>
        </w:rPr>
        <w:t>zero order infusion</w:t>
      </w:r>
      <w:r w:rsidR="00C93B75" w:rsidRPr="00F744F1">
        <w:rPr>
          <w:b/>
          <w:bCs/>
        </w:rPr>
        <w:t>s</w:t>
      </w:r>
      <w:r w:rsidR="001E3E4C">
        <w:t xml:space="preserve"> </w:t>
      </w:r>
      <w:r w:rsidR="009A375B">
        <w:t xml:space="preserve">given </w:t>
      </w:r>
      <w:r w:rsidR="00920A19">
        <w:t>over 1, 2,3,4,6</w:t>
      </w:r>
      <w:r w:rsidR="0015792B">
        <w:t>,</w:t>
      </w:r>
      <w:r w:rsidR="00920A19">
        <w:t>8</w:t>
      </w:r>
      <w:r w:rsidR="0015792B">
        <w:t xml:space="preserve"> </w:t>
      </w:r>
      <w:r w:rsidR="009A375B">
        <w:t>or</w:t>
      </w:r>
      <w:r w:rsidR="0015792B">
        <w:t xml:space="preserve"> 12</w:t>
      </w:r>
      <w:r w:rsidR="00920A19">
        <w:t xml:space="preserve"> hour</w:t>
      </w:r>
      <w:r w:rsidR="009A375B">
        <w:t>s</w:t>
      </w:r>
      <w:r w:rsidR="003527CA">
        <w:t xml:space="preserve"> compared to </w:t>
      </w:r>
      <w:r w:rsidR="00DB4E4B">
        <w:t xml:space="preserve">the </w:t>
      </w:r>
      <w:r w:rsidR="003527CA">
        <w:t>bolus</w:t>
      </w:r>
      <w:r w:rsidR="00DB4E4B">
        <w:t xml:space="preserve"> administration</w:t>
      </w:r>
      <w:r w:rsidR="00920A19">
        <w:t xml:space="preserve">.  </w:t>
      </w:r>
      <w:r w:rsidR="00920A19" w:rsidRPr="00F744F1">
        <w:rPr>
          <w:b/>
          <w:bCs/>
        </w:rPr>
        <w:t xml:space="preserve">Plot </w:t>
      </w:r>
      <w:proofErr w:type="spellStart"/>
      <w:r w:rsidR="00920A19" w:rsidRPr="00F744F1">
        <w:rPr>
          <w:b/>
          <w:bCs/>
        </w:rPr>
        <w:t>C</w:t>
      </w:r>
      <w:r w:rsidR="00920A19" w:rsidRPr="00F744F1">
        <w:rPr>
          <w:b/>
          <w:bCs/>
          <w:vertAlign w:val="subscript"/>
        </w:rPr>
        <w:t>max</w:t>
      </w:r>
      <w:proofErr w:type="spellEnd"/>
      <w:r w:rsidR="00920A19" w:rsidRPr="00F744F1">
        <w:rPr>
          <w:b/>
          <w:bCs/>
        </w:rPr>
        <w:t xml:space="preserve"> as a function of infusion </w:t>
      </w:r>
      <w:r w:rsidR="009A375B" w:rsidRPr="00F744F1">
        <w:rPr>
          <w:b/>
          <w:bCs/>
        </w:rPr>
        <w:t xml:space="preserve">time </w:t>
      </w:r>
      <w:r w:rsidR="00920A19" w:rsidRPr="00F744F1">
        <w:rPr>
          <w:b/>
          <w:bCs/>
        </w:rPr>
        <w:t xml:space="preserve">for each of these </w:t>
      </w:r>
      <w:r w:rsidR="009A375B" w:rsidRPr="00F744F1">
        <w:rPr>
          <w:b/>
          <w:bCs/>
        </w:rPr>
        <w:t>10 mg administrations</w:t>
      </w:r>
      <w:r w:rsidR="00920A19" w:rsidRPr="00F744F1">
        <w:rPr>
          <w:b/>
          <w:bCs/>
        </w:rPr>
        <w:t>.</w:t>
      </w:r>
    </w:p>
    <w:p w14:paraId="7A85E0F5" w14:textId="77777777" w:rsidR="00920A19" w:rsidRDefault="00920A19" w:rsidP="00920A19"/>
    <w:p w14:paraId="7D141CAC" w14:textId="77262156" w:rsidR="00CA37D1" w:rsidRDefault="00920A19" w:rsidP="004C40D4">
      <w:pPr>
        <w:ind w:left="720"/>
      </w:pPr>
      <w:r>
        <w:t>Based on you</w:t>
      </w:r>
      <w:r w:rsidR="00DB4E4B">
        <w:t>r</w:t>
      </w:r>
      <w:r>
        <w:t xml:space="preserve"> PK analysis</w:t>
      </w:r>
      <w:r w:rsidR="00DB4E4B">
        <w:t>,</w:t>
      </w:r>
      <w:r>
        <w:t xml:space="preserve"> </w:t>
      </w:r>
      <w:r w:rsidR="00D247B3">
        <w:t>the</w:t>
      </w:r>
      <w:r>
        <w:t xml:space="preserve"> clinical team designed a </w:t>
      </w:r>
      <w:r w:rsidR="00C93B75">
        <w:t xml:space="preserve">clinical </w:t>
      </w:r>
      <w:r>
        <w:t>study with six treatment arms</w:t>
      </w:r>
      <w:r w:rsidR="00D247B3">
        <w:t>,</w:t>
      </w:r>
      <w:r>
        <w:t xml:space="preserve"> shown in Table </w:t>
      </w:r>
      <w:r w:rsidR="00C93B75">
        <w:t>1.5</w:t>
      </w:r>
      <w:r w:rsidR="00D247B3">
        <w:t xml:space="preserve">, to test the hypothesis that </w:t>
      </w:r>
      <w:proofErr w:type="gramStart"/>
      <w:r w:rsidR="00D247B3">
        <w:t>zero order</w:t>
      </w:r>
      <w:proofErr w:type="gramEnd"/>
      <w:r w:rsidR="00D247B3">
        <w:t xml:space="preserve"> infusion would reduce chemotherapy</w:t>
      </w:r>
      <w:r w:rsidR="00DB4E4B">
        <w:t>-</w:t>
      </w:r>
      <w:r w:rsidR="00D247B3">
        <w:t>induced peripheral neuropathy</w:t>
      </w:r>
      <w:r>
        <w:t>.  Each</w:t>
      </w:r>
      <w:r w:rsidR="00E36656">
        <w:t xml:space="preserve"> treatment arm was tested in 8 </w:t>
      </w:r>
      <w:r w:rsidR="00D247B3">
        <w:t>chemotherapy</w:t>
      </w:r>
      <w:r w:rsidR="00DB4E4B">
        <w:t>-</w:t>
      </w:r>
      <w:r w:rsidR="00D247B3">
        <w:t xml:space="preserve">naive </w:t>
      </w:r>
      <w:r w:rsidR="00DB4E4B">
        <w:t xml:space="preserve">(with no prior chemotherapy) </w:t>
      </w:r>
      <w:r w:rsidR="00E36656">
        <w:t xml:space="preserve">pancreatic </w:t>
      </w:r>
      <w:r w:rsidR="00D247B3">
        <w:t xml:space="preserve">cancer </w:t>
      </w:r>
      <w:r w:rsidR="00E36656">
        <w:t>patients</w:t>
      </w:r>
      <w:r w:rsidR="00D247B3">
        <w:t>, to be dose</w:t>
      </w:r>
      <w:r w:rsidR="004C40D4">
        <w:t>d</w:t>
      </w:r>
      <w:r w:rsidR="00D247B3">
        <w:t xml:space="preserve"> weekly</w:t>
      </w:r>
      <w:r w:rsidR="00E36656">
        <w:t xml:space="preserve"> </w:t>
      </w:r>
      <w:r w:rsidR="004C40D4">
        <w:t>for six weeks</w:t>
      </w:r>
      <w:r w:rsidR="00E36656">
        <w:t xml:space="preserve">.  The patients were evaluated for peripheral neuropathy at </w:t>
      </w:r>
      <w:r w:rsidR="00E36656">
        <w:lastRenderedPageBreak/>
        <w:t>the end of week six</w:t>
      </w:r>
      <w:r w:rsidR="00D247B3">
        <w:t xml:space="preserve">, using </w:t>
      </w:r>
      <w:r w:rsidR="004C40D4">
        <w:t xml:space="preserve">a </w:t>
      </w:r>
      <w:r w:rsidR="00D247B3">
        <w:t>modified Total Neuropathy Score (</w:t>
      </w:r>
      <w:proofErr w:type="spellStart"/>
      <w:r w:rsidR="00D247B3">
        <w:t>mTNS</w:t>
      </w:r>
      <w:proofErr w:type="spellEnd"/>
      <w:r w:rsidR="00D247B3">
        <w:t>)</w:t>
      </w:r>
      <w:r w:rsidR="00E36656">
        <w:t>.</w:t>
      </w:r>
      <w:r w:rsidR="00D247B3">
        <w:t xml:space="preserve">  The scoring for </w:t>
      </w:r>
      <w:r w:rsidR="00C93B75">
        <w:t>the patients</w:t>
      </w:r>
      <w:r w:rsidR="00D247B3">
        <w:t xml:space="preserve"> </w:t>
      </w:r>
      <w:r w:rsidR="00DB4E4B">
        <w:t xml:space="preserve">is </w:t>
      </w:r>
      <w:r w:rsidR="00D247B3">
        <w:t xml:space="preserve">summarized in Table </w:t>
      </w:r>
      <w:r w:rsidR="004C40D4">
        <w:t>1.5,</w:t>
      </w:r>
      <w:r w:rsidR="00D247B3">
        <w:t xml:space="preserve"> for each dosing paradigm.</w:t>
      </w:r>
    </w:p>
    <w:p w14:paraId="079CF47D" w14:textId="77777777" w:rsidR="00CA37D1" w:rsidRDefault="00CA37D1" w:rsidP="00920A19">
      <w:pPr>
        <w:ind w:left="720"/>
      </w:pPr>
    </w:p>
    <w:p w14:paraId="2B5C1895" w14:textId="77777777" w:rsidR="00CA37D1" w:rsidRDefault="00CA37D1" w:rsidP="00920A19">
      <w:pPr>
        <w:ind w:left="720"/>
      </w:pPr>
    </w:p>
    <w:p w14:paraId="0727D650" w14:textId="77777777" w:rsidR="008437D8" w:rsidRDefault="008437D8" w:rsidP="00920A19">
      <w:pPr>
        <w:ind w:left="720"/>
      </w:pPr>
    </w:p>
    <w:p w14:paraId="1E5567CC" w14:textId="77777777" w:rsidR="00C93B75" w:rsidRDefault="00C93B75" w:rsidP="00920A19">
      <w:pPr>
        <w:ind w:left="720"/>
      </w:pPr>
    </w:p>
    <w:p w14:paraId="4D7BC172" w14:textId="0CD9E924" w:rsidR="008437D8" w:rsidRDefault="008437D8" w:rsidP="00920A19">
      <w:pPr>
        <w:ind w:left="720"/>
      </w:pPr>
      <w:r>
        <w:t xml:space="preserve">Table </w:t>
      </w:r>
      <w:r w:rsidR="00CA37D1">
        <w:t>1</w:t>
      </w:r>
      <w:r>
        <w:t>.</w:t>
      </w:r>
      <w:r w:rsidR="00C93B75">
        <w:t>5</w:t>
      </w:r>
      <w:r w:rsidR="004C40D4">
        <w:t xml:space="preserve"> </w:t>
      </w:r>
      <w:r w:rsidR="00CC157B">
        <w:t>M</w:t>
      </w:r>
      <w:r w:rsidR="00C93B75">
        <w:t>odified Total Neuropathy Scores</w:t>
      </w:r>
      <w:r w:rsidR="00CC157B">
        <w:t xml:space="preserve"> (</w:t>
      </w:r>
      <w:proofErr w:type="spellStart"/>
      <w:r w:rsidR="00CC157B">
        <w:t>mTNS</w:t>
      </w:r>
      <w:proofErr w:type="spellEnd"/>
      <w:r w:rsidR="00CC157B">
        <w:t>)</w:t>
      </w:r>
      <w:r w:rsidR="00C93B75">
        <w:t xml:space="preserve"> for patients treated for six weeks with 10 mg of Pacific1</w:t>
      </w:r>
      <w:r w:rsidR="00CC157B">
        <w:t xml:space="preserve"> in a Phase I/II clinical study.</w:t>
      </w:r>
    </w:p>
    <w:p w14:paraId="1FB8FF11" w14:textId="77777777" w:rsidR="008437D8" w:rsidRDefault="008437D8" w:rsidP="00920A19">
      <w:pPr>
        <w:ind w:left="720"/>
      </w:pPr>
    </w:p>
    <w:tbl>
      <w:tblPr>
        <w:tblStyle w:val="TableGrid"/>
        <w:tblW w:w="0" w:type="auto"/>
        <w:tblInd w:w="720" w:type="dxa"/>
        <w:tblLook w:val="04A0" w:firstRow="1" w:lastRow="0" w:firstColumn="1" w:lastColumn="0" w:noHBand="0" w:noVBand="1"/>
      </w:tblPr>
      <w:tblGrid>
        <w:gridCol w:w="1988"/>
        <w:gridCol w:w="2287"/>
        <w:gridCol w:w="2072"/>
        <w:gridCol w:w="2283"/>
      </w:tblGrid>
      <w:tr w:rsidR="00CE1F78" w14:paraId="2A5AEF69" w14:textId="77777777" w:rsidTr="00CE1F78">
        <w:tc>
          <w:tcPr>
            <w:tcW w:w="1988" w:type="dxa"/>
          </w:tcPr>
          <w:p w14:paraId="171E020D" w14:textId="77777777" w:rsidR="00CE1F78" w:rsidRPr="00CC157B" w:rsidRDefault="00CE1F78" w:rsidP="00CC157B">
            <w:pPr>
              <w:jc w:val="center"/>
              <w:rPr>
                <w:b/>
                <w:color w:val="002060"/>
              </w:rPr>
            </w:pPr>
            <w:r w:rsidRPr="00CC157B">
              <w:rPr>
                <w:b/>
                <w:color w:val="002060"/>
              </w:rPr>
              <w:t>Type of delivery</w:t>
            </w:r>
          </w:p>
        </w:tc>
        <w:tc>
          <w:tcPr>
            <w:tcW w:w="2287" w:type="dxa"/>
          </w:tcPr>
          <w:p w14:paraId="75415C26" w14:textId="77777777" w:rsidR="00CE1F78" w:rsidRPr="00CC157B" w:rsidRDefault="00CE1F78" w:rsidP="00CC157B">
            <w:pPr>
              <w:jc w:val="center"/>
              <w:rPr>
                <w:b/>
                <w:color w:val="002060"/>
              </w:rPr>
            </w:pPr>
            <w:proofErr w:type="spellStart"/>
            <w:r w:rsidRPr="00CC157B">
              <w:rPr>
                <w:b/>
                <w:color w:val="002060"/>
              </w:rPr>
              <w:t>Cmax</w:t>
            </w:r>
            <w:proofErr w:type="spellEnd"/>
            <w:r w:rsidRPr="00CC157B">
              <w:rPr>
                <w:b/>
                <w:color w:val="002060"/>
              </w:rPr>
              <w:t>, ug/mL</w:t>
            </w:r>
          </w:p>
        </w:tc>
        <w:tc>
          <w:tcPr>
            <w:tcW w:w="2072" w:type="dxa"/>
          </w:tcPr>
          <w:p w14:paraId="67791D2E" w14:textId="77777777" w:rsidR="00CE1F78" w:rsidRPr="00CC157B" w:rsidRDefault="00CE1F78" w:rsidP="00CC157B">
            <w:pPr>
              <w:jc w:val="center"/>
              <w:rPr>
                <w:b/>
                <w:color w:val="002060"/>
              </w:rPr>
            </w:pPr>
            <w:proofErr w:type="spellStart"/>
            <w:r w:rsidRPr="00CC157B">
              <w:rPr>
                <w:b/>
                <w:color w:val="002060"/>
              </w:rPr>
              <w:t>mTNS</w:t>
            </w:r>
            <w:proofErr w:type="spellEnd"/>
            <w:r w:rsidRPr="00CC157B">
              <w:rPr>
                <w:b/>
                <w:color w:val="002060"/>
              </w:rPr>
              <w:t xml:space="preserve"> at start of study (</w:t>
            </w:r>
            <w:proofErr w:type="spellStart"/>
            <w:r w:rsidRPr="00CC157B">
              <w:rPr>
                <w:b/>
                <w:color w:val="002060"/>
              </w:rPr>
              <w:t>sd</w:t>
            </w:r>
            <w:proofErr w:type="spellEnd"/>
            <w:r w:rsidRPr="00CC157B">
              <w:rPr>
                <w:b/>
                <w:color w:val="002060"/>
              </w:rPr>
              <w:t>)</w:t>
            </w:r>
          </w:p>
        </w:tc>
        <w:tc>
          <w:tcPr>
            <w:tcW w:w="2283" w:type="dxa"/>
          </w:tcPr>
          <w:p w14:paraId="2C6165D3" w14:textId="77777777" w:rsidR="00CE1F78" w:rsidRPr="00CC157B" w:rsidRDefault="00CE1F78" w:rsidP="00CC157B">
            <w:pPr>
              <w:jc w:val="center"/>
              <w:rPr>
                <w:b/>
                <w:color w:val="002060"/>
              </w:rPr>
            </w:pPr>
            <w:proofErr w:type="spellStart"/>
            <w:r w:rsidRPr="00CC157B">
              <w:rPr>
                <w:b/>
                <w:color w:val="002060"/>
              </w:rPr>
              <w:t>mTNS</w:t>
            </w:r>
            <w:proofErr w:type="spellEnd"/>
            <w:r w:rsidRPr="00CC157B">
              <w:rPr>
                <w:b/>
                <w:color w:val="002060"/>
              </w:rPr>
              <w:t xml:space="preserve"> at six weeks</w:t>
            </w:r>
          </w:p>
          <w:p w14:paraId="2F8C09A6" w14:textId="77777777" w:rsidR="00CE1F78" w:rsidRPr="00CC157B" w:rsidRDefault="00CE1F78" w:rsidP="00CC157B">
            <w:pPr>
              <w:jc w:val="center"/>
              <w:rPr>
                <w:b/>
                <w:color w:val="002060"/>
              </w:rPr>
            </w:pPr>
            <w:r w:rsidRPr="00CC157B">
              <w:rPr>
                <w:b/>
                <w:color w:val="002060"/>
              </w:rPr>
              <w:t>(</w:t>
            </w:r>
            <w:proofErr w:type="spellStart"/>
            <w:r w:rsidRPr="00CC157B">
              <w:rPr>
                <w:b/>
                <w:color w:val="002060"/>
              </w:rPr>
              <w:t>sd</w:t>
            </w:r>
            <w:proofErr w:type="spellEnd"/>
            <w:r w:rsidRPr="00CC157B">
              <w:rPr>
                <w:b/>
                <w:color w:val="002060"/>
              </w:rPr>
              <w:t>)</w:t>
            </w:r>
          </w:p>
        </w:tc>
      </w:tr>
      <w:tr w:rsidR="00CE1F78" w14:paraId="4182DDCC" w14:textId="77777777" w:rsidTr="00CE1F78">
        <w:tc>
          <w:tcPr>
            <w:tcW w:w="1988" w:type="dxa"/>
          </w:tcPr>
          <w:p w14:paraId="7D9F5B45" w14:textId="77777777" w:rsidR="00CE1F78" w:rsidRDefault="00CE1F78" w:rsidP="00CC157B">
            <w:pPr>
              <w:jc w:val="center"/>
            </w:pPr>
            <w:r>
              <w:t>Bolus</w:t>
            </w:r>
          </w:p>
        </w:tc>
        <w:tc>
          <w:tcPr>
            <w:tcW w:w="2287" w:type="dxa"/>
          </w:tcPr>
          <w:p w14:paraId="657D54E2" w14:textId="77777777" w:rsidR="00CE1F78" w:rsidRDefault="00CE1F78" w:rsidP="00CC157B">
            <w:pPr>
              <w:jc w:val="center"/>
            </w:pPr>
            <w:r>
              <w:t>0.107</w:t>
            </w:r>
          </w:p>
        </w:tc>
        <w:tc>
          <w:tcPr>
            <w:tcW w:w="2072" w:type="dxa"/>
          </w:tcPr>
          <w:p w14:paraId="142E54D2" w14:textId="77777777" w:rsidR="00CE1F78" w:rsidRDefault="00CE1F78" w:rsidP="00CC157B">
            <w:pPr>
              <w:jc w:val="center"/>
            </w:pPr>
            <w:r>
              <w:t>2 (1)</w:t>
            </w:r>
          </w:p>
        </w:tc>
        <w:tc>
          <w:tcPr>
            <w:tcW w:w="2283" w:type="dxa"/>
          </w:tcPr>
          <w:p w14:paraId="5078B349" w14:textId="77777777" w:rsidR="00CE1F78" w:rsidRDefault="00CE1F78" w:rsidP="00CC157B">
            <w:pPr>
              <w:jc w:val="center"/>
            </w:pPr>
            <w:r>
              <w:t>13 (4)</w:t>
            </w:r>
          </w:p>
        </w:tc>
      </w:tr>
      <w:tr w:rsidR="00CE1F78" w14:paraId="300EB9A6" w14:textId="77777777" w:rsidTr="00CE1F78">
        <w:tc>
          <w:tcPr>
            <w:tcW w:w="1988" w:type="dxa"/>
          </w:tcPr>
          <w:p w14:paraId="5483B2A0" w14:textId="1ED1B829" w:rsidR="00CE1F78" w:rsidRDefault="00CE1F78" w:rsidP="00CC157B">
            <w:pPr>
              <w:jc w:val="center"/>
            </w:pPr>
            <w:r>
              <w:t>1</w:t>
            </w:r>
            <w:r w:rsidR="00DB4E4B">
              <w:t>-</w:t>
            </w:r>
            <w:r>
              <w:t>hour infusion</w:t>
            </w:r>
          </w:p>
        </w:tc>
        <w:tc>
          <w:tcPr>
            <w:tcW w:w="2287" w:type="dxa"/>
          </w:tcPr>
          <w:p w14:paraId="5B6883F5" w14:textId="77777777" w:rsidR="00CE1F78" w:rsidRDefault="00CE1F78" w:rsidP="00CC157B">
            <w:pPr>
              <w:jc w:val="center"/>
            </w:pPr>
            <w:r>
              <w:t>0.097</w:t>
            </w:r>
          </w:p>
        </w:tc>
        <w:tc>
          <w:tcPr>
            <w:tcW w:w="2072" w:type="dxa"/>
          </w:tcPr>
          <w:p w14:paraId="539B340E" w14:textId="77777777" w:rsidR="00CE1F78" w:rsidRDefault="00CE1F78" w:rsidP="00CC157B">
            <w:pPr>
              <w:jc w:val="center"/>
            </w:pPr>
            <w:r>
              <w:t>2 (1)</w:t>
            </w:r>
          </w:p>
        </w:tc>
        <w:tc>
          <w:tcPr>
            <w:tcW w:w="2283" w:type="dxa"/>
          </w:tcPr>
          <w:p w14:paraId="0428E610" w14:textId="77777777" w:rsidR="00CE1F78" w:rsidRDefault="00CE1F78" w:rsidP="00CC157B">
            <w:pPr>
              <w:jc w:val="center"/>
            </w:pPr>
            <w:r>
              <w:t>13 (3)</w:t>
            </w:r>
          </w:p>
        </w:tc>
      </w:tr>
      <w:tr w:rsidR="00CE1F78" w14:paraId="65F13497" w14:textId="77777777" w:rsidTr="00CE1F78">
        <w:tc>
          <w:tcPr>
            <w:tcW w:w="1988" w:type="dxa"/>
          </w:tcPr>
          <w:p w14:paraId="3FF4D3DF" w14:textId="6E92CB91" w:rsidR="00CE1F78" w:rsidRDefault="00CE1F78" w:rsidP="00CC157B">
            <w:pPr>
              <w:jc w:val="center"/>
            </w:pPr>
            <w:r>
              <w:t>2</w:t>
            </w:r>
            <w:r w:rsidR="00DB4E4B">
              <w:t>-</w:t>
            </w:r>
            <w:r>
              <w:t>hour infusion</w:t>
            </w:r>
          </w:p>
        </w:tc>
        <w:tc>
          <w:tcPr>
            <w:tcW w:w="2287" w:type="dxa"/>
          </w:tcPr>
          <w:p w14:paraId="2E70DF30" w14:textId="77777777" w:rsidR="00CE1F78" w:rsidRDefault="00CE1F78" w:rsidP="00CC157B">
            <w:pPr>
              <w:jc w:val="center"/>
            </w:pPr>
            <w:r>
              <w:t>0.089</w:t>
            </w:r>
          </w:p>
        </w:tc>
        <w:tc>
          <w:tcPr>
            <w:tcW w:w="2072" w:type="dxa"/>
          </w:tcPr>
          <w:p w14:paraId="3B2F11B9" w14:textId="77777777" w:rsidR="00CE1F78" w:rsidRDefault="00CE1F78" w:rsidP="00CC157B">
            <w:pPr>
              <w:jc w:val="center"/>
            </w:pPr>
            <w:r>
              <w:t>3 (2)</w:t>
            </w:r>
          </w:p>
        </w:tc>
        <w:tc>
          <w:tcPr>
            <w:tcW w:w="2283" w:type="dxa"/>
          </w:tcPr>
          <w:p w14:paraId="17C7C585" w14:textId="77777777" w:rsidR="00CE1F78" w:rsidRDefault="00CE1F78" w:rsidP="00CC157B">
            <w:pPr>
              <w:jc w:val="center"/>
            </w:pPr>
            <w:r>
              <w:t>12 (3)</w:t>
            </w:r>
          </w:p>
        </w:tc>
      </w:tr>
      <w:tr w:rsidR="00CE1F78" w14:paraId="27CBBE96" w14:textId="77777777" w:rsidTr="00CE1F78">
        <w:tc>
          <w:tcPr>
            <w:tcW w:w="1988" w:type="dxa"/>
          </w:tcPr>
          <w:p w14:paraId="717B6450" w14:textId="10986F3E" w:rsidR="00CE1F78" w:rsidRDefault="00CE1F78" w:rsidP="00CC157B">
            <w:pPr>
              <w:jc w:val="center"/>
            </w:pPr>
            <w:r>
              <w:t>3</w:t>
            </w:r>
            <w:r w:rsidR="00DB4E4B">
              <w:t>-</w:t>
            </w:r>
            <w:r>
              <w:t>hour infusion</w:t>
            </w:r>
          </w:p>
        </w:tc>
        <w:tc>
          <w:tcPr>
            <w:tcW w:w="2287" w:type="dxa"/>
          </w:tcPr>
          <w:p w14:paraId="25C43AA3" w14:textId="77777777" w:rsidR="00CE1F78" w:rsidRDefault="00CE1F78" w:rsidP="00CC157B">
            <w:pPr>
              <w:jc w:val="center"/>
            </w:pPr>
            <w:r>
              <w:t>0.082</w:t>
            </w:r>
          </w:p>
        </w:tc>
        <w:tc>
          <w:tcPr>
            <w:tcW w:w="2072" w:type="dxa"/>
          </w:tcPr>
          <w:p w14:paraId="740A5681" w14:textId="77777777" w:rsidR="00CE1F78" w:rsidRDefault="00CE1F78" w:rsidP="00CC157B">
            <w:pPr>
              <w:jc w:val="center"/>
            </w:pPr>
            <w:r>
              <w:t>1 (1)</w:t>
            </w:r>
          </w:p>
        </w:tc>
        <w:tc>
          <w:tcPr>
            <w:tcW w:w="2283" w:type="dxa"/>
          </w:tcPr>
          <w:p w14:paraId="4BA58428" w14:textId="77777777" w:rsidR="00CE1F78" w:rsidRDefault="00CE1F78" w:rsidP="00CC157B">
            <w:pPr>
              <w:jc w:val="center"/>
            </w:pPr>
            <w:r>
              <w:t>11 (3)</w:t>
            </w:r>
          </w:p>
        </w:tc>
      </w:tr>
      <w:tr w:rsidR="00CE1F78" w14:paraId="5D2FD62B" w14:textId="77777777" w:rsidTr="00CE1F78">
        <w:tc>
          <w:tcPr>
            <w:tcW w:w="1988" w:type="dxa"/>
          </w:tcPr>
          <w:p w14:paraId="4E5B41FB" w14:textId="42F050D9" w:rsidR="00CE1F78" w:rsidRDefault="00CE1F78" w:rsidP="00CC157B">
            <w:pPr>
              <w:jc w:val="center"/>
            </w:pPr>
            <w:r>
              <w:t>4</w:t>
            </w:r>
            <w:r w:rsidR="00DB4E4B">
              <w:t>-</w:t>
            </w:r>
            <w:r>
              <w:t>hour infusion</w:t>
            </w:r>
          </w:p>
        </w:tc>
        <w:tc>
          <w:tcPr>
            <w:tcW w:w="2287" w:type="dxa"/>
          </w:tcPr>
          <w:p w14:paraId="1DFF0A96" w14:textId="77777777" w:rsidR="00CE1F78" w:rsidRDefault="00CE1F78" w:rsidP="00CC157B">
            <w:pPr>
              <w:jc w:val="center"/>
            </w:pPr>
            <w:r>
              <w:t>0.076</w:t>
            </w:r>
          </w:p>
        </w:tc>
        <w:tc>
          <w:tcPr>
            <w:tcW w:w="2072" w:type="dxa"/>
          </w:tcPr>
          <w:p w14:paraId="5C45CC25" w14:textId="77777777" w:rsidR="00CE1F78" w:rsidRDefault="00CE1F78" w:rsidP="00CC157B">
            <w:pPr>
              <w:jc w:val="center"/>
            </w:pPr>
            <w:r>
              <w:t>2 (2)</w:t>
            </w:r>
          </w:p>
        </w:tc>
        <w:tc>
          <w:tcPr>
            <w:tcW w:w="2283" w:type="dxa"/>
          </w:tcPr>
          <w:p w14:paraId="7CB5955C" w14:textId="77777777" w:rsidR="00CE1F78" w:rsidRDefault="00CE1F78" w:rsidP="00CC157B">
            <w:pPr>
              <w:jc w:val="center"/>
            </w:pPr>
            <w:r>
              <w:t>9 (2)</w:t>
            </w:r>
          </w:p>
        </w:tc>
      </w:tr>
      <w:tr w:rsidR="00CE1F78" w14:paraId="43FCE048" w14:textId="77777777" w:rsidTr="00CE1F78">
        <w:trPr>
          <w:trHeight w:val="90"/>
        </w:trPr>
        <w:tc>
          <w:tcPr>
            <w:tcW w:w="1988" w:type="dxa"/>
          </w:tcPr>
          <w:p w14:paraId="0F381142" w14:textId="185A7EEF" w:rsidR="00CE1F78" w:rsidRDefault="00CE1F78" w:rsidP="00CC157B">
            <w:pPr>
              <w:jc w:val="center"/>
            </w:pPr>
            <w:r>
              <w:t>6</w:t>
            </w:r>
            <w:r w:rsidR="00DB4E4B">
              <w:t>-</w:t>
            </w:r>
            <w:r>
              <w:t>hour infusion</w:t>
            </w:r>
          </w:p>
        </w:tc>
        <w:tc>
          <w:tcPr>
            <w:tcW w:w="2287" w:type="dxa"/>
          </w:tcPr>
          <w:p w14:paraId="74FAB816" w14:textId="77777777" w:rsidR="00CE1F78" w:rsidRDefault="00CE1F78" w:rsidP="00CC157B">
            <w:pPr>
              <w:jc w:val="center"/>
            </w:pPr>
            <w:r>
              <w:t>0.065</w:t>
            </w:r>
          </w:p>
        </w:tc>
        <w:tc>
          <w:tcPr>
            <w:tcW w:w="2072" w:type="dxa"/>
          </w:tcPr>
          <w:p w14:paraId="51751D27" w14:textId="77777777" w:rsidR="00CE1F78" w:rsidRDefault="00CE1F78" w:rsidP="00CC157B">
            <w:pPr>
              <w:jc w:val="center"/>
            </w:pPr>
            <w:r>
              <w:t>2 (1)</w:t>
            </w:r>
          </w:p>
        </w:tc>
        <w:tc>
          <w:tcPr>
            <w:tcW w:w="2283" w:type="dxa"/>
          </w:tcPr>
          <w:p w14:paraId="14EC3012" w14:textId="77777777" w:rsidR="00CE1F78" w:rsidRDefault="00CE1F78" w:rsidP="00CC157B">
            <w:pPr>
              <w:jc w:val="center"/>
            </w:pPr>
            <w:r>
              <w:t>7 (2)</w:t>
            </w:r>
          </w:p>
        </w:tc>
      </w:tr>
    </w:tbl>
    <w:p w14:paraId="5734F768" w14:textId="77777777" w:rsidR="008437D8" w:rsidRDefault="008437D8" w:rsidP="00CC157B">
      <w:pPr>
        <w:ind w:left="720"/>
        <w:jc w:val="center"/>
      </w:pPr>
    </w:p>
    <w:p w14:paraId="2604350A" w14:textId="77777777" w:rsidR="00675243" w:rsidRDefault="00675243" w:rsidP="00920A19">
      <w:pPr>
        <w:ind w:left="720"/>
      </w:pPr>
    </w:p>
    <w:p w14:paraId="0A737576" w14:textId="0A3C03E1" w:rsidR="00920A19" w:rsidRDefault="00C93B75" w:rsidP="00231735">
      <w:pPr>
        <w:ind w:left="720"/>
      </w:pPr>
      <w:r>
        <w:t xml:space="preserve">Estimate the </w:t>
      </w:r>
      <w:r w:rsidRPr="00F744F1">
        <w:rPr>
          <w:b/>
          <w:bCs/>
        </w:rPr>
        <w:t>baseline value (E</w:t>
      </w:r>
      <w:r w:rsidRPr="00F744F1">
        <w:rPr>
          <w:b/>
          <w:bCs/>
          <w:vertAlign w:val="subscript"/>
        </w:rPr>
        <w:t>0</w:t>
      </w:r>
      <w:r w:rsidRPr="00F744F1">
        <w:rPr>
          <w:b/>
          <w:bCs/>
        </w:rPr>
        <w:t xml:space="preserve">) value </w:t>
      </w:r>
      <w:r w:rsidR="00CC157B" w:rsidRPr="00F744F1">
        <w:rPr>
          <w:b/>
          <w:bCs/>
        </w:rPr>
        <w:t>in the</w:t>
      </w:r>
      <w:r w:rsidRPr="00F744F1">
        <w:rPr>
          <w:b/>
          <w:bCs/>
        </w:rPr>
        <w:t xml:space="preserve"> </w:t>
      </w:r>
      <w:proofErr w:type="spellStart"/>
      <w:r w:rsidRPr="00F744F1">
        <w:rPr>
          <w:b/>
          <w:bCs/>
        </w:rPr>
        <w:t>E</w:t>
      </w:r>
      <w:r w:rsidRPr="00F744F1">
        <w:rPr>
          <w:b/>
          <w:bCs/>
          <w:vertAlign w:val="subscript"/>
        </w:rPr>
        <w:t>max</w:t>
      </w:r>
      <w:proofErr w:type="spellEnd"/>
      <w:r w:rsidRPr="00F744F1">
        <w:rPr>
          <w:b/>
          <w:bCs/>
        </w:rPr>
        <w:t xml:space="preserve"> model</w:t>
      </w:r>
      <w:r w:rsidR="00CC157B">
        <w:t>,</w:t>
      </w:r>
      <w:r w:rsidR="00DB4E4B">
        <w:t xml:space="preserve"> </w:t>
      </w:r>
      <w:r w:rsidR="00CC157B">
        <w:t>us</w:t>
      </w:r>
      <w:r w:rsidR="00B01BE3">
        <w:t>ing</w:t>
      </w:r>
      <w:r>
        <w:t xml:space="preserve"> the scores taken at the start of study.  </w:t>
      </w:r>
      <w:r w:rsidR="00675243">
        <w:t xml:space="preserve">Plot </w:t>
      </w:r>
      <w:r w:rsidR="00231735">
        <w:t xml:space="preserve">the </w:t>
      </w:r>
      <w:r w:rsidR="00231735" w:rsidRPr="00F744F1">
        <w:rPr>
          <w:b/>
          <w:bCs/>
        </w:rPr>
        <w:t>six</w:t>
      </w:r>
      <w:r w:rsidR="00B01BE3" w:rsidRPr="00F744F1">
        <w:rPr>
          <w:b/>
          <w:bCs/>
        </w:rPr>
        <w:t>-</w:t>
      </w:r>
      <w:r w:rsidR="00231735" w:rsidRPr="00F744F1">
        <w:rPr>
          <w:b/>
          <w:bCs/>
        </w:rPr>
        <w:t xml:space="preserve">week </w:t>
      </w:r>
      <w:proofErr w:type="spellStart"/>
      <w:r w:rsidR="00231735" w:rsidRPr="00F744F1">
        <w:rPr>
          <w:b/>
          <w:bCs/>
        </w:rPr>
        <w:t>mTNS</w:t>
      </w:r>
      <w:proofErr w:type="spellEnd"/>
      <w:r w:rsidR="00231735" w:rsidRPr="00F744F1">
        <w:rPr>
          <w:b/>
          <w:bCs/>
        </w:rPr>
        <w:t xml:space="preserve"> scores as a function of </w:t>
      </w:r>
      <w:r w:rsidRPr="00F744F1">
        <w:rPr>
          <w:b/>
          <w:bCs/>
        </w:rPr>
        <w:t xml:space="preserve">predicted </w:t>
      </w:r>
      <w:r w:rsidR="00231735" w:rsidRPr="00F744F1">
        <w:rPr>
          <w:b/>
          <w:bCs/>
        </w:rPr>
        <w:t xml:space="preserve">plasma </w:t>
      </w:r>
      <w:proofErr w:type="spellStart"/>
      <w:r w:rsidR="00231735" w:rsidRPr="00F744F1">
        <w:rPr>
          <w:b/>
          <w:bCs/>
        </w:rPr>
        <w:t>C</w:t>
      </w:r>
      <w:r w:rsidR="00231735" w:rsidRPr="00F744F1">
        <w:rPr>
          <w:b/>
          <w:bCs/>
          <w:vertAlign w:val="subscript"/>
        </w:rPr>
        <w:t>max</w:t>
      </w:r>
      <w:proofErr w:type="spellEnd"/>
      <w:r w:rsidR="00231735">
        <w:t xml:space="preserve"> </w:t>
      </w:r>
      <w:r>
        <w:t xml:space="preserve">for the patients. </w:t>
      </w:r>
      <w:r w:rsidRPr="00F744F1">
        <w:rPr>
          <w:b/>
          <w:bCs/>
        </w:rPr>
        <w:t>E</w:t>
      </w:r>
      <w:r w:rsidR="00231735" w:rsidRPr="00F744F1">
        <w:rPr>
          <w:b/>
          <w:bCs/>
        </w:rPr>
        <w:t xml:space="preserve">stimate </w:t>
      </w:r>
      <w:r w:rsidRPr="00F744F1">
        <w:rPr>
          <w:b/>
          <w:bCs/>
        </w:rPr>
        <w:t xml:space="preserve">the </w:t>
      </w:r>
      <w:r w:rsidR="00231735" w:rsidRPr="00F744F1">
        <w:rPr>
          <w:b/>
          <w:bCs/>
        </w:rPr>
        <w:t>E</w:t>
      </w:r>
      <w:r w:rsidRPr="00F744F1">
        <w:rPr>
          <w:b/>
          <w:bCs/>
          <w:vertAlign w:val="subscript"/>
        </w:rPr>
        <w:t xml:space="preserve"> max</w:t>
      </w:r>
      <w:r w:rsidRPr="00F744F1">
        <w:rPr>
          <w:b/>
          <w:bCs/>
        </w:rPr>
        <w:t xml:space="preserve"> and </w:t>
      </w:r>
      <w:r w:rsidR="00231735" w:rsidRPr="00F744F1">
        <w:rPr>
          <w:b/>
          <w:bCs/>
        </w:rPr>
        <w:t>EC</w:t>
      </w:r>
      <w:r w:rsidR="00231735" w:rsidRPr="00F744F1">
        <w:rPr>
          <w:b/>
          <w:bCs/>
          <w:vertAlign w:val="subscript"/>
        </w:rPr>
        <w:t>50</w:t>
      </w:r>
      <w:r w:rsidR="00231735">
        <w:t xml:space="preserve"> </w:t>
      </w:r>
      <w:r>
        <w:t xml:space="preserve">parameters from the plot by visual inspection.  </w:t>
      </w:r>
      <w:r w:rsidR="00231735">
        <w:t>T</w:t>
      </w:r>
      <w:r w:rsidR="00107572">
        <w:t>he response curve is steep</w:t>
      </w:r>
      <w:r w:rsidR="00CC157B">
        <w:t>,</w:t>
      </w:r>
      <w:r w:rsidR="00107572">
        <w:t xml:space="preserve"> so try a </w:t>
      </w:r>
      <w:r w:rsidR="00BB27CD" w:rsidRPr="00F744F1">
        <w:rPr>
          <w:b/>
          <w:bCs/>
        </w:rPr>
        <w:t xml:space="preserve">SLOPE FACTOR </w:t>
      </w:r>
      <w:r w:rsidR="00107572" w:rsidRPr="00F744F1">
        <w:rPr>
          <w:b/>
          <w:bCs/>
        </w:rPr>
        <w:t>(n) in the range of 4 to 6</w:t>
      </w:r>
      <w:r w:rsidR="00107572">
        <w:t xml:space="preserve">.  </w:t>
      </w:r>
      <w:r w:rsidR="00231735">
        <w:t xml:space="preserve"> </w:t>
      </w:r>
      <w:r w:rsidR="00107572" w:rsidRPr="00F744F1">
        <w:rPr>
          <w:b/>
          <w:bCs/>
        </w:rPr>
        <w:t xml:space="preserve">Compare your </w:t>
      </w:r>
      <w:proofErr w:type="spellStart"/>
      <w:r w:rsidR="00107572" w:rsidRPr="00F744F1">
        <w:rPr>
          <w:b/>
          <w:bCs/>
        </w:rPr>
        <w:t>Emax</w:t>
      </w:r>
      <w:proofErr w:type="spellEnd"/>
      <w:r w:rsidR="00107572" w:rsidRPr="00F744F1">
        <w:rPr>
          <w:b/>
          <w:bCs/>
        </w:rPr>
        <w:t xml:space="preserve"> model predictions to the observed scores</w:t>
      </w:r>
      <w:r w:rsidR="00107572">
        <w:t xml:space="preserve"> for patients. </w:t>
      </w:r>
      <w:r w:rsidR="00231735">
        <w:t>Looking at you</w:t>
      </w:r>
      <w:r w:rsidR="00B01BE3">
        <w:t>r</w:t>
      </w:r>
      <w:r w:rsidR="00231735">
        <w:t xml:space="preserve"> response curves</w:t>
      </w:r>
      <w:r w:rsidR="00107572">
        <w:t>,</w:t>
      </w:r>
      <w:r w:rsidR="00231735">
        <w:t xml:space="preserve"> </w:t>
      </w:r>
      <w:r w:rsidR="00231735" w:rsidRPr="00F744F1">
        <w:rPr>
          <w:b/>
          <w:bCs/>
        </w:rPr>
        <w:t xml:space="preserve">does it appear likely that providing a </w:t>
      </w:r>
      <w:r w:rsidR="00107572" w:rsidRPr="00F744F1">
        <w:rPr>
          <w:b/>
          <w:bCs/>
        </w:rPr>
        <w:t xml:space="preserve">lower </w:t>
      </w:r>
      <w:proofErr w:type="spellStart"/>
      <w:r w:rsidR="00107572" w:rsidRPr="00F744F1">
        <w:rPr>
          <w:b/>
          <w:bCs/>
        </w:rPr>
        <w:t>C</w:t>
      </w:r>
      <w:r w:rsidR="00107572" w:rsidRPr="00F744F1">
        <w:rPr>
          <w:b/>
          <w:bCs/>
          <w:vertAlign w:val="subscript"/>
        </w:rPr>
        <w:t>max</w:t>
      </w:r>
      <w:proofErr w:type="spellEnd"/>
      <w:r w:rsidR="00107572" w:rsidRPr="00F744F1">
        <w:rPr>
          <w:b/>
          <w:bCs/>
        </w:rPr>
        <w:t xml:space="preserve"> </w:t>
      </w:r>
      <w:r w:rsidR="00BB27CD" w:rsidRPr="00F744F1">
        <w:rPr>
          <w:b/>
          <w:bCs/>
        </w:rPr>
        <w:t>compared</w:t>
      </w:r>
      <w:r w:rsidR="00B01BE3" w:rsidRPr="00F744F1">
        <w:rPr>
          <w:b/>
          <w:bCs/>
        </w:rPr>
        <w:t xml:space="preserve"> to </w:t>
      </w:r>
      <w:r w:rsidR="00107572" w:rsidRPr="00F744F1">
        <w:rPr>
          <w:b/>
          <w:bCs/>
        </w:rPr>
        <w:t xml:space="preserve">the </w:t>
      </w:r>
      <w:r w:rsidR="00231735" w:rsidRPr="00F744F1">
        <w:rPr>
          <w:b/>
          <w:bCs/>
        </w:rPr>
        <w:t>six</w:t>
      </w:r>
      <w:r w:rsidR="00B01BE3" w:rsidRPr="00F744F1">
        <w:rPr>
          <w:b/>
          <w:bCs/>
        </w:rPr>
        <w:t>-</w:t>
      </w:r>
      <w:r w:rsidR="00107572" w:rsidRPr="00F744F1">
        <w:rPr>
          <w:b/>
          <w:bCs/>
        </w:rPr>
        <w:t xml:space="preserve">hour infusion </w:t>
      </w:r>
      <w:r w:rsidR="00231735" w:rsidRPr="00F744F1">
        <w:rPr>
          <w:b/>
          <w:bCs/>
        </w:rPr>
        <w:t xml:space="preserve">would further reduce peripheral </w:t>
      </w:r>
      <w:r w:rsidR="00CE5C5A" w:rsidRPr="00F744F1">
        <w:rPr>
          <w:b/>
          <w:bCs/>
        </w:rPr>
        <w:t>neuropathy</w:t>
      </w:r>
      <w:r w:rsidR="00231735">
        <w:t>?</w:t>
      </w:r>
      <w:r w:rsidR="00EC63A5">
        <w:t xml:space="preserve">  </w:t>
      </w:r>
    </w:p>
    <w:p w14:paraId="0A6DE585" w14:textId="77777777" w:rsidR="0015792B" w:rsidRDefault="0015792B" w:rsidP="00920A19"/>
    <w:p w14:paraId="350AD4E4" w14:textId="77777777" w:rsidR="0084703A" w:rsidRDefault="0084703A" w:rsidP="004801A8">
      <w:pPr>
        <w:pStyle w:val="ListParagraph"/>
        <w:numPr>
          <w:ilvl w:val="0"/>
          <w:numId w:val="1"/>
        </w:numPr>
      </w:pPr>
      <w:r>
        <w:t>(20)</w:t>
      </w:r>
    </w:p>
    <w:p w14:paraId="7B9603CB" w14:textId="37B0D1D3" w:rsidR="00806997" w:rsidRDefault="004801A8" w:rsidP="0084703A">
      <w:pPr>
        <w:pStyle w:val="ListParagraph"/>
      </w:pPr>
      <w:r>
        <w:t xml:space="preserve">Phase III clinical trials are going to be initiated in pancreatic cancer patients using </w:t>
      </w:r>
      <w:r w:rsidR="00806997">
        <w:t xml:space="preserve">the </w:t>
      </w:r>
      <w:r w:rsidR="00806997" w:rsidRPr="00F744F1">
        <w:rPr>
          <w:b/>
          <w:bCs/>
        </w:rPr>
        <w:t>six</w:t>
      </w:r>
      <w:r w:rsidR="00B01BE3" w:rsidRPr="00F744F1">
        <w:rPr>
          <w:b/>
          <w:bCs/>
        </w:rPr>
        <w:t>-</w:t>
      </w:r>
      <w:r w:rsidR="00806997" w:rsidRPr="00F744F1">
        <w:rPr>
          <w:b/>
          <w:bCs/>
        </w:rPr>
        <w:t xml:space="preserve">hour infusion protocol at </w:t>
      </w:r>
      <w:r w:rsidR="00B26F4E" w:rsidRPr="00F744F1">
        <w:rPr>
          <w:b/>
          <w:bCs/>
        </w:rPr>
        <w:t xml:space="preserve">the </w:t>
      </w:r>
      <w:r w:rsidR="00806997" w:rsidRPr="00F744F1">
        <w:rPr>
          <w:b/>
          <w:bCs/>
        </w:rPr>
        <w:t>10 mg total dose</w:t>
      </w:r>
      <w:r w:rsidR="00806997">
        <w:t xml:space="preserve">.  The </w:t>
      </w:r>
      <w:r w:rsidR="00B26F4E">
        <w:t>10 mg six</w:t>
      </w:r>
      <w:r w:rsidR="00B01BE3">
        <w:t>-</w:t>
      </w:r>
      <w:r w:rsidR="00B26F4E">
        <w:t xml:space="preserve">hour infusion </w:t>
      </w:r>
      <w:r w:rsidR="00B01BE3">
        <w:t xml:space="preserve">dosing paradigm </w:t>
      </w:r>
      <w:r w:rsidR="00806997">
        <w:t xml:space="preserve">will be taken all the way through registration and </w:t>
      </w:r>
      <w:r w:rsidR="005C70F3">
        <w:t>commercialization</w:t>
      </w:r>
      <w:r w:rsidR="00806997">
        <w:t>.  However, there is a need for a follow</w:t>
      </w:r>
      <w:r w:rsidR="00B01BE3">
        <w:t>-</w:t>
      </w:r>
      <w:r w:rsidR="00806997">
        <w:t xml:space="preserve">on drug delivery system that improves tolerability </w:t>
      </w:r>
      <w:r w:rsidR="005C70F3">
        <w:t>with</w:t>
      </w:r>
      <w:r w:rsidR="00806997">
        <w:t xml:space="preserve"> a shorter infusion duration.</w:t>
      </w:r>
    </w:p>
    <w:p w14:paraId="451C8233" w14:textId="77777777" w:rsidR="00806997" w:rsidRDefault="00806997" w:rsidP="00806997">
      <w:pPr>
        <w:ind w:left="360"/>
      </w:pPr>
    </w:p>
    <w:p w14:paraId="71BBB751" w14:textId="558951B2" w:rsidR="0015792B" w:rsidRPr="00F744F1" w:rsidRDefault="00806997" w:rsidP="00806997">
      <w:pPr>
        <w:pStyle w:val="ListParagraph"/>
        <w:rPr>
          <w:b/>
          <w:bCs/>
        </w:rPr>
      </w:pPr>
      <w:r>
        <w:t xml:space="preserve">The company and project team are asking you to develop a </w:t>
      </w:r>
      <w:r w:rsidRPr="00F744F1">
        <w:rPr>
          <w:b/>
          <w:bCs/>
        </w:rPr>
        <w:t>passively targeted nanoparticle that provides controlled release of Pacific1</w:t>
      </w:r>
      <w:r w:rsidR="00BB27CD" w:rsidRPr="00F744F1">
        <w:rPr>
          <w:b/>
          <w:bCs/>
        </w:rPr>
        <w:t>,</w:t>
      </w:r>
      <w:r w:rsidR="00B26F4E" w:rsidRPr="00F744F1">
        <w:rPr>
          <w:b/>
          <w:bCs/>
        </w:rPr>
        <w:t xml:space="preserve"> with a duration of first order release </w:t>
      </w:r>
      <w:r w:rsidR="00052F67" w:rsidRPr="00F744F1">
        <w:rPr>
          <w:b/>
          <w:bCs/>
        </w:rPr>
        <w:t>over</w:t>
      </w:r>
      <w:r w:rsidRPr="00F744F1">
        <w:rPr>
          <w:b/>
          <w:bCs/>
        </w:rPr>
        <w:t xml:space="preserve"> 12 to 24 hour</w:t>
      </w:r>
      <w:r w:rsidR="00B26F4E" w:rsidRPr="00F744F1">
        <w:rPr>
          <w:b/>
          <w:bCs/>
        </w:rPr>
        <w:t>s</w:t>
      </w:r>
      <w:r w:rsidRPr="00F744F1">
        <w:rPr>
          <w:b/>
          <w:bCs/>
        </w:rPr>
        <w:t xml:space="preserve">, at </w:t>
      </w:r>
      <w:r w:rsidR="00B01BE3" w:rsidRPr="00F744F1">
        <w:rPr>
          <w:b/>
          <w:bCs/>
        </w:rPr>
        <w:t xml:space="preserve">a </w:t>
      </w:r>
      <w:r w:rsidRPr="00F744F1">
        <w:rPr>
          <w:b/>
          <w:bCs/>
        </w:rPr>
        <w:t>10 mg dos</w:t>
      </w:r>
      <w:r w:rsidR="00B26F4E" w:rsidRPr="00F744F1">
        <w:rPr>
          <w:b/>
          <w:bCs/>
        </w:rPr>
        <w:t>e</w:t>
      </w:r>
      <w:r>
        <w:t xml:space="preserve">.   This nanoparticle product would be developed in parallel to the </w:t>
      </w:r>
      <w:r w:rsidR="00563387">
        <w:t xml:space="preserve">aqueous </w:t>
      </w:r>
      <w:r>
        <w:t>infusion product</w:t>
      </w:r>
      <w:r w:rsidR="005D522E">
        <w:t xml:space="preserve"> but would require additional clinical testing and </w:t>
      </w:r>
      <w:r w:rsidR="00C44B4B">
        <w:t xml:space="preserve">is anticipated to receive </w:t>
      </w:r>
      <w:r w:rsidR="005D522E">
        <w:t xml:space="preserve">regulatory approval </w:t>
      </w:r>
      <w:r w:rsidR="00C44B4B">
        <w:t xml:space="preserve">approximately two years after the commercial launch </w:t>
      </w:r>
      <w:r w:rsidR="005D522E">
        <w:t>of the aqueous infusion product</w:t>
      </w:r>
      <w:r>
        <w:t xml:space="preserve">.  It is expected that this drug delivery product would </w:t>
      </w:r>
      <w:r w:rsidRPr="00F744F1">
        <w:rPr>
          <w:b/>
          <w:bCs/>
        </w:rPr>
        <w:t xml:space="preserve">reduce </w:t>
      </w:r>
      <w:r w:rsidR="00AB554C" w:rsidRPr="00F744F1">
        <w:rPr>
          <w:b/>
          <w:bCs/>
        </w:rPr>
        <w:t xml:space="preserve">the </w:t>
      </w:r>
      <w:r w:rsidRPr="00F744F1">
        <w:rPr>
          <w:b/>
          <w:bCs/>
        </w:rPr>
        <w:t>peripheral neuropathy</w:t>
      </w:r>
      <w:r w:rsidR="00C44B4B" w:rsidRPr="00F744F1">
        <w:rPr>
          <w:b/>
          <w:bCs/>
        </w:rPr>
        <w:t xml:space="preserve"> seen with the aqueous infusion product</w:t>
      </w:r>
      <w:r w:rsidRPr="00F744F1">
        <w:rPr>
          <w:b/>
          <w:bCs/>
        </w:rPr>
        <w:t>, shorte</w:t>
      </w:r>
      <w:r w:rsidR="00C44B4B" w:rsidRPr="00F744F1">
        <w:rPr>
          <w:b/>
          <w:bCs/>
        </w:rPr>
        <w:t>n</w:t>
      </w:r>
      <w:r w:rsidRPr="00F744F1">
        <w:rPr>
          <w:b/>
          <w:bCs/>
        </w:rPr>
        <w:t xml:space="preserve"> </w:t>
      </w:r>
      <w:r w:rsidR="00AB554C" w:rsidRPr="00F744F1">
        <w:rPr>
          <w:b/>
          <w:bCs/>
        </w:rPr>
        <w:t>delivery</w:t>
      </w:r>
      <w:r w:rsidRPr="00F744F1">
        <w:rPr>
          <w:b/>
          <w:bCs/>
        </w:rPr>
        <w:t xml:space="preserve"> time</w:t>
      </w:r>
      <w:r w:rsidR="005D522E" w:rsidRPr="00F744F1">
        <w:rPr>
          <w:b/>
          <w:bCs/>
        </w:rPr>
        <w:t>,</w:t>
      </w:r>
      <w:r w:rsidRPr="00F744F1">
        <w:rPr>
          <w:b/>
          <w:bCs/>
        </w:rPr>
        <w:t xml:space="preserve"> and facilitate expansion into new indications.</w:t>
      </w:r>
    </w:p>
    <w:p w14:paraId="497481A1" w14:textId="77777777" w:rsidR="006E641E" w:rsidRPr="00F744F1" w:rsidRDefault="006E641E" w:rsidP="00806997">
      <w:pPr>
        <w:pStyle w:val="ListParagraph"/>
        <w:rPr>
          <w:b/>
          <w:bCs/>
        </w:rPr>
      </w:pPr>
    </w:p>
    <w:p w14:paraId="159DEA36" w14:textId="26733C91" w:rsidR="00B348B7" w:rsidRDefault="0009608F" w:rsidP="0009608F">
      <w:pPr>
        <w:pStyle w:val="ListParagraph"/>
      </w:pPr>
      <w:r>
        <w:lastRenderedPageBreak/>
        <w:t>Using an emulsion process</w:t>
      </w:r>
      <w:r w:rsidR="00C44B4B">
        <w:t>,</w:t>
      </w:r>
      <w:r>
        <w:t xml:space="preserve"> you produce lots </w:t>
      </w:r>
      <w:r w:rsidRPr="00F744F1">
        <w:rPr>
          <w:b/>
          <w:bCs/>
        </w:rPr>
        <w:t>PLGA</w:t>
      </w:r>
      <w:r w:rsidR="00B26F4E" w:rsidRPr="00F744F1">
        <w:rPr>
          <w:b/>
          <w:bCs/>
        </w:rPr>
        <w:t xml:space="preserve">, </w:t>
      </w:r>
      <w:r w:rsidRPr="00F744F1">
        <w:rPr>
          <w:b/>
          <w:bCs/>
        </w:rPr>
        <w:t>PLGA-PEG</w:t>
      </w:r>
      <w:r w:rsidR="00B26F4E" w:rsidRPr="00F744F1">
        <w:rPr>
          <w:b/>
          <w:bCs/>
        </w:rPr>
        <w:t xml:space="preserve"> and Pacific1</w:t>
      </w:r>
      <w:r w:rsidRPr="00F744F1">
        <w:rPr>
          <w:b/>
          <w:bCs/>
        </w:rPr>
        <w:t xml:space="preserve"> nanoparticles </w:t>
      </w:r>
      <w:r w:rsidR="00B26F4E" w:rsidRPr="00F744F1">
        <w:rPr>
          <w:b/>
          <w:bCs/>
        </w:rPr>
        <w:t>with varying compositions</w:t>
      </w:r>
      <w:r w:rsidR="00B26F4E">
        <w:t xml:space="preserve">.  The purpose of the design was to arrive at a composition </w:t>
      </w:r>
      <w:r w:rsidR="00095387">
        <w:t>for the</w:t>
      </w:r>
      <w:r w:rsidR="00B26F4E">
        <w:t xml:space="preserve"> nanoparticle that would produc</w:t>
      </w:r>
      <w:r w:rsidR="00095387">
        <w:t>e</w:t>
      </w:r>
      <w:r w:rsidR="00B26F4E">
        <w:t xml:space="preserve"> </w:t>
      </w:r>
      <w:r w:rsidR="00AB554C">
        <w:t>a</w:t>
      </w:r>
      <w:r w:rsidR="00B26F4E">
        <w:t xml:space="preserve"> </w:t>
      </w:r>
      <w:r w:rsidR="00B26F4E" w:rsidRPr="00F744F1">
        <w:rPr>
          <w:b/>
          <w:bCs/>
        </w:rPr>
        <w:t>12</w:t>
      </w:r>
      <w:r w:rsidR="00AB554C" w:rsidRPr="00F744F1">
        <w:rPr>
          <w:b/>
          <w:bCs/>
        </w:rPr>
        <w:t>-</w:t>
      </w:r>
      <w:r w:rsidR="00B26F4E" w:rsidRPr="00F744F1">
        <w:rPr>
          <w:b/>
          <w:bCs/>
        </w:rPr>
        <w:t>to</w:t>
      </w:r>
      <w:r w:rsidR="00AB554C" w:rsidRPr="00F744F1">
        <w:rPr>
          <w:b/>
          <w:bCs/>
        </w:rPr>
        <w:t>-</w:t>
      </w:r>
      <w:proofErr w:type="gramStart"/>
      <w:r w:rsidR="00B26F4E" w:rsidRPr="00F744F1">
        <w:rPr>
          <w:b/>
          <w:bCs/>
        </w:rPr>
        <w:t>24 hour</w:t>
      </w:r>
      <w:proofErr w:type="gramEnd"/>
      <w:r w:rsidR="00B26F4E" w:rsidRPr="00F744F1">
        <w:rPr>
          <w:b/>
          <w:bCs/>
        </w:rPr>
        <w:t xml:space="preserve"> release profile </w:t>
      </w:r>
      <w:r w:rsidR="00095387" w:rsidRPr="00F744F1">
        <w:rPr>
          <w:b/>
          <w:bCs/>
        </w:rPr>
        <w:t>with a simple bolus administration</w:t>
      </w:r>
      <w:r w:rsidR="00095387">
        <w:t xml:space="preserve">. </w:t>
      </w:r>
      <w:r w:rsidR="00B26F4E">
        <w:t xml:space="preserve"> </w:t>
      </w:r>
      <w:r w:rsidR="00095387">
        <w:t>T</w:t>
      </w:r>
      <w:r w:rsidR="00B26F4E">
        <w:t xml:space="preserve">he team wants to evaluate </w:t>
      </w:r>
      <w:r w:rsidR="00095387">
        <w:t xml:space="preserve">a single drug product candidate (nanoparticle formulation) </w:t>
      </w:r>
      <w:r w:rsidR="00B26F4E">
        <w:t>in preclinical and clinical studies</w:t>
      </w:r>
      <w:r w:rsidR="00095387">
        <w:t xml:space="preserve"> as soon as possible.</w:t>
      </w:r>
      <w:r w:rsidR="00B26F4E">
        <w:t xml:space="preserve"> </w:t>
      </w:r>
    </w:p>
    <w:p w14:paraId="662EE298" w14:textId="77777777" w:rsidR="00095387" w:rsidRDefault="00095387" w:rsidP="0009608F">
      <w:pPr>
        <w:pStyle w:val="ListParagraph"/>
      </w:pPr>
    </w:p>
    <w:p w14:paraId="2FB7DE46" w14:textId="7BDFE367" w:rsidR="00B348B7" w:rsidRDefault="00BB27CD" w:rsidP="0009608F">
      <w:pPr>
        <w:pStyle w:val="ListParagraph"/>
      </w:pPr>
      <w:r>
        <w:t xml:space="preserve">You have </w:t>
      </w:r>
      <w:r w:rsidRPr="006623B8">
        <w:rPr>
          <w:b/>
          <w:bCs/>
        </w:rPr>
        <w:t>already</w:t>
      </w:r>
      <w:r w:rsidR="00095387" w:rsidRPr="006623B8">
        <w:rPr>
          <w:b/>
          <w:bCs/>
        </w:rPr>
        <w:t xml:space="preserve"> selected a specific MW and type of PLGA</w:t>
      </w:r>
      <w:r w:rsidR="00095387">
        <w:t xml:space="preserve"> for the experiments</w:t>
      </w:r>
      <w:r w:rsidR="00AB554C">
        <w:t>;</w:t>
      </w:r>
      <w:r w:rsidR="00095387">
        <w:t xml:space="preserve"> it was </w:t>
      </w:r>
      <w:r>
        <w:t xml:space="preserve">very </w:t>
      </w:r>
      <w:r w:rsidR="00095387">
        <w:t>difficult to find a PLGA that would solubilize Pacific1</w:t>
      </w:r>
      <w:r w:rsidR="00052F67">
        <w:t xml:space="preserve"> and incorporate it into the nanoparticle</w:t>
      </w:r>
      <w:r w:rsidR="00095387">
        <w:t xml:space="preserve">. </w:t>
      </w:r>
      <w:r w:rsidR="00052F67">
        <w:t>Y</w:t>
      </w:r>
      <w:r w:rsidR="00095387">
        <w:t xml:space="preserve">ou had </w:t>
      </w:r>
      <w:r w:rsidR="00095387" w:rsidRPr="006623B8">
        <w:rPr>
          <w:b/>
          <w:bCs/>
        </w:rPr>
        <w:t xml:space="preserve">PEG 5000 covalently added to the </w:t>
      </w:r>
      <w:r w:rsidR="00052F67" w:rsidRPr="006623B8">
        <w:rPr>
          <w:b/>
          <w:bCs/>
        </w:rPr>
        <w:t xml:space="preserve">selected </w:t>
      </w:r>
      <w:r w:rsidR="00095387" w:rsidRPr="006623B8">
        <w:rPr>
          <w:b/>
          <w:bCs/>
        </w:rPr>
        <w:t xml:space="preserve">PLGA </w:t>
      </w:r>
      <w:r w:rsidR="00052F67" w:rsidRPr="006623B8">
        <w:rPr>
          <w:b/>
          <w:bCs/>
        </w:rPr>
        <w:t>to</w:t>
      </w:r>
      <w:r w:rsidR="00095387" w:rsidRPr="006623B8">
        <w:rPr>
          <w:b/>
          <w:bCs/>
        </w:rPr>
        <w:t xml:space="preserve"> form a P</w:t>
      </w:r>
      <w:r w:rsidR="00052F67" w:rsidRPr="006623B8">
        <w:rPr>
          <w:b/>
          <w:bCs/>
        </w:rPr>
        <w:t>EG</w:t>
      </w:r>
      <w:r w:rsidR="00095387" w:rsidRPr="006623B8">
        <w:rPr>
          <w:b/>
          <w:bCs/>
        </w:rPr>
        <w:t>-PLGA polym</w:t>
      </w:r>
      <w:r w:rsidR="006623B8">
        <w:rPr>
          <w:b/>
          <w:bCs/>
        </w:rPr>
        <w:t>er</w:t>
      </w:r>
      <w:r w:rsidR="00095387">
        <w:t xml:space="preserve">.  The parameters you are </w:t>
      </w:r>
      <w:r w:rsidR="00095387" w:rsidRPr="006623B8">
        <w:rPr>
          <w:b/>
          <w:bCs/>
        </w:rPr>
        <w:t>optimizing are the mole ratio of PLGA-PEG to PLGA and the drug load of Pacific 1 (weight fraction)</w:t>
      </w:r>
      <w:r w:rsidRPr="006623B8">
        <w:rPr>
          <w:b/>
          <w:bCs/>
        </w:rPr>
        <w:t xml:space="preserve"> in the nanoparticle</w:t>
      </w:r>
      <w:r w:rsidR="00095387">
        <w:t xml:space="preserve">.  </w:t>
      </w:r>
      <w:r w:rsidR="00CE5C5A">
        <w:t xml:space="preserve">The pharmacokinetic studies were done in male Sprague Dawley rats (n=8 per group), with an </w:t>
      </w:r>
      <w:r w:rsidR="00CE5C5A" w:rsidRPr="006623B8">
        <w:rPr>
          <w:b/>
          <w:bCs/>
        </w:rPr>
        <w:t>average weight of ½ kg</w:t>
      </w:r>
      <w:r w:rsidR="00CE5C5A">
        <w:t xml:space="preserve"> and </w:t>
      </w:r>
      <w:r w:rsidR="00CE5C5A" w:rsidRPr="006623B8">
        <w:rPr>
          <w:b/>
          <w:bCs/>
        </w:rPr>
        <w:t xml:space="preserve">plasma volume of </w:t>
      </w:r>
      <w:r w:rsidR="00EC63A5" w:rsidRPr="006623B8">
        <w:rPr>
          <w:b/>
          <w:bCs/>
        </w:rPr>
        <w:t>30</w:t>
      </w:r>
      <w:r w:rsidR="00CE5C5A" w:rsidRPr="006623B8">
        <w:rPr>
          <w:b/>
          <w:bCs/>
        </w:rPr>
        <w:t xml:space="preserve"> </w:t>
      </w:r>
      <w:proofErr w:type="spellStart"/>
      <w:r w:rsidR="00CE5C5A" w:rsidRPr="006623B8">
        <w:rPr>
          <w:b/>
          <w:bCs/>
        </w:rPr>
        <w:t>mL</w:t>
      </w:r>
      <w:r w:rsidR="00CE5C5A">
        <w:t>.</w:t>
      </w:r>
      <w:proofErr w:type="spellEnd"/>
      <w:r w:rsidR="00CE5C5A">
        <w:t xml:space="preserve">  </w:t>
      </w:r>
      <w:r w:rsidR="00B348B7">
        <w:t xml:space="preserve">The experimental design is </w:t>
      </w:r>
      <w:r w:rsidR="00CE5C5A">
        <w:t>outlined</w:t>
      </w:r>
      <w:r w:rsidR="00B348B7">
        <w:t xml:space="preserve"> in Table </w:t>
      </w:r>
      <w:r w:rsidR="00095387">
        <w:t>1.</w:t>
      </w:r>
      <w:r w:rsidR="00C74183">
        <w:t>6</w:t>
      </w:r>
      <w:r w:rsidR="00B348B7">
        <w:t>.</w:t>
      </w:r>
      <w:r>
        <w:t xml:space="preserve">  You wanted the analytical group to develop an assay that could differentiate released Pacific1 from encapsulated, but there was not enough time.  The PK assay will only give you </w:t>
      </w:r>
      <w:r w:rsidRPr="006623B8">
        <w:rPr>
          <w:b/>
          <w:bCs/>
        </w:rPr>
        <w:t>total Pacific1</w:t>
      </w:r>
      <w:r>
        <w:t xml:space="preserve"> and you will have to evaluate the curves carefully.</w:t>
      </w:r>
    </w:p>
    <w:p w14:paraId="3BD70357" w14:textId="77777777" w:rsidR="00CE5C5A" w:rsidRDefault="00CE5C5A" w:rsidP="0009608F">
      <w:pPr>
        <w:pStyle w:val="ListParagraph"/>
      </w:pPr>
    </w:p>
    <w:p w14:paraId="42A7E743" w14:textId="62281BD0" w:rsidR="00CE5C5A" w:rsidRDefault="00CE5C5A" w:rsidP="0009608F">
      <w:pPr>
        <w:pStyle w:val="ListParagraph"/>
      </w:pPr>
      <w:r>
        <w:t>The mean results for the six different pharmacokinetic experiments are shown in</w:t>
      </w:r>
      <w:r w:rsidR="002129E2">
        <w:t xml:space="preserve"> the</w:t>
      </w:r>
      <w:r>
        <w:t xml:space="preserve"> </w:t>
      </w:r>
      <w:r w:rsidR="00AB554C">
        <w:t>f</w:t>
      </w:r>
      <w:r>
        <w:t xml:space="preserve">igures </w:t>
      </w:r>
      <w:r w:rsidR="002129E2">
        <w:t xml:space="preserve">provided </w:t>
      </w:r>
      <w:r w:rsidR="00BB27CD">
        <w:t>with</w:t>
      </w:r>
      <w:r>
        <w:t xml:space="preserve"> the attachments.</w:t>
      </w:r>
    </w:p>
    <w:p w14:paraId="3E5FDA32" w14:textId="77777777" w:rsidR="00B348B7" w:rsidRDefault="00B348B7" w:rsidP="0009608F">
      <w:pPr>
        <w:pStyle w:val="ListParagraph"/>
      </w:pPr>
      <w:bookmarkStart w:id="0" w:name="_GoBack"/>
      <w:bookmarkEnd w:id="0"/>
    </w:p>
    <w:p w14:paraId="7E42765E" w14:textId="77777777" w:rsidR="00B348B7" w:rsidRDefault="00B348B7" w:rsidP="0009608F">
      <w:pPr>
        <w:pStyle w:val="ListParagraph"/>
      </w:pPr>
    </w:p>
    <w:p w14:paraId="56C3FBEB" w14:textId="77777777" w:rsidR="00B348B7" w:rsidRDefault="00B348B7" w:rsidP="0009608F">
      <w:pPr>
        <w:pStyle w:val="ListParagraph"/>
      </w:pPr>
      <w:r>
        <w:t xml:space="preserve">Table </w:t>
      </w:r>
      <w:r w:rsidR="00CE5C5A">
        <w:t>1</w:t>
      </w:r>
      <w:r w:rsidR="00B878C2">
        <w:t>.</w:t>
      </w:r>
      <w:r w:rsidR="00BB27CD">
        <w:t>6</w:t>
      </w:r>
      <w:r w:rsidR="00B878C2">
        <w:t xml:space="preserve"> Experimental design for evaluation of drug load and polymer composition</w:t>
      </w:r>
      <w:r w:rsidR="00CE5C5A">
        <w:t>.  Pharmacokinetics done</w:t>
      </w:r>
      <w:r w:rsidR="00B878C2">
        <w:t xml:space="preserve"> in </w:t>
      </w:r>
      <w:r w:rsidR="00120B57">
        <w:t>male Sprague Dawley rat</w:t>
      </w:r>
      <w:r w:rsidR="00CE5C5A">
        <w:t>s</w:t>
      </w:r>
      <w:r w:rsidR="00B878C2">
        <w:t xml:space="preserve"> (n=</w:t>
      </w:r>
      <w:r w:rsidR="00CE5C5A">
        <w:t>8 for</w:t>
      </w:r>
      <w:r w:rsidR="00B878C2">
        <w:t xml:space="preserve"> each group), dosed at 1 mg/kg Pacific1 by IV bolus.  </w:t>
      </w:r>
      <w:r w:rsidR="00120B57">
        <w:t>Group n</w:t>
      </w:r>
      <w:r w:rsidR="00B878C2">
        <w:t>ames of each combination shown below.</w:t>
      </w:r>
    </w:p>
    <w:p w14:paraId="37A4454E" w14:textId="77777777" w:rsidR="00B878C2" w:rsidRDefault="00B878C2" w:rsidP="00B878C2"/>
    <w:p w14:paraId="3403A07F" w14:textId="77777777" w:rsidR="00B348B7" w:rsidRDefault="00B348B7" w:rsidP="0009608F">
      <w:pPr>
        <w:pStyle w:val="ListParagraph"/>
      </w:pPr>
    </w:p>
    <w:tbl>
      <w:tblPr>
        <w:tblStyle w:val="TableGrid"/>
        <w:tblW w:w="0" w:type="auto"/>
        <w:tblInd w:w="720" w:type="dxa"/>
        <w:tblLook w:val="04A0" w:firstRow="1" w:lastRow="0" w:firstColumn="1" w:lastColumn="0" w:noHBand="0" w:noVBand="1"/>
      </w:tblPr>
      <w:tblGrid>
        <w:gridCol w:w="2142"/>
        <w:gridCol w:w="2162"/>
        <w:gridCol w:w="2163"/>
        <w:gridCol w:w="2163"/>
      </w:tblGrid>
      <w:tr w:rsidR="00B348B7" w14:paraId="249A3806" w14:textId="77777777" w:rsidTr="00CE5C5A">
        <w:tc>
          <w:tcPr>
            <w:tcW w:w="2142" w:type="dxa"/>
          </w:tcPr>
          <w:p w14:paraId="0A30F5D7" w14:textId="77777777" w:rsidR="00B348B7" w:rsidRPr="001977F3" w:rsidRDefault="00CE5C5A" w:rsidP="00B878C2">
            <w:pPr>
              <w:pStyle w:val="ListParagraph"/>
              <w:ind w:left="0"/>
              <w:jc w:val="center"/>
              <w:rPr>
                <w:b/>
                <w:color w:val="002060"/>
              </w:rPr>
            </w:pPr>
            <w:r w:rsidRPr="001977F3">
              <w:rPr>
                <w:b/>
                <w:color w:val="002060"/>
              </w:rPr>
              <w:t>PLGA-PEG ratio</w:t>
            </w:r>
          </w:p>
        </w:tc>
        <w:tc>
          <w:tcPr>
            <w:tcW w:w="2162" w:type="dxa"/>
          </w:tcPr>
          <w:p w14:paraId="1353FA72" w14:textId="77777777" w:rsidR="00B348B7" w:rsidRPr="001977F3" w:rsidRDefault="00CE5C5A" w:rsidP="00CE5C5A">
            <w:pPr>
              <w:pStyle w:val="ListParagraph"/>
              <w:ind w:left="0"/>
              <w:rPr>
                <w:b/>
                <w:color w:val="002060"/>
              </w:rPr>
            </w:pPr>
            <w:r w:rsidRPr="001977F3">
              <w:rPr>
                <w:b/>
                <w:color w:val="002060"/>
              </w:rPr>
              <w:t>0.05</w:t>
            </w:r>
            <w:r w:rsidR="00B348B7" w:rsidRPr="001977F3">
              <w:rPr>
                <w:b/>
                <w:color w:val="002060"/>
              </w:rPr>
              <w:t xml:space="preserve"> Pacific1</w:t>
            </w:r>
            <w:r w:rsidR="00B878C2" w:rsidRPr="001977F3">
              <w:rPr>
                <w:b/>
                <w:color w:val="002060"/>
              </w:rPr>
              <w:t xml:space="preserve"> (w/w)</w:t>
            </w:r>
          </w:p>
        </w:tc>
        <w:tc>
          <w:tcPr>
            <w:tcW w:w="2163" w:type="dxa"/>
          </w:tcPr>
          <w:p w14:paraId="17BBA9E1" w14:textId="77777777" w:rsidR="00B348B7" w:rsidRPr="001977F3" w:rsidRDefault="00CE5C5A" w:rsidP="00B878C2">
            <w:pPr>
              <w:pStyle w:val="ListParagraph"/>
              <w:ind w:left="0"/>
              <w:jc w:val="center"/>
              <w:rPr>
                <w:b/>
                <w:color w:val="002060"/>
              </w:rPr>
            </w:pPr>
            <w:r w:rsidRPr="001977F3">
              <w:rPr>
                <w:b/>
                <w:color w:val="002060"/>
              </w:rPr>
              <w:t>0.10</w:t>
            </w:r>
            <w:r w:rsidR="00B348B7" w:rsidRPr="001977F3">
              <w:rPr>
                <w:b/>
                <w:color w:val="002060"/>
              </w:rPr>
              <w:t xml:space="preserve"> Pacific1</w:t>
            </w:r>
            <w:r w:rsidR="00B878C2" w:rsidRPr="001977F3">
              <w:rPr>
                <w:b/>
                <w:color w:val="002060"/>
              </w:rPr>
              <w:t xml:space="preserve"> (w/w)</w:t>
            </w:r>
          </w:p>
        </w:tc>
        <w:tc>
          <w:tcPr>
            <w:tcW w:w="2163" w:type="dxa"/>
          </w:tcPr>
          <w:p w14:paraId="1570D4A3" w14:textId="77777777" w:rsidR="00B348B7" w:rsidRPr="001977F3" w:rsidRDefault="00CE5C5A" w:rsidP="00B878C2">
            <w:pPr>
              <w:pStyle w:val="ListParagraph"/>
              <w:ind w:left="0"/>
              <w:jc w:val="center"/>
              <w:rPr>
                <w:b/>
                <w:color w:val="002060"/>
              </w:rPr>
            </w:pPr>
            <w:r w:rsidRPr="001977F3">
              <w:rPr>
                <w:b/>
                <w:color w:val="002060"/>
              </w:rPr>
              <w:t>0.20</w:t>
            </w:r>
            <w:r w:rsidR="00B878C2" w:rsidRPr="001977F3">
              <w:rPr>
                <w:b/>
                <w:color w:val="002060"/>
              </w:rPr>
              <w:t xml:space="preserve"> Pacific1 (w/w)</w:t>
            </w:r>
          </w:p>
        </w:tc>
      </w:tr>
      <w:tr w:rsidR="00B348B7" w14:paraId="4B5F56BB" w14:textId="77777777" w:rsidTr="00CE5C5A">
        <w:tc>
          <w:tcPr>
            <w:tcW w:w="2142" w:type="dxa"/>
          </w:tcPr>
          <w:p w14:paraId="4B640A9B" w14:textId="77777777" w:rsidR="00B348B7" w:rsidRDefault="00CE5C5A" w:rsidP="00B878C2">
            <w:pPr>
              <w:pStyle w:val="ListParagraph"/>
              <w:ind w:left="0"/>
              <w:jc w:val="center"/>
            </w:pPr>
            <w:r>
              <w:t>0.10</w:t>
            </w:r>
          </w:p>
        </w:tc>
        <w:tc>
          <w:tcPr>
            <w:tcW w:w="2162" w:type="dxa"/>
          </w:tcPr>
          <w:p w14:paraId="57F7C0A3" w14:textId="77777777" w:rsidR="00B348B7" w:rsidRDefault="00B878C2" w:rsidP="00B878C2">
            <w:pPr>
              <w:pStyle w:val="ListParagraph"/>
              <w:ind w:left="0"/>
              <w:jc w:val="center"/>
            </w:pPr>
            <w:r>
              <w:t>A5</w:t>
            </w:r>
          </w:p>
        </w:tc>
        <w:tc>
          <w:tcPr>
            <w:tcW w:w="2163" w:type="dxa"/>
          </w:tcPr>
          <w:p w14:paraId="56A60F5F" w14:textId="77777777" w:rsidR="00B348B7" w:rsidRDefault="00B878C2" w:rsidP="00B878C2">
            <w:pPr>
              <w:pStyle w:val="ListParagraph"/>
              <w:ind w:left="0"/>
              <w:jc w:val="center"/>
            </w:pPr>
            <w:r>
              <w:t>A10</w:t>
            </w:r>
          </w:p>
        </w:tc>
        <w:tc>
          <w:tcPr>
            <w:tcW w:w="2163" w:type="dxa"/>
          </w:tcPr>
          <w:p w14:paraId="3BA88767" w14:textId="77777777" w:rsidR="00B348B7" w:rsidRDefault="00B878C2" w:rsidP="00B878C2">
            <w:pPr>
              <w:pStyle w:val="ListParagraph"/>
              <w:ind w:left="0"/>
              <w:jc w:val="center"/>
            </w:pPr>
            <w:r>
              <w:t>A20</w:t>
            </w:r>
          </w:p>
        </w:tc>
      </w:tr>
      <w:tr w:rsidR="00B348B7" w14:paraId="02880E06" w14:textId="77777777" w:rsidTr="00CE5C5A">
        <w:tc>
          <w:tcPr>
            <w:tcW w:w="2142" w:type="dxa"/>
          </w:tcPr>
          <w:p w14:paraId="238F1562" w14:textId="77777777" w:rsidR="00B348B7" w:rsidRDefault="00CE5C5A" w:rsidP="00B878C2">
            <w:pPr>
              <w:pStyle w:val="ListParagraph"/>
              <w:ind w:left="0"/>
              <w:jc w:val="center"/>
            </w:pPr>
            <w:r>
              <w:t>0.20</w:t>
            </w:r>
          </w:p>
        </w:tc>
        <w:tc>
          <w:tcPr>
            <w:tcW w:w="2162" w:type="dxa"/>
          </w:tcPr>
          <w:p w14:paraId="43341516" w14:textId="77777777" w:rsidR="00B348B7" w:rsidRDefault="00B878C2" w:rsidP="00B878C2">
            <w:pPr>
              <w:pStyle w:val="ListParagraph"/>
              <w:ind w:left="0"/>
              <w:jc w:val="center"/>
            </w:pPr>
            <w:r>
              <w:t>B5</w:t>
            </w:r>
          </w:p>
        </w:tc>
        <w:tc>
          <w:tcPr>
            <w:tcW w:w="2163" w:type="dxa"/>
          </w:tcPr>
          <w:p w14:paraId="4019C795" w14:textId="77777777" w:rsidR="00B348B7" w:rsidRDefault="00B878C2" w:rsidP="00B878C2">
            <w:pPr>
              <w:pStyle w:val="ListParagraph"/>
              <w:ind w:left="0"/>
              <w:jc w:val="center"/>
            </w:pPr>
            <w:r>
              <w:t>B10</w:t>
            </w:r>
          </w:p>
        </w:tc>
        <w:tc>
          <w:tcPr>
            <w:tcW w:w="2163" w:type="dxa"/>
          </w:tcPr>
          <w:p w14:paraId="380A69C2" w14:textId="77777777" w:rsidR="00B348B7" w:rsidRDefault="00B878C2" w:rsidP="00B878C2">
            <w:pPr>
              <w:pStyle w:val="ListParagraph"/>
              <w:ind w:left="0"/>
              <w:jc w:val="center"/>
            </w:pPr>
            <w:r>
              <w:t>B20</w:t>
            </w:r>
          </w:p>
        </w:tc>
      </w:tr>
    </w:tbl>
    <w:p w14:paraId="388EA7CA" w14:textId="77777777" w:rsidR="00B348B7" w:rsidRDefault="00B348B7" w:rsidP="0009608F">
      <w:pPr>
        <w:pStyle w:val="ListParagraph"/>
      </w:pPr>
    </w:p>
    <w:p w14:paraId="53C7BF49" w14:textId="4CA26B46" w:rsidR="003704D7" w:rsidRDefault="00AF3B2B" w:rsidP="0009608F">
      <w:pPr>
        <w:pStyle w:val="ListParagraph"/>
      </w:pPr>
      <w:r>
        <w:t>For controlled release over long periods of time, need long circulation time – add PEG shields on surface of NP. Increasing relative concentration of PEG moves from “mushroom” model to “brush border” model, the latter of which is more successful at avoiding processing by the MPS system. Initial distribution phase is evidence of burst – excess drug that was not encapsulated in particles (exceeds solubility limit in PLGA and causes precipitation), inhomogeneity due to presence of drug in PLGA</w:t>
      </w:r>
      <w:r w:rsidR="004D5B24">
        <w:t xml:space="preserve">, etc. B5 is answer. </w:t>
      </w:r>
    </w:p>
    <w:sectPr w:rsidR="003704D7" w:rsidSect="0074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E6A"/>
    <w:multiLevelType w:val="hybridMultilevel"/>
    <w:tmpl w:val="9EE0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7"/>
    <w:rsid w:val="00015A14"/>
    <w:rsid w:val="00021BF0"/>
    <w:rsid w:val="00052F67"/>
    <w:rsid w:val="00095387"/>
    <w:rsid w:val="0009608F"/>
    <w:rsid w:val="000E7A4C"/>
    <w:rsid w:val="00106E5E"/>
    <w:rsid w:val="00107572"/>
    <w:rsid w:val="00120B57"/>
    <w:rsid w:val="0015792B"/>
    <w:rsid w:val="001603BF"/>
    <w:rsid w:val="00176967"/>
    <w:rsid w:val="001977F3"/>
    <w:rsid w:val="001B7D36"/>
    <w:rsid w:val="001D465E"/>
    <w:rsid w:val="001E3E4C"/>
    <w:rsid w:val="001F5BC4"/>
    <w:rsid w:val="002129E2"/>
    <w:rsid w:val="00230A8A"/>
    <w:rsid w:val="00231735"/>
    <w:rsid w:val="00250E37"/>
    <w:rsid w:val="00260A7E"/>
    <w:rsid w:val="002658F7"/>
    <w:rsid w:val="00277184"/>
    <w:rsid w:val="002863B6"/>
    <w:rsid w:val="002A715B"/>
    <w:rsid w:val="002D1E28"/>
    <w:rsid w:val="002D7817"/>
    <w:rsid w:val="003527CA"/>
    <w:rsid w:val="003704D7"/>
    <w:rsid w:val="003B6267"/>
    <w:rsid w:val="003E0C48"/>
    <w:rsid w:val="00405C56"/>
    <w:rsid w:val="004801A8"/>
    <w:rsid w:val="004C40D4"/>
    <w:rsid w:val="004C5BF5"/>
    <w:rsid w:val="004D5B24"/>
    <w:rsid w:val="00520951"/>
    <w:rsid w:val="00563387"/>
    <w:rsid w:val="005C70F3"/>
    <w:rsid w:val="005D522E"/>
    <w:rsid w:val="005F4C24"/>
    <w:rsid w:val="005F7C66"/>
    <w:rsid w:val="006326C7"/>
    <w:rsid w:val="006623B8"/>
    <w:rsid w:val="00666007"/>
    <w:rsid w:val="00675243"/>
    <w:rsid w:val="00683666"/>
    <w:rsid w:val="00692B38"/>
    <w:rsid w:val="006D633E"/>
    <w:rsid w:val="006E641E"/>
    <w:rsid w:val="007330D0"/>
    <w:rsid w:val="007425A1"/>
    <w:rsid w:val="00744744"/>
    <w:rsid w:val="007447B2"/>
    <w:rsid w:val="007535C9"/>
    <w:rsid w:val="00757F69"/>
    <w:rsid w:val="00764040"/>
    <w:rsid w:val="007D6961"/>
    <w:rsid w:val="007E5FD5"/>
    <w:rsid w:val="00806997"/>
    <w:rsid w:val="008437D8"/>
    <w:rsid w:val="00843B90"/>
    <w:rsid w:val="0084703A"/>
    <w:rsid w:val="00874B26"/>
    <w:rsid w:val="008823BC"/>
    <w:rsid w:val="008B3FC4"/>
    <w:rsid w:val="008C2D64"/>
    <w:rsid w:val="008F0F70"/>
    <w:rsid w:val="00920A19"/>
    <w:rsid w:val="00950FE7"/>
    <w:rsid w:val="00960334"/>
    <w:rsid w:val="009A375B"/>
    <w:rsid w:val="009C3340"/>
    <w:rsid w:val="009D0943"/>
    <w:rsid w:val="009D533E"/>
    <w:rsid w:val="009F446E"/>
    <w:rsid w:val="009F633F"/>
    <w:rsid w:val="00A33910"/>
    <w:rsid w:val="00A52ECE"/>
    <w:rsid w:val="00AB554C"/>
    <w:rsid w:val="00AF3B2B"/>
    <w:rsid w:val="00B01BE3"/>
    <w:rsid w:val="00B173C9"/>
    <w:rsid w:val="00B22AB5"/>
    <w:rsid w:val="00B26F4E"/>
    <w:rsid w:val="00B27F6D"/>
    <w:rsid w:val="00B348B7"/>
    <w:rsid w:val="00B572D6"/>
    <w:rsid w:val="00B878C2"/>
    <w:rsid w:val="00BB27CD"/>
    <w:rsid w:val="00BC75B5"/>
    <w:rsid w:val="00BE3232"/>
    <w:rsid w:val="00BF4F09"/>
    <w:rsid w:val="00C44B4B"/>
    <w:rsid w:val="00C74183"/>
    <w:rsid w:val="00C93B75"/>
    <w:rsid w:val="00C96528"/>
    <w:rsid w:val="00CA37D1"/>
    <w:rsid w:val="00CC157B"/>
    <w:rsid w:val="00CD3C77"/>
    <w:rsid w:val="00CE1F78"/>
    <w:rsid w:val="00CE3DCD"/>
    <w:rsid w:val="00CE5C5A"/>
    <w:rsid w:val="00D16E27"/>
    <w:rsid w:val="00D247B3"/>
    <w:rsid w:val="00D33D4E"/>
    <w:rsid w:val="00D7014A"/>
    <w:rsid w:val="00D93EA1"/>
    <w:rsid w:val="00DB4E4B"/>
    <w:rsid w:val="00DC294E"/>
    <w:rsid w:val="00E025BA"/>
    <w:rsid w:val="00E36656"/>
    <w:rsid w:val="00EC0999"/>
    <w:rsid w:val="00EC63A5"/>
    <w:rsid w:val="00EE4F72"/>
    <w:rsid w:val="00F744F1"/>
    <w:rsid w:val="00F80E9B"/>
    <w:rsid w:val="00F83908"/>
    <w:rsid w:val="00F8400E"/>
    <w:rsid w:val="00F860FA"/>
    <w:rsid w:val="00FA1C4D"/>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2BBA"/>
  <w15:chartTrackingRefBased/>
  <w15:docId w15:val="{161785D4-1B40-48C9-9209-435A2CCB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3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8F7"/>
    <w:pPr>
      <w:ind w:left="720"/>
      <w:contextualSpacing/>
    </w:pPr>
  </w:style>
  <w:style w:type="table" w:styleId="TableGrid">
    <w:name w:val="Table Grid"/>
    <w:basedOn w:val="TableNormal"/>
    <w:uiPriority w:val="39"/>
    <w:rsid w:val="00265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39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39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4E4B"/>
    <w:rPr>
      <w:sz w:val="16"/>
      <w:szCs w:val="16"/>
    </w:rPr>
  </w:style>
  <w:style w:type="paragraph" w:styleId="CommentText">
    <w:name w:val="annotation text"/>
    <w:basedOn w:val="Normal"/>
    <w:link w:val="CommentTextChar"/>
    <w:uiPriority w:val="99"/>
    <w:semiHidden/>
    <w:unhideWhenUsed/>
    <w:rsid w:val="00DB4E4B"/>
    <w:rPr>
      <w:sz w:val="20"/>
      <w:szCs w:val="20"/>
    </w:rPr>
  </w:style>
  <w:style w:type="character" w:customStyle="1" w:styleId="CommentTextChar">
    <w:name w:val="Comment Text Char"/>
    <w:basedOn w:val="DefaultParagraphFont"/>
    <w:link w:val="CommentText"/>
    <w:uiPriority w:val="99"/>
    <w:semiHidden/>
    <w:rsid w:val="00DB4E4B"/>
    <w:rPr>
      <w:sz w:val="20"/>
      <w:szCs w:val="20"/>
    </w:rPr>
  </w:style>
  <w:style w:type="paragraph" w:styleId="CommentSubject">
    <w:name w:val="annotation subject"/>
    <w:basedOn w:val="CommentText"/>
    <w:next w:val="CommentText"/>
    <w:link w:val="CommentSubjectChar"/>
    <w:uiPriority w:val="99"/>
    <w:semiHidden/>
    <w:unhideWhenUsed/>
    <w:rsid w:val="00DB4E4B"/>
    <w:rPr>
      <w:b/>
      <w:bCs/>
    </w:rPr>
  </w:style>
  <w:style w:type="character" w:customStyle="1" w:styleId="CommentSubjectChar">
    <w:name w:val="Comment Subject Char"/>
    <w:basedOn w:val="CommentTextChar"/>
    <w:link w:val="CommentSubject"/>
    <w:uiPriority w:val="99"/>
    <w:semiHidden/>
    <w:rsid w:val="00DB4E4B"/>
    <w:rPr>
      <w:b/>
      <w:bCs/>
      <w:sz w:val="20"/>
      <w:szCs w:val="20"/>
    </w:rPr>
  </w:style>
  <w:style w:type="character" w:customStyle="1" w:styleId="Heading1Char">
    <w:name w:val="Heading 1 Char"/>
    <w:basedOn w:val="DefaultParagraphFont"/>
    <w:link w:val="Heading1"/>
    <w:uiPriority w:val="9"/>
    <w:rsid w:val="009603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14000</TotalTime>
  <Pages>5</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Wright</dc:creator>
  <cp:keywords/>
  <dc:description/>
  <cp:lastModifiedBy>Andrew Sullivan</cp:lastModifiedBy>
  <cp:revision>4</cp:revision>
  <dcterms:created xsi:type="dcterms:W3CDTF">2020-02-19T16:55:00Z</dcterms:created>
  <dcterms:modified xsi:type="dcterms:W3CDTF">2020-03-09T14:43:00Z</dcterms:modified>
</cp:coreProperties>
</file>