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0"/>
      </w:pPr>
      <w:r>
        <w:t xml:space="preserve">________________________________________________</w:t>
      </w:r>
    </w:p>
    <w:p>
      <w:pPr>
        <w:pStyle w:val="Title0"/>
      </w:pPr>
      <w:r>
        <w:rPr>
          <w:sz w:val="20"/>
          <w:szCs w:val="20"/>
        </w:rPr>
        <w:t xml:space="preserve">(наименование организации – заполнить)</w:t>
      </w:r>
    </w:p>
    <w:p>
      <w:pPr>
        <w:pStyle w:val="Title0"/>
      </w:pPr>
    </w:p>
    <w:p>
      <w:pPr>
        <w:pStyle w:val="Title0"/>
        <w:ind w:left="5200"/>
        <w:jc w:val="left"/>
      </w:pPr>
      <w:r>
        <w:rPr>
          <w:b/>
        </w:rPr>
        <w:t xml:space="preserve">УТВЕРЖДАЮ</w:t>
      </w:r>
    </w:p>
    <w:p>
      <w:pPr>
        <w:pStyle w:val="Title0"/>
        <w:ind w:left="5200"/>
        <w:jc w:val="left"/>
      </w:pPr>
      <w:r>
        <w:t xml:space="preserve">Должность ____________________</w:t>
      </w:r>
    </w:p>
    <w:p>
      <w:pPr>
        <w:pStyle w:val="Title0"/>
        <w:ind w:left="5200"/>
        <w:jc w:val="left"/>
      </w:pPr>
      <w:r>
        <w:t xml:space="preserve">____________ / ____________</w:t>
      </w:r>
    </w:p>
    <w:p>
      <w:pPr>
        <w:pStyle w:val="Title0"/>
        <w:ind w:left="5200"/>
        <w:jc w:val="left"/>
      </w:pPr>
      <w:r>
        <w:t xml:space="preserve">«____» ______________ 2026 г.</w:t>
      </w:r>
    </w:p>
    <w:p>
      <w:pPr>
        <w:pStyle w:val="Title0"/>
        <w:ind w:left="5200"/>
        <w:jc w:val="left"/>
      </w:pPr>
      <w:r>
        <w:rPr>
          <w:i/>
          <w:sz w:val="20"/>
          <w:szCs w:val="20"/>
        </w:rPr>
        <w:t xml:space="preserve">(поля подписи оставлены пустыми)</w:t>
      </w:r>
    </w:p>
    <w:p>
      <w:pPr>
        <w:pStyle w:val="Title0"/>
      </w:pPr>
    </w:p>
    <w:p>
      <w:pPr>
        <w:pStyle w:val="Title0"/>
      </w:pPr>
    </w:p>
    <w:p>
      <w:pPr>
        <w:pStyle w:val="Title0"/>
      </w:pPr>
    </w:p>
    <w:p>
      <w:pPr>
        <w:pStyle w:val="Title0"/>
      </w:pPr>
      <w:r>
        <w:rPr>
          <w:b/>
          <w:sz w:val="32"/>
          <w:szCs w:val="32"/>
        </w:rPr>
        <w:t xml:space="preserve">ДЕТЕКТИВНАЯ ДОСКА (Detective Board)</w:t>
      </w:r>
    </w:p>
    <w:p>
      <w:pPr>
        <w:pStyle w:val="Title0"/>
      </w:pPr>
      <w:r>
        <w:t xml:space="preserve">Локальный офлайн нейро-символический следователь по рассказам о Шерлоке Холмсе</w:t>
      </w:r>
    </w:p>
    <w:p>
      <w:pPr>
        <w:pStyle w:val="Title0"/>
      </w:pPr>
    </w:p>
    <w:p>
      <w:pPr>
        <w:pStyle w:val="Title0"/>
      </w:pPr>
      <w:r>
        <w:rPr>
          <w:b/>
          <w:sz w:val="32"/>
          <w:szCs w:val="32"/>
        </w:rPr>
        <w:t xml:space="preserve">ОПИСАНИЕ ПРИМЕНЕНИЯ</w:t>
      </w:r>
    </w:p>
    <w:p>
      <w:pPr>
        <w:pStyle w:val="Title0"/>
      </w:pPr>
      <w:r>
        <w:t xml:space="preserve">программного комплекса</w:t>
      </w:r>
    </w:p>
    <w:p>
      <w:pPr>
        <w:pStyle w:val="Title0"/>
      </w:pPr>
      <w:r>
        <w:t xml:space="preserve">ГОСТ 19.502-78</w:t>
      </w:r>
    </w:p>
    <w:p>
      <w:pPr>
        <w:pStyle w:val="Title0"/>
      </w:pPr>
    </w:p>
    <w:p>
      <w:pPr>
        <w:pStyle w:val="Title0"/>
      </w:pPr>
      <w:r>
        <w:rPr>
          <w:sz w:val="24"/>
          <w:szCs w:val="24"/>
        </w:rPr>
        <w:t xml:space="preserve">Обозначение документа: ____________ (присваивается организацией)</w:t>
      </w:r>
    </w:p>
    <w:p>
      <w:pPr>
        <w:pStyle w:val="Title0"/>
      </w:pPr>
    </w:p>
    <w:p>
      <w:pPr>
        <w:pStyle w:val="Title0"/>
      </w:pPr>
      <w:r>
        <w:rPr>
          <w:b/>
          <w:sz w:val="24"/>
          <w:szCs w:val="24"/>
        </w:rPr>
        <w:t xml:space="preserve">Авторы:</w:t>
      </w:r>
    </w:p>
    <w:p>
      <w:pPr>
        <w:pStyle w:val="Title0"/>
      </w:pPr>
      <w:r>
        <w:rPr>
          <w:sz w:val="24"/>
          <w:szCs w:val="24"/>
        </w:rPr>
        <w:t xml:space="preserve">Верховых Егор</w:t>
      </w:r>
    </w:p>
    <w:p>
      <w:pPr>
        <w:pStyle w:val="Title0"/>
      </w:pPr>
      <w:r>
        <w:rPr>
          <w:sz w:val="24"/>
          <w:szCs w:val="24"/>
        </w:rPr>
        <w:t xml:space="preserve">Стрижевский Андрей</w:t>
      </w:r>
    </w:p>
    <w:p>
      <w:pPr>
        <w:pStyle w:val="Title0"/>
      </w:pPr>
      <w:r>
        <w:rPr>
          <w:sz w:val="24"/>
          <w:szCs w:val="24"/>
        </w:rPr>
        <w:t xml:space="preserve">Парамонов Даниил</w:t>
      </w:r>
    </w:p>
    <w:p>
      <w:pPr>
        <w:pStyle w:val="Title0"/>
      </w:pPr>
      <w:r>
        <w:rPr>
          <w:sz w:val="24"/>
          <w:szCs w:val="24"/>
        </w:rPr>
        <w:t xml:space="preserve">Приц Артём</w:t>
      </w:r>
    </w:p>
    <w:p>
      <w:pPr>
        <w:pStyle w:val="Title0"/>
      </w:pPr>
    </w:p>
    <w:p>
      <w:pPr>
        <w:pStyle w:val="Title0"/>
      </w:pPr>
      <w:r>
        <w:rPr>
          <w:sz w:val="24"/>
          <w:szCs w:val="24"/>
        </w:rPr>
        <w:t xml:space="preserve">Комплект программной документации ЕСПД, документ 7 из 8</w:t>
      </w:r>
    </w:p>
    <w:p>
      <w:pPr>
        <w:pStyle w:val="Title0"/>
      </w:pPr>
      <w:r>
        <w:rPr>
          <w:sz w:val="24"/>
          <w:szCs w:val="24"/>
        </w:rPr>
        <w:t xml:space="preserve">Версия комплекса: 0.0.1 (pyproject.toml); состояние репозитория: main, коммит 16122fc</w:t>
      </w:r>
    </w:p>
    <w:p>
      <w:pPr>
        <w:pStyle w:val="Title0"/>
      </w:pPr>
      <w:r>
        <w:rPr>
          <w:sz w:val="24"/>
          <w:szCs w:val="24"/>
        </w:rPr>
        <w:t xml:space="preserve">Дата составления: 30.10.2026. Статус: черновик, не согласован</w:t>
      </w:r>
    </w:p>
    <w:p>
      <w:pPr>
        <w:pStyle w:val="Title0"/>
      </w:pPr>
    </w:p>
    <w:p>
      <w:pPr>
        <w:pStyle w:val="Title0"/>
      </w:pPr>
    </w:p>
    <w:p>
      <w:pPr>
        <w:pStyle w:val="Title0"/>
      </w:pPr>
      <w:r>
        <w:t xml:space="preserve">2026</w:t>
      </w:r>
    </w:p>
    <w:p>
      <w:r>
        <w:br w:type="page"/>
      </w:r>
    </w:p>
    <w:p>
      <w:pPr>
        <w:pStyle w:val="Title0"/>
      </w:pPr>
      <w:r>
        <w:rPr>
          <w:b/>
        </w:rPr>
        <w:t xml:space="preserve">ЛИСТ СОГЛАСОВАНИЯ</w:t>
      </w:r>
    </w:p>
    <w:p>
      <w:pPr>
        <w:pStyle w:val="NoIndent"/>
      </w:pPr>
      <w:r>
        <w:t xml:space="preserve">Подписи, фамилии и даты не заполнены: документ составлен по состоянию репозитория и не согласован ни с кем.</w:t>
      </w:r>
    </w:p>
    <w:tbl>
      <w:tblPr>
        <w:tblStyle w:val="TableGrid"/>
        <w:tblW w:w="9354" w:type="dxa"/>
        <w:tblLayout w:type="fixed"/>
      </w:tblPr>
      <w:tblGrid>
        <w:gridCol w:w="1897"/>
        <w:gridCol w:w="2169"/>
        <w:gridCol w:w="2440"/>
        <w:gridCol w:w="1491"/>
        <w:gridCol w:w="1355"/>
      </w:tblGrid>
      <w:tr>
        <w:trPr>
          <w:cantSplit/>
          <w:tblHeader/>
        </w:trPr>
        <w:tc>
          <w:tcPr>
            <w:tcW w:w="1897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Роль</w:t>
            </w:r>
          </w:p>
        </w:tc>
        <w:tc>
          <w:tcPr>
            <w:tcW w:w="2169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Должность</w:t>
            </w:r>
          </w:p>
        </w:tc>
        <w:tc>
          <w:tcPr>
            <w:tcW w:w="2440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Фамилия И. О.</w:t>
            </w:r>
          </w:p>
        </w:tc>
        <w:tc>
          <w:tcPr>
            <w:tcW w:w="1491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Подпись</w:t>
            </w:r>
          </w:p>
        </w:tc>
        <w:tc>
          <w:tcPr>
            <w:tcW w:w="1355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Дата</w:t>
            </w:r>
          </w:p>
        </w:tc>
      </w:tr>
      <w:tr>
        <w:trPr>
          <w:cantSplit/>
        </w:trPr>
        <w:tc>
          <w:tcPr>
            <w:tcW w:w="1897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Разработал</w:t>
            </w:r>
          </w:p>
        </w:tc>
        <w:tc>
          <w:tcPr>
            <w:tcW w:w="2169" w:type="dxa"/>
          </w:tcPr>
          <w:p>
            <w:pPr>
              <w:pStyle w:val="TableText"/>
            </w:pPr>
          </w:p>
        </w:tc>
        <w:tc>
          <w:tcPr>
            <w:tcW w:w="2440" w:type="dxa"/>
          </w:tcPr>
          <w:p>
            <w:pPr>
              <w:pStyle w:val="TableText"/>
            </w:pPr>
          </w:p>
        </w:tc>
        <w:tc>
          <w:tcPr>
            <w:tcW w:w="1491" w:type="dxa"/>
          </w:tcPr>
          <w:p>
            <w:pPr>
              <w:pStyle w:val="TableText"/>
            </w:pPr>
          </w:p>
        </w:tc>
        <w:tc>
          <w:tcPr>
            <w:tcW w:w="1355" w:type="dxa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1897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Проверил</w:t>
            </w:r>
          </w:p>
        </w:tc>
        <w:tc>
          <w:tcPr>
            <w:tcW w:w="2169" w:type="dxa"/>
          </w:tcPr>
          <w:p>
            <w:pPr>
              <w:pStyle w:val="TableText"/>
            </w:pPr>
          </w:p>
        </w:tc>
        <w:tc>
          <w:tcPr>
            <w:tcW w:w="2440" w:type="dxa"/>
          </w:tcPr>
          <w:p>
            <w:pPr>
              <w:pStyle w:val="TableText"/>
            </w:pPr>
          </w:p>
        </w:tc>
        <w:tc>
          <w:tcPr>
            <w:tcW w:w="1491" w:type="dxa"/>
          </w:tcPr>
          <w:p>
            <w:pPr>
              <w:pStyle w:val="TableText"/>
            </w:pPr>
          </w:p>
        </w:tc>
        <w:tc>
          <w:tcPr>
            <w:tcW w:w="1355" w:type="dxa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1897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Нормоконтроль</w:t>
            </w:r>
          </w:p>
        </w:tc>
        <w:tc>
          <w:tcPr>
            <w:tcW w:w="2169" w:type="dxa"/>
          </w:tcPr>
          <w:p>
            <w:pPr>
              <w:pStyle w:val="TableText"/>
            </w:pPr>
          </w:p>
        </w:tc>
        <w:tc>
          <w:tcPr>
            <w:tcW w:w="2440" w:type="dxa"/>
          </w:tcPr>
          <w:p>
            <w:pPr>
              <w:pStyle w:val="TableText"/>
            </w:pPr>
          </w:p>
        </w:tc>
        <w:tc>
          <w:tcPr>
            <w:tcW w:w="1491" w:type="dxa"/>
          </w:tcPr>
          <w:p>
            <w:pPr>
              <w:pStyle w:val="TableText"/>
            </w:pPr>
          </w:p>
        </w:tc>
        <w:tc>
          <w:tcPr>
            <w:tcW w:w="1355" w:type="dxa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1897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Утвердил</w:t>
            </w:r>
          </w:p>
        </w:tc>
        <w:tc>
          <w:tcPr>
            <w:tcW w:w="2169" w:type="dxa"/>
          </w:tcPr>
          <w:p>
            <w:pPr>
              <w:pStyle w:val="TableText"/>
            </w:pPr>
          </w:p>
        </w:tc>
        <w:tc>
          <w:tcPr>
            <w:tcW w:w="2440" w:type="dxa"/>
          </w:tcPr>
          <w:p>
            <w:pPr>
              <w:pStyle w:val="TableText"/>
            </w:pPr>
          </w:p>
        </w:tc>
        <w:tc>
          <w:tcPr>
            <w:tcW w:w="1491" w:type="dxa"/>
          </w:tcPr>
          <w:p>
            <w:pPr>
              <w:pStyle w:val="TableText"/>
            </w:pPr>
          </w:p>
        </w:tc>
        <w:tc>
          <w:tcPr>
            <w:tcW w:w="1355" w:type="dxa"/>
          </w:tcPr>
          <w:p>
            <w:pPr>
              <w:pStyle w:val="TableText"/>
            </w:pPr>
          </w:p>
        </w:tc>
      </w:tr>
    </w:tbl>
    <w:p>
      <w:pPr>
        <w:pStyle w:val="Small"/>
      </w:pPr>
    </w:p>
    <w:p>
      <w:r>
        <w:br w:type="page"/>
      </w:r>
    </w:p>
    <w:p>
      <w:pPr>
        <w:pStyle w:val="Title0"/>
      </w:pPr>
      <w:r>
        <w:rPr>
          <w:b/>
        </w:rPr>
        <w:t xml:space="preserve">СОДЕРЖАНИЕ</w:t>
      </w:r>
    </w:p>
    <w:p>
      <w:pPr>
        <w:pStyle w:val="TOC1"/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t xml:space="preserve">1 НАЗНАЧЕНИЕ ПРОГРАММЫ</w:t>
      </w:r>
      <w:r>
        <w:tab/>
      </w:r>
      <w:r>
        <w:t xml:space="preserve">4</w:t>
      </w:r>
    </w:p>
    <w:p>
      <w:pPr>
        <w:pStyle w:val="TOC2"/>
      </w:pPr>
      <w:r>
        <w:t xml:space="preserve">1.1 Возможности программы</w:t>
      </w:r>
      <w:r>
        <w:tab/>
      </w:r>
      <w:r>
        <w:t xml:space="preserve">4</w:t>
      </w:r>
    </w:p>
    <w:p>
      <w:pPr>
        <w:pStyle w:val="TOC2"/>
      </w:pPr>
      <w:r>
        <w:t xml:space="preserve">1.2 Ограничения области применения</w:t>
      </w:r>
      <w:r>
        <w:tab/>
      </w:r>
      <w:r>
        <w:t xml:space="preserve">4</w:t>
      </w:r>
    </w:p>
    <w:p>
      <w:pPr>
        <w:pStyle w:val="TOC1"/>
      </w:pPr>
      <w:r>
        <w:t xml:space="preserve">2 УСЛОВИЯ ПРИМЕНЕНИЯ</w:t>
      </w:r>
      <w:r>
        <w:tab/>
      </w:r>
      <w:r>
        <w:t xml:space="preserve">5</w:t>
      </w:r>
    </w:p>
    <w:p>
      <w:pPr>
        <w:pStyle w:val="TOC1"/>
      </w:pPr>
      <w:r>
        <w:t xml:space="preserve">3 ОПИСАНИЕ ЗАДАЧИ</w:t>
      </w:r>
      <w:r>
        <w:tab/>
      </w:r>
      <w:r>
        <w:t xml:space="preserve">5</w:t>
      </w:r>
    </w:p>
    <w:p>
      <w:pPr>
        <w:pStyle w:val="TOC1"/>
      </w:pPr>
      <w:r>
        <w:t xml:space="preserve">4 ВХОДНЫЕ И ВЫХОДНЫЕ ДАННЫЕ</w:t>
      </w:r>
      <w:r>
        <w:tab/>
      </w:r>
      <w:r>
        <w:t xml:space="preserve">6</w:t>
      </w:r>
    </w:p>
    <w:p>
      <w:pPr>
        <w:pStyle w:val="TOC2"/>
      </w:pPr>
      <w:r>
        <w:t xml:space="preserve">4.1 Входные данные</w:t>
      </w:r>
      <w:r>
        <w:tab/>
      </w:r>
      <w:r>
        <w:t xml:space="preserve">6</w:t>
      </w:r>
    </w:p>
    <w:p>
      <w:pPr>
        <w:pStyle w:val="TOC2"/>
      </w:pPr>
      <w:r>
        <w:t xml:space="preserve">4.2 Выходные данные</w:t>
      </w:r>
      <w:r>
        <w:tab/>
      </w:r>
      <w:r>
        <w:t xml:space="preserve">6</w:t>
      </w:r>
    </w:p>
    <w:p>
      <w:pPr>
        <w:pStyle w:val="TOC1"/>
      </w:pPr>
      <w:r>
        <w:t xml:space="preserve">5 СЦЕНАРИИ ПРИМЕНЕНИЯ</w:t>
      </w:r>
      <w:r>
        <w:tab/>
      </w:r>
      <w:r>
        <w:t xml:space="preserve">6</w:t>
      </w:r>
    </w:p>
    <w:p>
      <w:pPr>
        <w:pStyle w:val="TOC1"/>
      </w:pPr>
      <w:r>
        <w:t xml:space="preserve">ЛИСТ РЕГИСТРАЦИИ ИЗМЕНЕНИЙ</w:t>
      </w:r>
      <w:r>
        <w:tab/>
      </w:r>
      <w:r>
        <w:t xml:space="preserve">8</w:t>
      </w:r>
      <w:r>
        <w:fldChar w:fldCharType="end"/>
      </w:r>
    </w:p>
    <w:p>
      <w:r>
        <w:br w:type="page"/>
      </w:r>
    </w:p>
    <w:p>
      <w:pPr>
        <w:pStyle w:val="NoIndent"/>
      </w:pPr>
      <w:r>
        <w:t xml:space="preserve">Документ – черновик: составлен по материалам репозитория и измерениям, лежащим в </w:t>
      </w:r>
      <w:hyperlink r:id="rIdLnk1" w:history="1">
        <w:r>
          <w:rPr>
            <w:rStyle w:val="Hyperlink"/>
            <w:rFonts w:ascii="Courier New" w:hAnsi="Courier New" w:cs="Courier New"/>
            <w:sz w:val="24"/>
            <w:szCs w:val="24"/>
          </w:rPr>
          <w:t xml:space="preserve">docs/spike/results/</w:t>
        </w:r>
      </w:hyperlink>
      <w:r>
        <w:t xml:space="preserve"> и </w:t>
      </w:r>
      <w:hyperlink r:id="rIdLnk2" w:history="1">
        <w:r>
          <w:rPr>
            <w:rStyle w:val="Hyperlink"/>
            <w:rFonts w:ascii="Courier New" w:hAnsi="Courier New" w:cs="Courier New"/>
            <w:sz w:val="24"/>
            <w:szCs w:val="24"/>
          </w:rPr>
          <w:t xml:space="preserve">docs/perf/</w:t>
        </w:r>
      </w:hyperlink>
      <w:r>
        <w:t xml:space="preserve">; человеком не проверен и никем не согласован. Подписи, должности, даты согласования и обозначение документа оставлены пустыми намеренно.</w:t>
      </w:r>
    </w:p>
    <w:p>
      <w:pPr>
        <w:pStyle w:val="NoIndent"/>
      </w:pPr>
      <w:r>
        <w:rPr>
          <w:b/>
        </w:rPr>
        <w:t xml:space="preserve">Условные обозначения статуса сведений в комплекте.</w:t>
      </w:r>
      <w:r>
        <w:t xml:space="preserve"> </w:t>
      </w:r>
      <w:r>
        <w:rPr>
          <w:b/>
        </w:rPr>
        <w:t xml:space="preserve">[Измерено]</w:t>
      </w:r>
      <w:r>
        <w:t xml:space="preserve"> – число взято из файла отчёта, путь указан рядом. </w:t>
      </w:r>
      <w:r>
        <w:rPr>
          <w:b/>
        </w:rPr>
        <w:t xml:space="preserve">[Не измерено]</w:t>
      </w:r>
      <w:r>
        <w:t xml:space="preserve"> – измерения нет. </w:t>
      </w:r>
      <w:r>
        <w:rPr>
          <w:b/>
        </w:rPr>
        <w:t xml:space="preserve">[План]</w:t>
      </w:r>
      <w:r>
        <w:t xml:space="preserve"> – описано в проектных документах, в коде отсутствует или выключено. </w:t>
      </w:r>
      <w:r>
        <w:rPr>
          <w:b/>
        </w:rPr>
        <w:t xml:space="preserve">[Заполнить]</w:t>
      </w:r>
      <w:r>
        <w:t xml:space="preserve"> – поле оставлено пустым для человека.</w:t>
      </w:r>
    </w:p>
    <w:p>
      <w:pPr>
        <w:pStyle w:val="Heading1"/>
      </w:pPr>
      <w:r>
        <w:t xml:space="preserve">1 Назначение программы</w:t>
      </w:r>
    </w:p>
    <w:p>
      <w:pPr>
        <w:pStyle w:val="Heading2"/>
      </w:pPr>
      <w:r>
        <w:t xml:space="preserve">1.1 Возможности программы</w:t>
      </w:r>
    </w:p>
    <w:p>
      <w:r>
        <w:t xml:space="preserve">Программа позволяет исследователю задавать вопросы к 20 рассказам о Шерлоке Холмсе и получать ответы, опирающиеся только на текст корпуса, с дословными цитатами; проверять алиби и противоречия детерминированными правилами; видеть ход рассуждения агента и объяснение каждого логического вывода.</w:t>
      </w:r>
    </w:p>
    <w:p>
      <w:pPr>
        <w:pStyle w:val="Heading2"/>
      </w:pPr>
      <w:r>
        <w:t xml:space="preserve">1.2 Ограничения области применения</w:t>
      </w:r>
    </w:p>
    <w:p>
      <w:pPr>
        <w:pStyle w:val="ListDash"/>
        <w:numPr>
          <w:ilvl w:val="0"/>
          <w:numId w:val="1"/>
        </w:numPr>
      </w:pPr>
      <w:r>
        <w:t xml:space="preserve">Корпус фиксирован: 20 рассказов на английском языке; загрузка других текстов не поддерживается (PRD, «Не-цели»).</w:t>
      </w:r>
    </w:p>
    <w:p>
      <w:pPr>
        <w:pStyle w:val="ListDash"/>
        <w:numPr>
          <w:ilvl w:val="0"/>
          <w:numId w:val="1"/>
        </w:numPr>
      </w:pPr>
      <w:r>
        <w:t xml:space="preserve">Программа не делает выводов о виновности и не заменяет чтение рассказа: вывод правила следует из извлечённых фактов, а извлечение ошибается.</w:t>
      </w:r>
    </w:p>
    <w:p>
      <w:pPr>
        <w:pStyle w:val="ListDash"/>
        <w:numPr>
          <w:ilvl w:val="0"/>
          <w:numId w:val="1"/>
        </w:numPr>
      </w:pPr>
      <w:r>
        <w:t xml:space="preserve">Автоматически построенный граф содержит очень мало фактов, пригодных для правил (структурированные утверждения о присутствии – 0,7 % высказываний, </w:t>
      </w:r>
      <w:hyperlink r:id="rIdLnk3" w:history="1">
        <w:r>
          <w:rPr>
            <w:rStyle w:val="Hyperlink"/>
            <w:rFonts w:ascii="Courier New" w:hAnsi="Courier New" w:cs="Courier New"/>
            <w:sz w:val="24"/>
            <w:szCs w:val="24"/>
          </w:rPr>
          <w:t xml:space="preserve">docs/spike/results/graph-sanity-20261028.md</w:t>
        </w:r>
      </w:hyperlink>
      <w:r>
        <w:t xml:space="preserve">), поэтому проверка алиби и противоречий на произвольном рассказе чаще вернёт «неизвестно» или пустой результат; уверенные находки есть только для курируемых демонстрационных случаев.</w:t>
      </w:r>
    </w:p>
    <w:p>
      <w:pPr>
        <w:pStyle w:val="ListDash"/>
        <w:numPr>
          <w:ilvl w:val="0"/>
          <w:numId w:val="1"/>
        </w:numPr>
      </w:pPr>
      <w:r>
        <w:t xml:space="preserve">Угадывание виновного не реализовано в основном коде и ненадёжно: на 6 новых рассказах лучший экспериментальный метод назвал виновного первым 2 раза из 6, как простая базовая «самый упоминаемый»; не обвинять невиновного получается лишь отказами отвечать (</w:t>
      </w:r>
      <w:hyperlink r:id="rIdLnk4" w:history="1">
        <w:r>
          <w:rPr>
            <w:rStyle w:val="Hyperlink"/>
            <w:rFonts w:ascii="Courier New" w:hAnsi="Courier New" w:cs="Courier New"/>
            <w:sz w:val="24"/>
            <w:szCs w:val="24"/>
          </w:rPr>
          <w:t xml:space="preserve">docs/spike/results/suspects-20261030.md</w:t>
        </w:r>
      </w:hyperlink>
      <w:r>
        <w:t xml:space="preserve">).</w:t>
      </w:r>
    </w:p>
    <w:p>
      <w:pPr>
        <w:pStyle w:val="Heading1"/>
      </w:pPr>
      <w:r>
        <w:t xml:space="preserve">2 Условия применения</w:t>
      </w:r>
    </w:p>
    <w:p>
      <w:r>
        <w:t xml:space="preserve">Технические и программные требования – ТЗ, раздел 4; установка – «Руководство системного программиста» (РСП); работа оператора – «Руководство оператора» (РО). Программа применяется на одном компьютере; сеть не нужна; время ответа на целевом ноутбуке без GPU – десятки секунд (медиана 28,4 с, </w:t>
      </w:r>
      <w:hyperlink r:id="rIdLnk5" w:history="1">
        <w:r>
          <w:rPr>
            <w:rStyle w:val="Hyperlink"/>
            <w:rFonts w:ascii="Courier New" w:hAnsi="Courier New" w:cs="Courier New"/>
            <w:sz w:val="24"/>
            <w:szCs w:val="24"/>
          </w:rPr>
          <w:t xml:space="preserve">docs/perf/laptop-20261029.md</w:t>
        </w:r>
      </w:hyperlink>
      <w:r>
        <w:t xml:space="preserve">). Рекомендуется перед показом прогреть модель одним вопросом и подключить питание.</w:t>
      </w:r>
    </w:p>
    <w:p>
      <w:pPr>
        <w:pStyle w:val="Heading1"/>
      </w:pPr>
      <w:r>
        <w:t xml:space="preserve">3 Описание задачи</w:t>
      </w:r>
    </w:p>
    <w:p>
      <w:r>
        <w:t xml:space="preserve">Задача: по вопросу пользователя найти в корпусе подтверждающий текст, при необходимости выполнить логическую проверку над графом фактов, сформировать ответ с цитатами и метками происхождения либо отказать с указанием причины. Алгоритм – «Описание программы» (ОП), раздел «Поток обработки вопроса»; правила R1–R3 – там же и в «Пояснительной записке» (ПЗ).</w:t>
      </w:r>
    </w:p>
    <w:p>
      <w:pPr>
        <w:pStyle w:val="TableCaption"/>
        <w:keepNext/>
      </w:pPr>
      <w:r>
        <w:t xml:space="preserve">Таблица 1 – Типы вопросов и маршруты</w:t>
      </w:r>
    </w:p>
    <w:tbl>
      <w:tblPr>
        <w:tblStyle w:val="TableGrid"/>
        <w:tblW w:w="9354" w:type="dxa"/>
        <w:tblLayout w:type="fixed"/>
      </w:tblPr>
      <w:tblGrid>
        <w:gridCol w:w="1943"/>
        <w:gridCol w:w="3644"/>
        <w:gridCol w:w="3765"/>
      </w:tblGrid>
      <w:tr>
        <w:trPr>
          <w:cantSplit/>
          <w:tblHeader/>
        </w:trPr>
        <w:tc>
          <w:tcPr>
            <w:tcW w:w="1943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Тип вопроса</w:t>
            </w:r>
          </w:p>
        </w:tc>
        <w:tc>
          <w:tcPr>
            <w:tcW w:w="3644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Пример</w:t>
            </w:r>
          </w:p>
        </w:tc>
        <w:tc>
          <w:tcPr>
            <w:tcW w:w="3765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Как обрабатывается</w:t>
            </w:r>
          </w:p>
        </w:tc>
      </w:tr>
      <w:tr>
        <w:trPr>
          <w:cantSplit/>
        </w:trPr>
        <w:tc>
          <w:tcPr>
            <w:tcW w:w="1943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Факт, цитата</w:t>
            </w:r>
          </w:p>
        </w:tc>
        <w:tc>
          <w:tcPr>
            <w:tcW w:w="3644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What kind of snake killed Dr. Grimesby Roylott?</w:t>
            </w:r>
          </w:p>
        </w:tc>
        <w:tc>
          <w:tcPr>
            <w:tcW w:w="3765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гибридный поиск + выбор предложений; ответ – дословный текст</w:t>
            </w:r>
          </w:p>
        </w:tc>
      </w:tr>
      <w:tr>
        <w:trPr>
          <w:cantSplit/>
        </w:trPr>
        <w:tc>
          <w:tcPr>
            <w:tcW w:w="1943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Связь сущностей</w:t>
            </w:r>
          </w:p>
        </w:tc>
        <w:tc>
          <w:tcPr>
            <w:tcW w:w="3644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How is X connected to Y?</w:t>
            </w:r>
          </w:p>
        </w:tc>
        <w:tc>
          <w:tcPr>
            <w:tcW w:w="3765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запрос к графу + текст</w:t>
            </w:r>
          </w:p>
        </w:tc>
      </w:tr>
      <w:tr>
        <w:trPr>
          <w:cantSplit/>
        </w:trPr>
        <w:tc>
          <w:tcPr>
            <w:tcW w:w="1943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Алиби</w:t>
            </w:r>
          </w:p>
        </w:tc>
        <w:tc>
          <w:tcPr>
            <w:tcW w:w="3644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Where was X at nine o'clock?</w:t>
            </w:r>
          </w:p>
        </w:tc>
        <w:tc>
          <w:tcPr>
            <w:tcW w:w="3765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MCP-инструмент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check_alibi</w:t>
            </w:r>
            <w:r>
              <w:rPr>
                <w:sz w:val="24"/>
                <w:szCs w:val="24"/>
              </w:rPr>
              <w:t xml:space="preserve"> (R1), ответ по шаблону</w:t>
            </w:r>
          </w:p>
        </w:tc>
      </w:tr>
      <w:tr>
        <w:trPr>
          <w:cantSplit/>
        </w:trPr>
        <w:tc>
          <w:tcPr>
            <w:tcW w:w="1943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Противоречия</w:t>
            </w:r>
          </w:p>
        </w:tc>
        <w:tc>
          <w:tcPr>
            <w:tcW w:w="3644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Is there a conflict about where X was…?</w:t>
            </w:r>
          </w:p>
        </w:tc>
        <w:tc>
          <w:tcPr>
            <w:tcW w:w="3765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MCP-инструмент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find_contradictions</w:t>
            </w:r>
            <w:r>
              <w:rPr>
                <w:sz w:val="24"/>
                <w:szCs w:val="24"/>
              </w:rPr>
              <w:t xml:space="preserve">, ответ по шаблону; пустой результат ≠ «согласовано»</w:t>
            </w:r>
          </w:p>
        </w:tc>
      </w:tr>
      <w:tr>
        <w:trPr>
          <w:cantSplit/>
        </w:trPr>
        <w:tc>
          <w:tcPr>
            <w:tcW w:w="1943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Хронология</w:t>
            </w:r>
          </w:p>
        </w:tc>
        <w:tc>
          <w:tcPr>
            <w:tcW w:w="3644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What happened in order…?</w:t>
            </w:r>
          </w:p>
        </w:tc>
        <w:tc>
          <w:tcPr>
            <w:tcW w:w="3765" w:type="dxa"/>
          </w:tcPr>
          <w:p>
            <w:pPr>
              <w:pStyle w:val="TableText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build_timeline</w:t>
            </w:r>
          </w:p>
        </w:tc>
      </w:tr>
      <w:tr>
        <w:trPr>
          <w:cantSplit/>
        </w:trPr>
        <w:tc>
          <w:tcPr>
            <w:tcW w:w="1943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Таблица присутствия</w:t>
            </w:r>
          </w:p>
        </w:tc>
        <w:tc>
          <w:tcPr>
            <w:tcW w:w="3644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Who says where X was?</w:t>
            </w:r>
          </w:p>
        </w:tc>
        <w:tc>
          <w:tcPr>
            <w:tcW w:w="3765" w:type="dxa"/>
          </w:tcPr>
          <w:p>
            <w:pPr>
              <w:pStyle w:val="TableText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presence_table</w:t>
            </w:r>
          </w:p>
        </w:tc>
      </w:tr>
      <w:tr>
        <w:trPr>
          <w:cantSplit/>
        </w:trPr>
        <w:tc>
          <w:tcPr>
            <w:tcW w:w="1943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Сцена преступления</w:t>
            </w:r>
          </w:p>
        </w:tc>
        <w:tc>
          <w:tcPr>
            <w:tcW w:w="3644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Who could have been at …?</w:t>
            </w:r>
          </w:p>
        </w:tc>
        <w:tc>
          <w:tcPr>
            <w:tcW w:w="3765" w:type="dxa"/>
          </w:tcPr>
          <w:p>
            <w:pPr>
              <w:pStyle w:val="TableText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scene_board</w:t>
            </w:r>
            <w:r>
              <w:rPr>
                <w:sz w:val="24"/>
                <w:szCs w:val="24"/>
              </w:rPr>
              <w:t xml:space="preserve"> (только курируемая сцена)</w:t>
            </w:r>
          </w:p>
        </w:tc>
      </w:tr>
      <w:tr>
        <w:trPr>
          <w:cantSplit/>
        </w:trPr>
        <w:tc>
          <w:tcPr>
            <w:tcW w:w="1943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Вне корпуса</w:t>
            </w:r>
          </w:p>
        </w:tc>
        <w:tc>
          <w:tcPr>
            <w:tcW w:w="3644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What was the creature that haunted the Baskerville family…?</w:t>
            </w:r>
          </w:p>
        </w:tc>
        <w:tc>
          <w:tcPr>
            <w:tcW w:w="3765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отказ без вызова модели</w:t>
            </w:r>
          </w:p>
        </w:tc>
      </w:tr>
    </w:tbl>
    <w:p>
      <w:pPr>
        <w:pStyle w:val="Small"/>
      </w:pPr>
    </w:p>
    <w:p>
      <w:pPr>
        <w:pStyle w:val="Heading1"/>
      </w:pPr>
      <w:r>
        <w:t xml:space="preserve">4 Входные и выходные данные</w:t>
      </w:r>
    </w:p>
    <w:p>
      <w:pPr>
        <w:pStyle w:val="Heading2"/>
      </w:pPr>
      <w:r>
        <w:t xml:space="preserve">4.1 Входные данные</w:t>
      </w:r>
    </w:p>
    <w:p>
      <w:r>
        <w:t xml:space="preserve">Вопрос (1–1000 символов, английский или русский; русский переводится на английский локальной моделью). Необязательно – история до 6 пар для уточняющих вопросов. Файлы данных – ОП, раздел «Входные данные».</w:t>
      </w:r>
    </w:p>
    <w:p>
      <w:pPr>
        <w:pStyle w:val="Heading2"/>
      </w:pPr>
      <w:r>
        <w:t xml:space="preserve">4.2 Выходные данные</w:t>
      </w:r>
    </w:p>
    <w:p>
      <w:r>
        <w:t xml:space="preserve">Ответ: статус (</w:t>
      </w:r>
      <w:r>
        <w:rPr>
          <w:rFonts w:ascii="Courier New" w:hAnsi="Courier New" w:cs="Courier New"/>
          <w:sz w:val="24"/>
          <w:szCs w:val="24"/>
        </w:rPr>
        <w:t xml:space="preserve">answered</w:t>
      </w:r>
      <w:r>
        <w:t xml:space="preserve">, </w:t>
      </w:r>
      <w:r>
        <w:rPr>
          <w:rFonts w:ascii="Courier New" w:hAnsi="Courier New" w:cs="Courier New"/>
          <w:sz w:val="24"/>
          <w:szCs w:val="24"/>
        </w:rPr>
        <w:t xml:space="preserve">partial</w:t>
      </w:r>
      <w:r>
        <w:t xml:space="preserve">, </w:t>
      </w:r>
      <w:r>
        <w:rPr>
          <w:rFonts w:ascii="Courier New" w:hAnsi="Courier New" w:cs="Courier New"/>
          <w:sz w:val="24"/>
          <w:szCs w:val="24"/>
        </w:rPr>
        <w:t xml:space="preserve">refused</w:t>
      </w:r>
      <w:r>
        <w:t xml:space="preserve">), текст, цитаты с якорями (рассказ, фрагмент, смещения), метки происхождения (</w:t>
      </w:r>
      <w:r>
        <w:rPr>
          <w:rFonts w:ascii="Courier New" w:hAnsi="Courier New" w:cs="Courier New"/>
          <w:sz w:val="24"/>
          <w:szCs w:val="24"/>
        </w:rPr>
        <w:t xml:space="preserve">source_text</w:t>
      </w:r>
      <w:r>
        <w:t xml:space="preserve">, </w:t>
      </w:r>
      <w:r>
        <w:rPr>
          <w:rFonts w:ascii="Courier New" w:hAnsi="Courier New" w:cs="Courier New"/>
          <w:sz w:val="24"/>
          <w:szCs w:val="24"/>
        </w:rPr>
        <w:t xml:space="preserve">extracted</w:t>
      </w:r>
      <w:r>
        <w:t xml:space="preserve">, </w:t>
      </w:r>
      <w:r>
        <w:rPr>
          <w:rFonts w:ascii="Courier New" w:hAnsi="Courier New" w:cs="Courier New"/>
          <w:sz w:val="24"/>
          <w:szCs w:val="24"/>
        </w:rPr>
        <w:t xml:space="preserve">derived</w:t>
      </w:r>
      <w:r>
        <w:t xml:space="preserve">, </w:t>
      </w:r>
      <w:r>
        <w:rPr>
          <w:rFonts w:ascii="Courier New" w:hAnsi="Courier New" w:cs="Courier New"/>
          <w:sz w:val="24"/>
          <w:szCs w:val="24"/>
        </w:rPr>
        <w:t xml:space="preserve">conditional</w:t>
      </w:r>
      <w:r>
        <w:t xml:space="preserve">, пометка curated), для правил – объяснение (правило, факты, рёбра, цитаты). Трасса шагов и граф показываются в интерфейсе.</w:t>
      </w:r>
    </w:p>
    <w:p>
      <w:pPr>
        <w:pStyle w:val="Heading1"/>
      </w:pPr>
      <w:r>
        <w:t xml:space="preserve">5 Сценарии применения</w:t>
      </w:r>
    </w:p>
    <w:p>
      <w:pPr>
        <w:pStyle w:val="TableCaption"/>
        <w:keepNext/>
      </w:pPr>
      <w:r>
        <w:t xml:space="preserve">Таблица 2 – Контрольный сценарий показа (</w:t>
      </w:r>
      <w:hyperlink r:id="rIdLnk6" w:history="1">
        <w:r>
          <w:rPr>
            <w:rStyle w:val="Hyperlink"/>
            <w:rFonts w:ascii="Courier New" w:hAnsi="Courier New" w:cs="Courier New"/>
            <w:sz w:val="24"/>
            <w:szCs w:val="24"/>
          </w:rPr>
          <w:t xml:space="preserve">docs/design/demo-script.md</w:t>
        </w:r>
      </w:hyperlink>
      <w:r>
        <w:t xml:space="preserve">, </w:t>
      </w:r>
      <w:hyperlink r:id="rIdLnk7" w:history="1">
        <w:r>
          <w:rPr>
            <w:rStyle w:val="Hyperlink"/>
            <w:rFonts w:ascii="Courier New" w:hAnsi="Courier New" w:cs="Courier New"/>
            <w:sz w:val="24"/>
            <w:szCs w:val="24"/>
          </w:rPr>
          <w:t xml:space="preserve">docs/team/CLEAN_INSTALL.md</w:t>
        </w:r>
      </w:hyperlink>
      <w:r>
        <w:t xml:space="preserve">)</w:t>
      </w:r>
    </w:p>
    <w:tbl>
      <w:tblPr>
        <w:tblStyle w:val="TableGrid"/>
        <w:tblW w:w="9354" w:type="dxa"/>
        <w:tblLayout w:type="fixed"/>
      </w:tblPr>
      <w:tblGrid>
        <w:gridCol w:w="850"/>
        <w:gridCol w:w="3644"/>
        <w:gridCol w:w="4859"/>
      </w:tblGrid>
      <w:tr>
        <w:trPr>
          <w:cantSplit/>
          <w:tblHeader/>
        </w:trPr>
        <w:tc>
          <w:tcPr>
            <w:tcW w:w="850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Шаг</w:t>
            </w:r>
          </w:p>
        </w:tc>
        <w:tc>
          <w:tcPr>
            <w:tcW w:w="3644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Действие</w:t>
            </w:r>
          </w:p>
        </w:tc>
        <w:tc>
          <w:tcPr>
            <w:tcW w:w="4859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Что должно произойти</w:t>
            </w:r>
          </w:p>
        </w:tc>
      </w:tr>
      <w:tr>
        <w:trPr>
          <w:cantSplit/>
        </w:trPr>
        <w:tc>
          <w:tcPr>
            <w:tcW w:w="850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1</w:t>
            </w:r>
          </w:p>
        </w:tc>
        <w:tc>
          <w:tcPr>
            <w:tcW w:w="3644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Вопрос g001 о змее</w:t>
            </w:r>
          </w:p>
        </w:tc>
        <w:tc>
          <w:tcPr>
            <w:tcW w:w="4859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Ответ с цитатой «It is a swamp adder!»; граф и трасса растут по мере работы</w:t>
            </w:r>
          </w:p>
        </w:tc>
      </w:tr>
      <w:tr>
        <w:trPr>
          <w:cantSplit/>
        </w:trPr>
        <w:tc>
          <w:tcPr>
            <w:tcW w:w="850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2</w:t>
            </w:r>
          </w:p>
        </w:tc>
        <w:tc>
          <w:tcPr>
            <w:tcW w:w="3644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Вопрос c001 о Garcia</w:t>
            </w:r>
          </w:p>
        </w:tc>
        <w:tc>
          <w:tcPr>
            <w:tcW w:w="4859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Конфликт R1 (пунктирное ребро), conditional, «curated»; панель «Почему» с двумя цитатами; без вызова модели</w:t>
            </w:r>
          </w:p>
        </w:tc>
      </w:tr>
      <w:tr>
        <w:trPr>
          <w:cantSplit/>
        </w:trPr>
        <w:tc>
          <w:tcPr>
            <w:tcW w:w="850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3</w:t>
            </w:r>
          </w:p>
        </w:tc>
        <w:tc>
          <w:tcPr>
            <w:tcW w:w="3644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Вопрос g047 о «собаке Баскервилей»</w:t>
            </w:r>
          </w:p>
        </w:tc>
        <w:tc>
          <w:tcPr>
            <w:tcW w:w="4859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Отказ шлюзом, в трассе нет вызова модели</w:t>
            </w:r>
          </w:p>
        </w:tc>
      </w:tr>
      <w:tr>
        <w:trPr>
          <w:cantSplit/>
        </w:trPr>
        <w:tc>
          <w:tcPr>
            <w:tcW w:w="850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4</w:t>
            </w:r>
          </w:p>
        </w:tc>
        <w:tc>
          <w:tcPr>
            <w:tcW w:w="3644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Меню Recordings</w:t>
            </w:r>
          </w:p>
        </w:tc>
        <w:tc>
          <w:tcPr>
            <w:tcW w:w="4859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Воспроизведение записанного прогона с бейджем RECORDING</w:t>
            </w:r>
          </w:p>
        </w:tc>
      </w:tr>
    </w:tbl>
    <w:p>
      <w:pPr>
        <w:pStyle w:val="Small"/>
      </w:pPr>
    </w:p>
    <w:p>
      <w:r>
        <w:t xml:space="preserve">Все записи показа, выполненные не вживую, объявляются записями; находки на курируемых фактах называются курируемыми (</w:t>
      </w:r>
      <w:hyperlink r:id="rIdLnk8" w:history="1">
        <w:r>
          <w:rPr>
            <w:rStyle w:val="Hyperlink"/>
            <w:rFonts w:ascii="Courier New" w:hAnsi="Courier New" w:cs="Courier New"/>
            <w:sz w:val="24"/>
            <w:szCs w:val="24"/>
          </w:rPr>
          <w:t xml:space="preserve">docs/DISCLOSURE.md</w:t>
        </w:r>
      </w:hyperlink>
      <w:r>
        <w:t xml:space="preserve">).</w:t>
      </w:r>
    </w:p>
    <w:p>
      <w:pPr>
        <w:pStyle w:val="Heading1"/>
        <w:pageBreakBefore/>
      </w:pPr>
      <w:r>
        <w:t xml:space="preserve">ЛИСТ РЕГИСТРАЦИИ ИЗМЕНЕНИЙ</w:t>
      </w:r>
    </w:p>
    <w:tbl>
      <w:tblPr>
        <w:tblStyle w:val="TableGrid"/>
        <w:tblW w:w="9354" w:type="dxa"/>
        <w:tblLayout w:type="fixed"/>
      </w:tblPr>
      <w:tblGrid>
        <w:gridCol w:w="768"/>
        <w:gridCol w:w="1537"/>
        <w:gridCol w:w="1537"/>
        <w:gridCol w:w="1025"/>
        <w:gridCol w:w="1281"/>
        <w:gridCol w:w="1153"/>
        <w:gridCol w:w="1025"/>
        <w:gridCol w:w="1025"/>
      </w:tblGrid>
      <w:tr>
        <w:trPr>
          <w:cantSplit/>
          <w:tblHeader/>
        </w:trPr>
        <w:tc>
          <w:tcPr>
            <w:tcW w:w="768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Изм.</w:t>
            </w:r>
          </w:p>
        </w:tc>
        <w:tc>
          <w:tcPr>
            <w:tcW w:w="1537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Номера листов (страниц)</w:t>
            </w:r>
          </w:p>
        </w:tc>
        <w:tc>
          <w:tcPr>
            <w:tcW w:w="1537" w:type="dxa"/>
            <w:shd w:val="clear" w:color="auto" w:fill="E7E6E6"/>
          </w:tcPr>
          <w:p>
            <w:pPr>
              <w:pStyle w:val="TableText"/>
              <w:jc w:val="center"/>
            </w:pPr>
          </w:p>
        </w:tc>
        <w:tc>
          <w:tcPr>
            <w:tcW w:w="1025" w:type="dxa"/>
            <w:shd w:val="clear" w:color="auto" w:fill="E7E6E6"/>
          </w:tcPr>
          <w:p>
            <w:pPr>
              <w:pStyle w:val="TableText"/>
              <w:jc w:val="center"/>
            </w:pPr>
          </w:p>
        </w:tc>
        <w:tc>
          <w:tcPr>
            <w:tcW w:w="1281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Всего листов</w:t>
            </w:r>
          </w:p>
        </w:tc>
        <w:tc>
          <w:tcPr>
            <w:tcW w:w="1153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№ докум.</w:t>
            </w:r>
          </w:p>
        </w:tc>
        <w:tc>
          <w:tcPr>
            <w:tcW w:w="1025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Подп.</w:t>
            </w:r>
          </w:p>
        </w:tc>
        <w:tc>
          <w:tcPr>
            <w:tcW w:w="1025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Дата</w:t>
            </w:r>
          </w:p>
        </w:tc>
      </w:tr>
      <w:tr>
        <w:trPr>
          <w:cantSplit/>
        </w:trPr>
        <w:tc>
          <w:tcPr>
            <w:tcW w:w="768" w:type="dxa"/>
          </w:tcPr>
          <w:p>
            <w:pPr>
              <w:pStyle w:val="TableText"/>
            </w:pPr>
          </w:p>
        </w:tc>
        <w:tc>
          <w:tcPr>
            <w:tcW w:w="1537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изменённых</w:t>
            </w:r>
          </w:p>
        </w:tc>
        <w:tc>
          <w:tcPr>
            <w:tcW w:w="1537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замененных</w:t>
            </w:r>
          </w:p>
        </w:tc>
        <w:tc>
          <w:tcPr>
            <w:tcW w:w="1025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новых</w:t>
            </w:r>
          </w:p>
        </w:tc>
        <w:tc>
          <w:tcPr>
            <w:tcW w:w="1281" w:type="dxa"/>
          </w:tcPr>
          <w:p>
            <w:pPr>
              <w:pStyle w:val="TableText"/>
            </w:pPr>
          </w:p>
        </w:tc>
        <w:tc>
          <w:tcPr>
            <w:tcW w:w="1153" w:type="dxa"/>
          </w:tcPr>
          <w:p>
            <w:pPr>
              <w:pStyle w:val="TableText"/>
            </w:pPr>
          </w:p>
        </w:tc>
        <w:tc>
          <w:tcPr>
            <w:tcW w:w="1025" w:type="dxa"/>
          </w:tcPr>
          <w:p>
            <w:pPr>
              <w:pStyle w:val="TableText"/>
            </w:pPr>
          </w:p>
        </w:tc>
        <w:tc>
          <w:tcPr>
            <w:tcW w:w="1025" w:type="dxa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768" w:type="dxa"/>
          </w:tcPr>
          <w:p>
            <w:pPr>
              <w:pStyle w:val="TableText"/>
            </w:pPr>
          </w:p>
        </w:tc>
        <w:tc>
          <w:tcPr>
            <w:tcW w:w="1537" w:type="dxa"/>
          </w:tcPr>
          <w:p>
            <w:pPr>
              <w:pStyle w:val="TableText"/>
            </w:pPr>
          </w:p>
        </w:tc>
        <w:tc>
          <w:tcPr>
            <w:tcW w:w="1537" w:type="dxa"/>
          </w:tcPr>
          <w:p>
            <w:pPr>
              <w:pStyle w:val="TableText"/>
            </w:pPr>
          </w:p>
        </w:tc>
        <w:tc>
          <w:tcPr>
            <w:tcW w:w="1025" w:type="dxa"/>
          </w:tcPr>
          <w:p>
            <w:pPr>
              <w:pStyle w:val="TableText"/>
            </w:pPr>
          </w:p>
        </w:tc>
        <w:tc>
          <w:tcPr>
            <w:tcW w:w="1281" w:type="dxa"/>
          </w:tcPr>
          <w:p>
            <w:pPr>
              <w:pStyle w:val="TableText"/>
            </w:pPr>
          </w:p>
        </w:tc>
        <w:tc>
          <w:tcPr>
            <w:tcW w:w="1153" w:type="dxa"/>
          </w:tcPr>
          <w:p>
            <w:pPr>
              <w:pStyle w:val="TableText"/>
            </w:pPr>
          </w:p>
        </w:tc>
        <w:tc>
          <w:tcPr>
            <w:tcW w:w="1025" w:type="dxa"/>
          </w:tcPr>
          <w:p>
            <w:pPr>
              <w:pStyle w:val="TableText"/>
            </w:pPr>
          </w:p>
        </w:tc>
        <w:tc>
          <w:tcPr>
            <w:tcW w:w="1025" w:type="dxa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768" w:type="dxa"/>
          </w:tcPr>
          <w:p>
            <w:pPr>
              <w:pStyle w:val="TableText"/>
            </w:pPr>
          </w:p>
        </w:tc>
        <w:tc>
          <w:tcPr>
            <w:tcW w:w="1537" w:type="dxa"/>
          </w:tcPr>
          <w:p>
            <w:pPr>
              <w:pStyle w:val="TableText"/>
            </w:pPr>
          </w:p>
        </w:tc>
        <w:tc>
          <w:tcPr>
            <w:tcW w:w="1537" w:type="dxa"/>
          </w:tcPr>
          <w:p>
            <w:pPr>
              <w:pStyle w:val="TableText"/>
            </w:pPr>
          </w:p>
        </w:tc>
        <w:tc>
          <w:tcPr>
            <w:tcW w:w="1025" w:type="dxa"/>
          </w:tcPr>
          <w:p>
            <w:pPr>
              <w:pStyle w:val="TableText"/>
            </w:pPr>
          </w:p>
        </w:tc>
        <w:tc>
          <w:tcPr>
            <w:tcW w:w="1281" w:type="dxa"/>
          </w:tcPr>
          <w:p>
            <w:pPr>
              <w:pStyle w:val="TableText"/>
            </w:pPr>
          </w:p>
        </w:tc>
        <w:tc>
          <w:tcPr>
            <w:tcW w:w="1153" w:type="dxa"/>
          </w:tcPr>
          <w:p>
            <w:pPr>
              <w:pStyle w:val="TableText"/>
            </w:pPr>
          </w:p>
        </w:tc>
        <w:tc>
          <w:tcPr>
            <w:tcW w:w="1025" w:type="dxa"/>
          </w:tcPr>
          <w:p>
            <w:pPr>
              <w:pStyle w:val="TableText"/>
            </w:pPr>
          </w:p>
        </w:tc>
        <w:tc>
          <w:tcPr>
            <w:tcW w:w="1025" w:type="dxa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768" w:type="dxa"/>
          </w:tcPr>
          <w:p>
            <w:pPr>
              <w:pStyle w:val="TableText"/>
            </w:pPr>
          </w:p>
        </w:tc>
        <w:tc>
          <w:tcPr>
            <w:tcW w:w="1537" w:type="dxa"/>
          </w:tcPr>
          <w:p>
            <w:pPr>
              <w:pStyle w:val="TableText"/>
            </w:pPr>
          </w:p>
        </w:tc>
        <w:tc>
          <w:tcPr>
            <w:tcW w:w="1537" w:type="dxa"/>
          </w:tcPr>
          <w:p>
            <w:pPr>
              <w:pStyle w:val="TableText"/>
            </w:pPr>
          </w:p>
        </w:tc>
        <w:tc>
          <w:tcPr>
            <w:tcW w:w="1025" w:type="dxa"/>
          </w:tcPr>
          <w:p>
            <w:pPr>
              <w:pStyle w:val="TableText"/>
            </w:pPr>
          </w:p>
        </w:tc>
        <w:tc>
          <w:tcPr>
            <w:tcW w:w="1281" w:type="dxa"/>
          </w:tcPr>
          <w:p>
            <w:pPr>
              <w:pStyle w:val="TableText"/>
            </w:pPr>
          </w:p>
        </w:tc>
        <w:tc>
          <w:tcPr>
            <w:tcW w:w="1153" w:type="dxa"/>
          </w:tcPr>
          <w:p>
            <w:pPr>
              <w:pStyle w:val="TableText"/>
            </w:pPr>
          </w:p>
        </w:tc>
        <w:tc>
          <w:tcPr>
            <w:tcW w:w="1025" w:type="dxa"/>
          </w:tcPr>
          <w:p>
            <w:pPr>
              <w:pStyle w:val="TableText"/>
            </w:pPr>
          </w:p>
        </w:tc>
        <w:tc>
          <w:tcPr>
            <w:tcW w:w="1025" w:type="dxa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768" w:type="dxa"/>
          </w:tcPr>
          <w:p>
            <w:pPr>
              <w:pStyle w:val="TableText"/>
            </w:pPr>
          </w:p>
        </w:tc>
        <w:tc>
          <w:tcPr>
            <w:tcW w:w="1537" w:type="dxa"/>
          </w:tcPr>
          <w:p>
            <w:pPr>
              <w:pStyle w:val="TableText"/>
            </w:pPr>
          </w:p>
        </w:tc>
        <w:tc>
          <w:tcPr>
            <w:tcW w:w="1537" w:type="dxa"/>
          </w:tcPr>
          <w:p>
            <w:pPr>
              <w:pStyle w:val="TableText"/>
            </w:pPr>
          </w:p>
        </w:tc>
        <w:tc>
          <w:tcPr>
            <w:tcW w:w="1025" w:type="dxa"/>
          </w:tcPr>
          <w:p>
            <w:pPr>
              <w:pStyle w:val="TableText"/>
            </w:pPr>
          </w:p>
        </w:tc>
        <w:tc>
          <w:tcPr>
            <w:tcW w:w="1281" w:type="dxa"/>
          </w:tcPr>
          <w:p>
            <w:pPr>
              <w:pStyle w:val="TableText"/>
            </w:pPr>
          </w:p>
        </w:tc>
        <w:tc>
          <w:tcPr>
            <w:tcW w:w="1153" w:type="dxa"/>
          </w:tcPr>
          <w:p>
            <w:pPr>
              <w:pStyle w:val="TableText"/>
            </w:pPr>
          </w:p>
        </w:tc>
        <w:tc>
          <w:tcPr>
            <w:tcW w:w="1025" w:type="dxa"/>
          </w:tcPr>
          <w:p>
            <w:pPr>
              <w:pStyle w:val="TableText"/>
            </w:pPr>
          </w:p>
        </w:tc>
        <w:tc>
          <w:tcPr>
            <w:tcW w:w="1025" w:type="dxa"/>
          </w:tcPr>
          <w:p>
            <w:pPr>
              <w:pStyle w:val="TableText"/>
            </w:pPr>
          </w:p>
        </w:tc>
      </w:tr>
    </w:tbl>
    <w:p>
      <w:pPr>
        <w:pStyle w:val="Small"/>
      </w:pPr>
    </w:p>
    <w:sectPr>
      <w:footerReference w:type="default" r:id="rIdFtr"/>
      <w:footerReference w:type="first" r:id="rIdFtr1"/>
      <w:pgSz w:w="11906" w:h="16838"/>
      <w:pgMar w:top="1134" w:right="850" w:bottom="1134" w:left="1701" w:header="709" w:footer="567" w:gutter="0"/>
      <w:titlePg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Footer"/>
    </w:pPr>
  </w:p>
</w:ft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">
    <w:multiLevelType w:val="singleLevel"/>
    <w:lvl w:ilvl="0">
      <w:start w:val="1"/>
      <w:numFmt w:val="bullet"/>
      <w:lvlText w:val="–"/>
      <w:lvlJc w:val="left"/>
      <w:pPr>
        <w:ind w:left="1276" w:hanging="567"/>
      </w:pPr>
    </w:lvl>
  </w:abstractNum>
  <w:abstractNum w:abstractNumId="2">
    <w:multiLevelType w:val="singleLevel"/>
    <w:lvl w:ilvl="0">
      <w:start w:val="1"/>
      <w:numFmt w:val="decimal"/>
      <w:lvlText w:val="%1)"/>
      <w:lvlJc w:val="left"/>
      <w:pPr>
        <w:ind w:left="1276" w:hanging="567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efaultTabStop w:val="709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Times New Roman" w:hAnsi="Times New Roman" w:cs="Times New Roman" w:eastAsia="Times New Roman"/>
        <w:sz w:val="28"/>
        <w:szCs w:val="28"/>
        <w:lang w:val="ru-RU" w:eastAsia="ru-RU"/>
      </w:rPr>
    </w:rPrDefault>
    <w:pPrDefault>
      <w:pPr>
        <w:spacing w:after="0" w:line="360" w:lineRule="auto"/>
      </w:pPr>
    </w:pPrDefault>
  </w:docDefaults>
  <w:style w:type="paragraph" w:default="1" w:styleId="Normal">
    <w:name w:val="Normal"/>
    <w:qFormat/>
    <w:pPr>
      <w:widowControl/>
      <w:spacing w:after="0" w:line="360" w:lineRule="auto"/>
      <w:ind w:firstLine="709"/>
      <w:jc w:val="both"/>
    </w:pPr>
  </w:style>
  <w:style w:type="character" w:default="1" w:styleId="DefaultParagraphFont">
    <w:name w:val="Default Paragraph Font"/>
    <w:uiPriority w:val="1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ind w:firstLine="709"/>
      <w:jc w:val="left"/>
      <w:outlineLvl w:val="0"/>
    </w:pPr>
    <w:rPr>
      <w:b/>
      <w:caps/>
    </w:rPr>
  </w:style>
  <w:style w:type="paragraph" w:styleId="Heading2">
    <w:name w:val="heading 2"/>
    <w:basedOn w:val="Normal"/>
    <w:next w:val="Normal"/>
    <w:qFormat/>
    <w:pPr>
      <w:keepNext/>
      <w:keepLines/>
      <w:spacing w:before="200" w:after="80"/>
      <w:ind w:firstLine="709"/>
      <w:jc w:val="left"/>
      <w:outlineLvl w:val="1"/>
    </w:pPr>
    <w:rPr>
      <w:b/>
    </w:rPr>
  </w:style>
  <w:style w:type="paragraph" w:styleId="Heading3">
    <w:name w:val="heading 3"/>
    <w:basedOn w:val="Normal"/>
    <w:next w:val="Normal"/>
    <w:qFormat/>
    <w:pPr>
      <w:keepNext/>
      <w:keepLines/>
      <w:spacing w:before="160" w:after="60"/>
      <w:ind w:firstLine="709"/>
      <w:jc w:val="left"/>
      <w:outlineLvl w:val="2"/>
    </w:pPr>
    <w:rPr>
      <w:b/>
      <w:i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paragraph" w:styleId="FH">
    <w:name w:val="File Heading"/>
    <w:basedOn w:val="Normal"/>
    <w:next w:val="FT"/>
    <w:qFormat/>
    <w:pPr>
      <w:keepNext/>
      <w:keepLines/>
      <w:spacing w:before="140" w:after="20" w:line="240" w:lineRule="auto"/>
      <w:ind w:firstLine="0"/>
      <w:jc w:val="left"/>
    </w:pPr>
    <w:rPr>
      <w:b/>
      <w:sz w:val="24"/>
      <w:szCs w:val="24"/>
    </w:rPr>
  </w:style>
  <w:style w:type="paragraph" w:styleId="FT">
    <w:name w:val="File Text"/>
    <w:basedOn w:val="Normal"/>
    <w:qFormat/>
    <w:pPr>
      <w:spacing w:after="40" w:line="252" w:lineRule="auto"/>
      <w:ind w:firstLine="0"/>
      <w:jc w:val="left"/>
    </w:pPr>
    <w:rPr>
      <w:sz w:val="23"/>
      <w:szCs w:val="23"/>
    </w:rPr>
  </w:style>
  <w:style w:type="paragraph" w:styleId="ListDash">
    <w:name w:val="List Dash"/>
    <w:basedOn w:val="Normal"/>
    <w:qFormat/>
    <w:pPr>
      <w:ind w:left="709" w:firstLine="0"/>
    </w:pPr>
  </w:style>
  <w:style w:type="paragraph" w:styleId="ListNum">
    <w:name w:val="List Number"/>
    <w:basedOn w:val="Normal"/>
    <w:qFormat/>
    <w:pPr>
      <w:ind w:left="709" w:firstLine="0"/>
    </w:pPr>
  </w:style>
  <w:style w:type="paragraph" w:styleId="NoIndent">
    <w:name w:val="No Indent"/>
    <w:basedOn w:val="Normal"/>
    <w:qFormat/>
    <w:pPr>
      <w:ind w:firstLine="0"/>
    </w:pPr>
  </w:style>
  <w:style w:type="paragraph" w:styleId="Title0">
    <w:name w:val="Title Page"/>
    <w:basedOn w:val="Normal"/>
    <w:qFormat/>
    <w:pPr>
      <w:spacing w:line="276" w:lineRule="auto"/>
      <w:ind w:firstLine="0"/>
      <w:jc w:val="center"/>
    </w:pPr>
  </w:style>
  <w:style w:type="paragraph" w:styleId="TableText">
    <w:name w:val="Table Text"/>
    <w:basedOn w:val="Normal"/>
    <w:qFormat/>
    <w:pPr>
      <w:spacing w:line="240" w:lineRule="auto"/>
      <w:ind w:firstLine="0"/>
      <w:jc w:val="left"/>
    </w:pPr>
    <w:rPr>
      <w:sz w:val="24"/>
      <w:szCs w:val="24"/>
    </w:rPr>
  </w:style>
  <w:style w:type="paragraph" w:styleId="TableCaption">
    <w:name w:val="Table Caption"/>
    <w:basedOn w:val="Normal"/>
    <w:qFormat/>
    <w:pPr>
      <w:keepNext/>
      <w:spacing w:before="120" w:line="240" w:lineRule="auto"/>
      <w:ind w:firstLine="0"/>
      <w:jc w:val="left"/>
    </w:pPr>
  </w:style>
  <w:style w:type="paragraph" w:styleId="Figure">
    <w:name w:val="Figure"/>
    <w:basedOn w:val="Normal"/>
    <w:qFormat/>
    <w:pPr>
      <w:spacing w:before="120" w:line="240" w:lineRule="auto"/>
      <w:ind w:firstLine="0"/>
      <w:jc w:val="center"/>
    </w:pPr>
  </w:style>
  <w:style w:type="paragraph" w:styleId="FigCaption">
    <w:name w:val="Figure Caption"/>
    <w:basedOn w:val="Normal"/>
    <w:qFormat/>
    <w:pPr>
      <w:spacing w:after="160" w:line="240" w:lineRule="auto"/>
      <w:ind w:firstLine="0"/>
      <w:jc w:val="center"/>
    </w:pPr>
  </w:style>
  <w:style w:type="paragraph" w:styleId="Code">
    <w:name w:val="Code"/>
    <w:basedOn w:val="Normal"/>
    <w:qFormat/>
    <w:pPr>
      <w:shd w:val="clear" w:color="auto" w:fill="F2F2F2"/>
      <w:spacing w:line="240" w:lineRule="auto"/>
      <w:ind w:left="284" w:firstLine="0"/>
      <w:jc w:val="left"/>
    </w:pPr>
    <w:rPr>
      <w:rFonts w:ascii="Courier New" w:hAnsi="Courier New" w:cs="Courier New"/>
      <w:sz w:val="19"/>
      <w:szCs w:val="19"/>
    </w:rPr>
  </w:style>
  <w:style w:type="paragraph" w:styleId="Small">
    <w:name w:val="Small Spacer"/>
    <w:basedOn w:val="Normal"/>
    <w:qFormat/>
    <w:pPr>
      <w:spacing w:line="240" w:lineRule="auto"/>
      <w:ind w:firstLine="0"/>
    </w:pPr>
    <w:rPr>
      <w:sz w:val="12"/>
    </w:rPr>
  </w:style>
  <w:style w:type="paragraph" w:styleId="Footer">
    <w:name w:val="footer"/>
    <w:basedOn w:val="Normal"/>
    <w:qFormat/>
    <w:pPr>
      <w:spacing w:line="240" w:lineRule="auto"/>
      <w:ind w:firstLine="0"/>
      <w:jc w:val="center"/>
    </w:pPr>
    <w:rPr>
      <w:sz w:val="24"/>
    </w:rPr>
  </w:style>
  <w:style w:type="paragraph" w:styleId="TOC1">
    <w:name w:val="toc 1"/>
    <w:basedOn w:val="Normal"/>
    <w:pPr>
      <w:tabs>
        <w:tab w:val="right" w:leader="dot" w:pos="9344"/>
      </w:tabs>
      <w:spacing w:line="276" w:lineRule="auto"/>
      <w:ind w:firstLine="0"/>
      <w:jc w:val="left"/>
    </w:pPr>
  </w:style>
  <w:style w:type="paragraph" w:styleId="TOC2">
    <w:name w:val="toc 2"/>
    <w:basedOn w:val="Normal"/>
    <w:pPr>
      <w:tabs>
        <w:tab w:val="right" w:leader="dot" w:pos="9344"/>
      </w:tabs>
      <w:spacing w:line="276" w:lineRule="auto"/>
      <w:ind w:left="284" w:firstLine="0"/>
      <w:jc w:val="left"/>
    </w:pPr>
  </w:style>
  <w:style w:type="paragraph" w:styleId="TOC3">
    <w:name w:val="toc 3"/>
    <w:basedOn w:val="Normal"/>
    <w:pPr>
      <w:tabs>
        <w:tab w:val="right" w:leader="dot" w:pos="9344"/>
      </w:tabs>
      <w:spacing w:line="276" w:lineRule="auto"/>
      <w:ind w:left="567" w:firstLine="0"/>
      <w:jc w:val="left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Ftr" Type="http://schemas.openxmlformats.org/officeDocument/2006/relationships/footer" Target="footer1.xml"/><Relationship Id="rIdFtr1" Type="http://schemas.openxmlformats.org/officeDocument/2006/relationships/footer" Target="footer2.xml"/><Relationship Id="rIdLnk1" Type="http://schemas.openxmlformats.org/officeDocument/2006/relationships/hyperlink" Target="https://github.com/AndrewStrizhevskiy/detective-board/tree/16122fc22a2c1fffccb26aaa48ceb00c028b72dc/docs/spike/results" TargetMode="External"/><Relationship Id="rIdLnk2" Type="http://schemas.openxmlformats.org/officeDocument/2006/relationships/hyperlink" Target="https://github.com/AndrewStrizhevskiy/detective-board/tree/16122fc22a2c1fffccb26aaa48ceb00c028b72dc/docs/perf" TargetMode="External"/><Relationship Id="rIdLnk3" Type="http://schemas.openxmlformats.org/officeDocument/2006/relationships/hyperlink" Target="https://github.com/AndrewStrizhevskiy/detective-board/blob/16122fc22a2c1fffccb26aaa48ceb00c028b72dc/docs/spike/results/graph-sanity-20261028.md" TargetMode="External"/><Relationship Id="rIdLnk4" Type="http://schemas.openxmlformats.org/officeDocument/2006/relationships/hyperlink" Target="https://github.com/AndrewStrizhevskiy/detective-board/blob/16122fc22a2c1fffccb26aaa48ceb00c028b72dc/docs/spike/results/suspects-20261030.md" TargetMode="External"/><Relationship Id="rIdLnk5" Type="http://schemas.openxmlformats.org/officeDocument/2006/relationships/hyperlink" Target="https://github.com/AndrewStrizhevskiy/detective-board/blob/16122fc22a2c1fffccb26aaa48ceb00c028b72dc/docs/perf/laptop-20261029.md" TargetMode="External"/><Relationship Id="rIdLnk6" Type="http://schemas.openxmlformats.org/officeDocument/2006/relationships/hyperlink" Target="https://github.com/AndrewStrizhevskiy/detective-board/blob/16122fc22a2c1fffccb26aaa48ceb00c028b72dc/docs/design/demo-script.md" TargetMode="External"/><Relationship Id="rIdLnk7" Type="http://schemas.openxmlformats.org/officeDocument/2006/relationships/hyperlink" Target="https://github.com/AndrewStrizhevskiy/detective-board/blob/16122fc22a2c1fffccb26aaa48ceb00c028b72dc/docs/team/CLEAN_INSTALL.md" TargetMode="External"/><Relationship Id="rIdLnk8" Type="http://schemas.openxmlformats.org/officeDocument/2006/relationships/hyperlink" Target="https://github.com/AndrewStrizhevskiy/detective-board/blob/16122fc22a2c1fffccb26aaa48ceb00c028b72dc/docs/DISCLOSURE.md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Описание применения – Detective Board</dc:title>
  <dc:creator>Команда проекта Detective Board</dc:creator>
  <dc:language>ru-RU</dc:language>
  <dcterms:created xsi:type="dcterms:W3CDTF">2026-10-30T00:00:00Z</dcterms:created>
</cp:coreProperties>
</file>