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基于BP神经网络的智能汽车动力电池健康状态预测初探</w:t>
      </w:r>
      <w:r>
        <w:br/>
      </w:r>
      <w:r>
        <w:rPr>
          <w:rFonts w:hint="eastAsia"/>
        </w:rPr>
        <w:t xml:space="preserve">余震宇</w:t>
      </w:r>
      <w:r>
        <w:br/>
      </w:r>
      <w:r>
        <w:rPr>
          <w:rFonts w:hint="eastAsia"/>
        </w:rPr>
        <w:t xml:space="preserve">（北京交通大学</w:t>
      </w:r>
      <w:r>
        <w:t xml:space="preserve"> </w:t>
      </w:r>
      <w:r>
        <w:rPr>
          <w:rFonts w:hint="eastAsia"/>
        </w:rPr>
        <w:t xml:space="preserve">计算机与信息技术学院，北京</w:t>
      </w:r>
      <w:r>
        <w:t xml:space="preserve"> </w:t>
      </w:r>
      <w:r>
        <w:rPr>
          <w:rFonts w:hint="eastAsia"/>
        </w:rPr>
        <w:t xml:space="preserve">100044）</w:t>
      </w:r>
      <w:r>
        <w:br/>
      </w:r>
    </w:p>
    <w:p>
      <w:pPr>
        <w:pStyle w:val="BodyText"/>
      </w:pPr>
      <w:r>
        <w:br/>
      </w:r>
      <w:r>
        <w:br/>
      </w:r>
      <w:r>
        <w:br/>
      </w:r>
    </w:p>
    <w:p>
      <w:pPr>
        <w:pStyle w:val="BodyText"/>
      </w:pPr>
      <w:r>
        <w:rPr>
          <w:b/>
          <w:bCs/>
        </w:rPr>
        <w:t xml:space="preserve">Preliminary Study on SOH Prediction of Intelligent Vehicle Power Battery Based on BP Neural Network</w:t>
      </w:r>
      <w:r>
        <w:br/>
      </w:r>
      <w:r>
        <w:rPr>
          <w:i/>
          <w:iCs/>
        </w:rPr>
        <w:t xml:space="preserve">Andrew Zhenyu YU</w:t>
      </w:r>
      <w:r>
        <w:br/>
      </w:r>
      <w:r>
        <w:t xml:space="preserve"> </w:t>
      </w:r>
      <w:r>
        <w:t xml:space="preserve">(School of Computer and Information Technology, Beijing Jiaotong University, Beijing 100044, China)</w:t>
      </w:r>
      <w:r>
        <w:br/>
      </w:r>
    </w:p>
    <w:p>
      <w:pPr>
        <w:pStyle w:val="BodyText"/>
      </w:pPr>
      <w:r>
        <w:t xml:space="preserve"> </w:t>
      </w:r>
      <w:r>
        <w:t xml:space="preserve">The State of Health (SOH) of power batteries is a core indicator determining the endurance and driving safety of intelligent electric vehicles. Addressing the engineering pain points of traditional electrochemical physical models, such as cumbersome parameter tuning and high computational resource consumption, this paper proposes a lifespan prediction scheme based on a Back Propagation (BP) neural network, grounded in international data-driven perspectives and computer algorithm thinking. This study avoids complex partial differential equation solving and transforms the battery aging process into a pure time-series data regression task. A standard three-layer BP mapping model is constructed by extracting macroscopic sensing data (voltage, current, temperature) and applying sliding window filtering and Min-Max normalization. Using matrix linear operations and gradient descent based on chain rules, the model autonomously approximates SOH degradation patterns. Theoretical analysis combined with authoritative international literature shows that compared with traditional empirical formulas, this scheme effectively lowers interdisciplinary theoretical thresholds and demonstrates excellent nonlinear fitting potential, providing a beneficial academic practice for junior undergraduates to apply programming logic to cross-disciplinary fields.</w:t>
      </w:r>
      <w:r>
        <w:br/>
      </w:r>
      <w:r>
        <w:t xml:space="preserve"> </w:t>
      </w:r>
      <w:r>
        <w:t xml:space="preserve">intelligent vehicles; power battery; State of Health (SOH); BP neural network; data-driven; gradient descent</w:t>
      </w:r>
      <w:r>
        <w:br/>
      </w:r>
      <w:r>
        <w:rPr>
          <w:rFonts w:hint="eastAsia"/>
        </w:rPr>
        <w:t xml:space="preserve">随着智能网联汽车产业的迅猛发展，锂离子动力电池作为整车的核心储能部件，其性能与寿命直接关系到车辆的运行可靠性。受限于材料的物理化学特性，电池在充放电循环中内部不可避免地会发生诸如活性锂离子永久性损失等不可逆衰退，导致可用容量逐渐萎缩。工程上，通常采用电池健康状态（State</w:t>
      </w:r>
      <w:r>
        <w:t xml:space="preserve"> of Health, </w:t>
      </w:r>
      <w:r>
        <w:rPr>
          <w:rFonts w:hint="eastAsia"/>
        </w:rPr>
        <w:t xml:space="preserve">SOH）来量化这一衰减程度。当SOH衰减至特定阈值（如80%）时，车载电池管理系统（BMS）需要及时发出预警，以保障行车安全。</w:t>
      </w:r>
    </w:p>
    <w:p>
      <w:pPr>
        <w:pStyle w:val="BodyText"/>
      </w:pPr>
      <w:r>
        <w:rPr>
          <w:rFonts w:hint="eastAsia"/>
        </w:rPr>
        <w:t xml:space="preserve">传统的车辆工程研究常依赖构建复杂的电化学伪二维模型（P2D）进行SOH估算。这类</w:t>
      </w:r>
      <w:r>
        <w:rPr>
          <w:rFonts w:hint="eastAsia"/>
        </w:rPr>
        <w:t xml:space="preserve">“白盒模型”</w:t>
      </w:r>
      <w:r>
        <w:rPr>
          <w:rFonts w:hint="eastAsia"/>
        </w:rPr>
        <w:t xml:space="preserve">需要求解大量的高阶偏微分方程，不仅对车载计算单元提出了极高要求，也为非化学专业的计算机初学者设置了极高的理论壁垒。近年来，随着算力的提升，国际顶级学术界开始掀起一场研究范式的变革。麻省理工学院的研究团队在国际权威期刊《Nature</w:t>
      </w:r>
      <w:r>
        <w:t xml:space="preserve"> </w:t>
      </w:r>
      <w:r>
        <w:rPr>
          <w:rFonts w:hint="eastAsia"/>
        </w:rPr>
        <w:t xml:space="preserve">Energy》上发文指出，完全规避复杂的化学机理，仅依赖充放电早期的外特性宏观数据，即可实现对电池寿命的高精度预测[1]。此外，《Nature</w:t>
      </w:r>
      <w:r>
        <w:t xml:space="preserve"> Machine </w:t>
      </w:r>
      <w:r>
        <w:rPr>
          <w:rFonts w:hint="eastAsia"/>
        </w:rPr>
        <w:t xml:space="preserve">Intelligence》上的前沿综述亦充分证实，纯数据驱动的机器学习算法在处理电池高度非线性的老化特征时具有显著的优势[2]。</w:t>
      </w:r>
    </w:p>
    <w:p>
      <w:pPr>
        <w:pStyle w:val="BodyText"/>
      </w:pPr>
      <w:r>
        <w:rPr>
          <w:rFonts w:hint="eastAsia"/>
        </w:rPr>
        <w:t xml:space="preserve">上述国际权威研究为本文提供了坚实的立论依据。本文转换解题思路，摒弃底层复杂的化学反应机理探索，将电池系统抽象为一个受数据驱动的</w:t>
      </w:r>
      <w:r>
        <w:rPr>
          <w:rFonts w:hint="eastAsia"/>
        </w:rPr>
        <w:t xml:space="preserve">“黑盒”</w:t>
      </w:r>
      <w:r>
        <w:rPr>
          <w:rFonts w:hint="eastAsia"/>
        </w:rPr>
        <w:t xml:space="preserve">。探讨如何利用计算机基础算法逻辑与高等数学知识，引入反向传播（BP）神经网络构建数学映射，从而实现对复杂时序数据的智能化回归预测。</w:t>
      </w:r>
    </w:p>
    <w:bookmarkStart w:id="11" w:name="时序数据的预处理与特征工程"/>
    <w:p>
      <w:pPr>
        <w:pStyle w:val="Heading1"/>
      </w:pPr>
      <w:r>
        <w:rPr>
          <w:rFonts w:hint="eastAsia"/>
        </w:rPr>
        <w:t xml:space="preserve">时序数据的预处理与特征工程</w:t>
      </w:r>
    </w:p>
    <w:p>
      <w:pPr>
        <w:pStyle w:val="FirstParagraph"/>
      </w:pPr>
      <w:r>
        <w:rPr>
          <w:rFonts w:hint="eastAsia"/>
        </w:rPr>
        <w:t xml:space="preserve">在算法正式执行前，确保输入数据的有效性与规范性极其关键。未经清洗的原始传感信号若直接输入矩阵运算，极易导致算法梯度发散或陷入局部最优解。</w:t>
      </w:r>
    </w:p>
    <w:bookmarkStart w:id="9" w:name="特征向量的科学提取与滤波降噪"/>
    <w:p>
      <w:pPr>
        <w:pStyle w:val="Heading2"/>
      </w:pPr>
      <w:r>
        <w:rPr>
          <w:rFonts w:hint="eastAsia"/>
        </w:rPr>
        <w:t xml:space="preserve">特征向量的科学提取与滤波降噪</w:t>
      </w:r>
    </w:p>
    <w:p>
      <w:pPr>
        <w:pStyle w:val="FirstParagraph"/>
      </w:pPr>
      <w:r>
        <w:rPr>
          <w:rFonts w:hint="eastAsia"/>
        </w:rPr>
        <w:t xml:space="preserve">正如权威文献所印证的逻辑[1]，电池老化信息高度浓缩于其充放电外特性中。因此，本文选取电池端电压（</w:t>
      </w:r>
      <m:oMath>
        <m:r>
          <m:t>V</m:t>
        </m:r>
      </m:oMath>
      <w:r>
        <w:rPr>
          <w:rFonts w:hint="eastAsia"/>
        </w:rPr>
        <w:t xml:space="preserve">）、工作电流（</w:t>
      </w:r>
      <m:oMath>
        <m:r>
          <m:t>I</m:t>
        </m:r>
      </m:oMath>
      <w:r>
        <w:rPr>
          <w:rFonts w:hint="eastAsia"/>
        </w:rPr>
        <w:t xml:space="preserve">）以及表面温度（</w:t>
      </w:r>
      <m:oMath>
        <m:r>
          <m:t>T</m:t>
        </m:r>
      </m:oMath>
      <w:r>
        <w:rPr>
          <w:rFonts w:hint="eastAsia"/>
        </w:rPr>
        <w:t xml:space="preserve">）作为核心特征向量。从物理现象来看，老化电池由于内部阻抗的增大，在相同的恒流充电阶段，其电压上升曲线会整体变陡，同时伴随更显著的焦耳发热（温度升高）。将这三者结合，能够为算法提供足够的信息熵。</w:t>
      </w:r>
    </w:p>
    <w:p>
      <w:pPr>
        <w:pStyle w:val="BodyText"/>
      </w:pPr>
      <w:r>
        <w:rPr>
          <w:rFonts w:hint="eastAsia"/>
        </w:rPr>
        <w:t xml:space="preserve">在实车运行环境中，颠簸或通信丢帧常导致传感器采集到异常突变值。为确保输入序列的逻辑连贯性，本文引入滑动窗口平均滤波算法（Sliding</w:t>
      </w:r>
      <w:r>
        <w:t xml:space="preserve"> Window Average </w:t>
      </w:r>
      <w:r>
        <w:rPr>
          <w:rFonts w:hint="eastAsia"/>
        </w:rPr>
        <w:t xml:space="preserve">Filter）。在代码实现逻辑中，这等价于设置一个动态更新的数组指针，当程序扫描到偏离合理物理区间的孤立</w:t>
      </w:r>
      <w:r>
        <w:rPr>
          <w:rFonts w:hint="eastAsia"/>
        </w:rPr>
        <w:t xml:space="preserve">“噪点”</w:t>
      </w:r>
      <w:r>
        <w:rPr>
          <w:rFonts w:hint="eastAsia"/>
        </w:rPr>
        <w:t xml:space="preserve">时，算法将其剔除，并利用前后相邻的有效采样点取算术平均值进行平滑替代。这一基础操作有效降低了高频噪声对预测模型的干扰。</w:t>
      </w:r>
    </w:p>
    <w:bookmarkEnd w:id="9"/>
    <w:bookmarkStart w:id="10" w:name="特征的min-max线性归一化"/>
    <w:p>
      <w:pPr>
        <w:pStyle w:val="Heading2"/>
      </w:pPr>
      <w:r>
        <w:rPr>
          <w:rFonts w:hint="eastAsia"/>
        </w:rPr>
        <w:t xml:space="preserve">特征的Min-Max线性归一化</w:t>
      </w:r>
    </w:p>
    <w:p>
      <w:pPr>
        <w:pStyle w:val="FirstParagraph"/>
      </w:pPr>
      <w:r>
        <w:rPr>
          <w:rFonts w:hint="eastAsia"/>
        </w:rPr>
        <w:t xml:space="preserve">不同传感器的量纲与数量级差异巨大。若直接将悬殊的特征向量送入神经网络，数值极大的特征将完全主导梯度的计算方向。为此，本文引入Min-Max线性变换公式，将所有特征等比例映射至</w:t>
      </w:r>
      <w:r>
        <w:t xml:space="preserve"> </w:t>
      </w:r>
      <m:oMath>
        <m:r>
          <m:rPr>
            <m:sty m:val="p"/>
          </m:rPr>
          <m:t>[</m:t>
        </m:r>
        <m:r>
          <m:t>0</m:t>
        </m:r>
        <m:r>
          <m:rPr>
            <m:sty m:val="p"/>
          </m:rPr>
          <m:t>,</m:t>
        </m:r>
        <m:r>
          <m:t>1</m:t>
        </m:r>
        <m:r>
          <m:rPr>
            <m:sty m:val="p"/>
          </m:rPr>
          <m:t>]</m:t>
        </m:r>
      </m:oMath>
      <w:r>
        <w:t xml:space="preserve"> </w:t>
      </w:r>
      <w:r>
        <w:rPr>
          <w:rFonts w:hint="eastAsia"/>
        </w:rPr>
        <w:t xml:space="preserve">的标准空间内：</w:t>
      </w:r>
    </w:p>
    <w:p>
      <w:pPr>
        <w:pStyle w:val="BodyText"/>
      </w:pPr>
      <m:oMathPara>
        <m:oMathParaPr>
          <m:jc m:val="center"/>
        </m:oMathParaPr>
        <m:oMath>
          <m:sSub>
            <m:e>
              <m:r>
                <m:t>x</m:t>
              </m:r>
            </m:e>
            <m:sub>
              <m:r>
                <m:t>n</m:t>
              </m:r>
              <m:r>
                <m:t>o</m:t>
              </m:r>
              <m:r>
                <m:t>r</m:t>
              </m:r>
              <m:r>
                <m:t>m</m:t>
              </m:r>
            </m:sub>
          </m:sSub>
          <m:r>
            <m:rPr>
              <m:sty m:val="p"/>
            </m:rPr>
            <m:t>=</m:t>
          </m:r>
          <m:f>
            <m:fPr>
              <m:type m:val="bar"/>
            </m:fPr>
            <m:num>
              <m:r>
                <m:t>x</m:t>
              </m:r>
              <m:r>
                <m:rPr>
                  <m:sty m:val="p"/>
                </m:rPr>
                <m:t>−</m:t>
              </m:r>
              <m:sSub>
                <m:e>
                  <m:r>
                    <m:t>x</m:t>
                  </m:r>
                </m:e>
                <m:sub>
                  <m:r>
                    <m:t>m</m:t>
                  </m:r>
                  <m:r>
                    <m:t>i</m:t>
                  </m:r>
                  <m:r>
                    <m:t>n</m:t>
                  </m:r>
                </m:sub>
              </m:sSub>
            </m:num>
            <m:den>
              <m:sSub>
                <m:e>
                  <m:r>
                    <m:t>x</m:t>
                  </m:r>
                </m:e>
                <m:sub>
                  <m:r>
                    <m:t>m</m:t>
                  </m:r>
                  <m:r>
                    <m:t>a</m:t>
                  </m:r>
                  <m:r>
                    <m:t>x</m:t>
                  </m:r>
                </m:sub>
              </m:sSub>
              <m:r>
                <m:rPr>
                  <m:sty m:val="p"/>
                </m:rPr>
                <m:t>−</m:t>
              </m:r>
              <m:sSub>
                <m:e>
                  <m:r>
                    <m:t>x</m:t>
                  </m:r>
                </m:e>
                <m:sub>
                  <m:r>
                    <m:t>m</m:t>
                  </m:r>
                  <m:r>
                    <m:t>i</m:t>
                  </m:r>
                  <m:r>
                    <m:t>n</m:t>
                  </m:r>
                </m:sub>
              </m:sSub>
            </m:den>
          </m:f>
        </m:oMath>
      </m:oMathPara>
    </w:p>
    <w:p>
      <w:pPr>
        <w:pStyle w:val="FirstParagraph"/>
      </w:pPr>
      <w:r>
        <w:rPr>
          <w:rFonts w:hint="eastAsia"/>
        </w:rPr>
        <w:t xml:space="preserve">式中，</w:t>
      </w:r>
      <m:oMath>
        <m:sSub>
          <m:e>
            <m:r>
              <m:t>x</m:t>
            </m:r>
          </m:e>
          <m:sub>
            <m:r>
              <m:t>m</m:t>
            </m:r>
            <m:r>
              <m:t>a</m:t>
            </m:r>
            <m:r>
              <m:t>x</m:t>
            </m:r>
          </m:sub>
        </m:sSub>
      </m:oMath>
      <w:r>
        <w:t xml:space="preserve"> </w:t>
      </w:r>
      <w:r>
        <w:rPr>
          <w:rFonts w:hint="eastAsia"/>
        </w:rPr>
        <w:t xml:space="preserve">与</w:t>
      </w:r>
      <w:r>
        <w:t xml:space="preserve"> </w:t>
      </w:r>
      <m:oMath>
        <m:sSub>
          <m:e>
            <m:r>
              <m:t>x</m:t>
            </m:r>
          </m:e>
          <m:sub>
            <m:r>
              <m:t>m</m:t>
            </m:r>
            <m:r>
              <m:t>i</m:t>
            </m:r>
            <m:r>
              <m:t>n</m:t>
            </m:r>
          </m:sub>
        </m:sSub>
      </m:oMath>
      <w:r>
        <w:t xml:space="preserve"> </w:t>
      </w:r>
      <w:r>
        <w:rPr>
          <w:rFonts w:hint="eastAsia"/>
        </w:rPr>
        <w:t xml:space="preserve">分别为该特征的历史极值。这一数学操作不仅统一了多维数据的权重评估基准，更能有效防止激活函数在计算时发生梯度消失，是保障网络稳定收敛的必要前提。</w:t>
      </w:r>
    </w:p>
    <w:bookmarkEnd w:id="10"/>
    <w:bookmarkEnd w:id="11"/>
    <w:bookmarkStart w:id="14" w:name="bp神经网络的数理架构"/>
    <w:p>
      <w:pPr>
        <w:pStyle w:val="Heading1"/>
      </w:pPr>
      <w:r>
        <w:rPr>
          <w:rFonts w:hint="eastAsia"/>
        </w:rPr>
        <w:t xml:space="preserve">BP神经网络的数理架构</w:t>
      </w:r>
    </w:p>
    <w:p>
      <w:pPr>
        <w:pStyle w:val="FirstParagraph"/>
      </w:pPr>
      <w:r>
        <w:rPr>
          <w:rFonts w:hint="eastAsia"/>
        </w:rPr>
        <w:t xml:space="preserve">BP神经网络的本质，是大量矩阵乘法与多元函数微积分求导的巧妙结合，通过计算机程序的循环迭代来实现对真实物理曲线的最优逼近。</w:t>
      </w:r>
    </w:p>
    <w:bookmarkStart w:id="12" w:name="三层网络拓扑与非线性映射"/>
    <w:p>
      <w:pPr>
        <w:pStyle w:val="Heading2"/>
      </w:pPr>
      <w:r>
        <w:rPr>
          <w:rFonts w:hint="eastAsia"/>
        </w:rPr>
        <w:t xml:space="preserve">三层网络拓扑与非线性映射</w:t>
      </w:r>
    </w:p>
    <w:p>
      <w:pPr>
        <w:pStyle w:val="FirstParagraph"/>
      </w:pPr>
      <w:r>
        <w:rPr>
          <w:rFonts w:hint="eastAsia"/>
        </w:rPr>
        <w:t xml:space="preserve">本文构建了标准的三层前馈网络：输入层负责接收归一化后的环境特征；隐藏层包含若干神经元节点，在内存中执行密集的矩阵乘加运算，可以将其理解为隐藏在代码内部的特征提取器；输出层则进行降维汇总，输出代表SOH百分比的浮点数预测值。</w:t>
      </w:r>
    </w:p>
    <w:tbl>
      <w:tblPr>
        <w:tblStyle w:val="FigureTable"/>
        <w:tblW w:type="auto" w:w="0"/>
        <w:jc w:val="center"/>
        <w:tblLook w:firstRow="0" w:lastRow="0" w:firstColumn="0" w:lastColumn="0"/>
      </w:tblPr>
      <w:tblGrid>
        <w:gridCol w:w="7920"/>
      </w:tblGrid>
      <w:tr>
        <w:tc>
          <w:tcPr/>
          <w:p>
            <w:pPr>
              <w:jc w:val="center"/>
            </w:pPr>
            <w:r>
              <w:t xml:space="preserve">Fig.1 Basic structure diagram of BP neural network</w:t>
            </w:r>
          </w:p>
        </w:tc>
      </w:tr>
    </w:tbl>
    <w:p>
      <w:pPr>
        <w:pStyle w:val="ImageCaption"/>
      </w:pPr>
      <w:r>
        <w:rPr>
          <w:rFonts w:hint="eastAsia"/>
        </w:rPr>
        <w:t xml:space="preserve">BP神经网络基本结构示意图</w:t>
      </w:r>
    </w:p>
    <w:p>
      <w:pPr>
        <w:pStyle w:val="BodyText"/>
      </w:pPr>
      <w:r>
        <w:rPr>
          <w:rFonts w:hint="eastAsia"/>
        </w:rPr>
        <w:t xml:space="preserve">在隐藏层的计算中，输入向量</w:t>
      </w:r>
      <w:r>
        <w:t xml:space="preserve"> </w:t>
      </w:r>
      <m:oMath>
        <m:r>
          <m:t>x</m:t>
        </m:r>
      </m:oMath>
      <w:r>
        <w:t xml:space="preserve"> </w:t>
      </w:r>
      <w:r>
        <w:rPr>
          <w:rFonts w:hint="eastAsia"/>
        </w:rPr>
        <w:t xml:space="preserve">与权重矩阵</w:t>
      </w:r>
      <w:r>
        <w:t xml:space="preserve"> </w:t>
      </w:r>
      <m:oMath>
        <m:r>
          <m:t>W</m:t>
        </m:r>
      </m:oMath>
      <w:r>
        <w:t xml:space="preserve"> </w:t>
      </w:r>
      <w:r>
        <w:rPr>
          <w:rFonts w:hint="eastAsia"/>
        </w:rPr>
        <w:t xml:space="preserve">相乘并加上偏置向量</w:t>
      </w:r>
      <w:r>
        <w:t xml:space="preserve"> </w:t>
      </w:r>
      <m:oMath>
        <m:r>
          <m:t>b</m:t>
        </m:r>
      </m:oMath>
      <w:r>
        <w:rPr>
          <w:rFonts w:hint="eastAsia"/>
        </w:rPr>
        <w:t xml:space="preserve">。真实的电池退化轨迹是一条极其复杂的曲线，为打破单纯线性运算的局限，必须在计算后嵌套一个非线性激活函数（Activation</w:t>
      </w:r>
      <w:r>
        <w:t xml:space="preserve"> </w:t>
      </w:r>
      <w:r>
        <w:rPr>
          <w:rFonts w:hint="eastAsia"/>
        </w:rPr>
        <w:t xml:space="preserve">Function）。本文采用经典的</w:t>
      </w:r>
      <w:r>
        <w:t xml:space="preserve"> Sigmoid </w:t>
      </w:r>
      <w:r>
        <w:rPr>
          <w:rFonts w:hint="eastAsia"/>
        </w:rPr>
        <w:t xml:space="preserve">函数：</w:t>
      </w:r>
    </w:p>
    <w:p>
      <w:pPr>
        <w:pStyle w:val="BodyText"/>
      </w:pPr>
      <m:oMathPara>
        <m:oMathParaPr>
          <m:jc m:val="center"/>
        </m:oMathParaPr>
        <m:oMath>
          <m:r>
            <m:t>y</m:t>
          </m:r>
          <m:r>
            <m:rPr>
              <m:sty m:val="p"/>
            </m:rPr>
            <m:t>=</m:t>
          </m:r>
          <m:f>
            <m:fPr>
              <m:type m:val="bar"/>
            </m:fPr>
            <m:num>
              <m:r>
                <m:t>1</m:t>
              </m:r>
            </m:num>
            <m:den>
              <m:r>
                <m:t>1</m:t>
              </m:r>
              <m:r>
                <m:rPr>
                  <m:sty m:val="p"/>
                </m:rPr>
                <m:t>+</m:t>
              </m:r>
              <m:sSup>
                <m:e>
                  <m:r>
                    <m:t>e</m:t>
                  </m:r>
                </m:e>
                <m:sup>
                  <m:r>
                    <m:rPr>
                      <m:sty m:val="p"/>
                    </m:rPr>
                    <m:t>−</m:t>
                  </m:r>
                  <m:r>
                    <m:rPr>
                      <m:sty m:val="p"/>
                    </m:rPr>
                    <m:t>(</m:t>
                  </m:r>
                  <m:r>
                    <m:t>W</m:t>
                  </m:r>
                  <m:r>
                    <m:rPr>
                      <m:sty m:val="p"/>
                    </m:rPr>
                    <m:t>⋅</m:t>
                  </m:r>
                  <m:r>
                    <m:t>x</m:t>
                  </m:r>
                  <m:r>
                    <m:rPr>
                      <m:sty m:val="p"/>
                    </m:rPr>
                    <m:t>+</m:t>
                  </m:r>
                  <m:r>
                    <m:t>b</m:t>
                  </m:r>
                  <m:r>
                    <m:rPr>
                      <m:sty m:val="p"/>
                    </m:rPr>
                    <m:t>)</m:t>
                  </m:r>
                </m:sup>
              </m:sSup>
            </m:den>
          </m:f>
        </m:oMath>
      </m:oMathPara>
    </w:p>
    <w:p>
      <w:pPr>
        <w:pStyle w:val="FirstParagraph"/>
      </w:pPr>
      <w:r>
        <w:rPr>
          <w:rFonts w:hint="eastAsia"/>
        </w:rPr>
        <w:t xml:space="preserve">该函数的导数性质优良，且值域严格界定在</w:t>
      </w:r>
      <w:r>
        <w:t xml:space="preserve"> </w:t>
      </w:r>
      <m:oMath>
        <m:r>
          <m:rPr>
            <m:sty m:val="p"/>
          </m:rPr>
          <m:t>(</m:t>
        </m:r>
        <m:r>
          <m:t>0</m:t>
        </m:r>
        <m:r>
          <m:rPr>
            <m:sty m:val="p"/>
          </m:rPr>
          <m:t>,</m:t>
        </m:r>
        <m:r>
          <m:t>1</m:t>
        </m:r>
        <m:r>
          <m:rPr>
            <m:sty m:val="p"/>
          </m:rPr>
          <m:t>)</m:t>
        </m:r>
      </m:oMath>
      <w:r>
        <w:t xml:space="preserve"> </w:t>
      </w:r>
      <w:r>
        <w:rPr>
          <w:rFonts w:hint="eastAsia"/>
        </w:rPr>
        <w:t xml:space="preserve">之间，其平滑的</w:t>
      </w:r>
      <w:r>
        <w:t xml:space="preserve"> S </w:t>
      </w:r>
      <w:r>
        <w:rPr>
          <w:rFonts w:hint="eastAsia"/>
        </w:rPr>
        <w:t xml:space="preserve">型曲线输出区间与电池SOH的百分比标度天然契合。在代码实现层面，这就相当于对输入的多维数组进行了一次非线性的映射变换。</w:t>
      </w:r>
    </w:p>
    <w:bookmarkEnd w:id="12"/>
    <w:bookmarkStart w:id="13" w:name="基于反向传播的梯度更新"/>
    <w:p>
      <w:pPr>
        <w:pStyle w:val="Heading2"/>
      </w:pPr>
      <w:r>
        <w:rPr>
          <w:rFonts w:hint="eastAsia"/>
        </w:rPr>
        <w:t xml:space="preserve">基于反向传播的梯度更新</w:t>
      </w:r>
    </w:p>
    <w:p>
      <w:pPr>
        <w:pStyle w:val="FirstParagraph"/>
      </w:pPr>
      <w:r>
        <w:rPr>
          <w:rFonts w:hint="eastAsia"/>
        </w:rPr>
        <w:t xml:space="preserve">模型初始化时预测误差极大。算法利用微积分中的链式求导法则（Chain</w:t>
      </w:r>
      <w:r>
        <w:t xml:space="preserve"> </w:t>
      </w:r>
      <w:r>
        <w:rPr>
          <w:rFonts w:hint="eastAsia"/>
        </w:rPr>
        <w:t xml:space="preserve">Rule），自输出层向后逐层逆推，计算总误差函数对网络中每一个权重的偏导数（即梯度</w:t>
      </w:r>
      <w:r>
        <w:t xml:space="preserve"> </w:t>
      </w:r>
      <m:oMath>
        <m:r>
          <m:rPr>
            <m:sty m:val="p"/>
          </m:rPr>
          <m:t>∇</m:t>
        </m:r>
      </m:oMath>
      <w:r>
        <w:rPr>
          <w:rFonts w:hint="eastAsia"/>
        </w:rPr>
        <w:t xml:space="preserve">）。随后，采用梯度下降法（Gradient</w:t>
      </w:r>
      <w:r>
        <w:t xml:space="preserve"> </w:t>
      </w:r>
      <w:r>
        <w:rPr>
          <w:rFonts w:hint="eastAsia"/>
        </w:rPr>
        <w:t xml:space="preserve">Descent）对权重进行更新：</w:t>
      </w:r>
    </w:p>
    <w:p>
      <w:pPr>
        <w:pStyle w:val="BodyText"/>
      </w:pPr>
      <m:oMathPara>
        <m:oMathParaPr>
          <m:jc m:val="center"/>
        </m:oMathParaPr>
        <m:oMath>
          <m:sSub>
            <m:e>
              <m:r>
                <m:t>W</m:t>
              </m:r>
            </m:e>
            <m:sub>
              <m:r>
                <m:t>n</m:t>
              </m:r>
              <m:r>
                <m:t>e</m:t>
              </m:r>
              <m:r>
                <m:t>w</m:t>
              </m:r>
            </m:sub>
          </m:sSub>
          <m:r>
            <m:rPr>
              <m:sty m:val="p"/>
            </m:rPr>
            <m:t>=</m:t>
          </m:r>
          <m:sSub>
            <m:e>
              <m:r>
                <m:t>W</m:t>
              </m:r>
            </m:e>
            <m:sub>
              <m:r>
                <m:t>o</m:t>
              </m:r>
              <m:r>
                <m:t>l</m:t>
              </m:r>
              <m:r>
                <m:t>d</m:t>
              </m:r>
            </m:sub>
          </m:sSub>
          <m:r>
            <m:rPr>
              <m:sty m:val="p"/>
            </m:rPr>
            <m:t>−</m:t>
          </m:r>
          <m:r>
            <m:t>η</m:t>
          </m:r>
          <m:r>
            <m:rPr>
              <m:sty m:val="p"/>
            </m:rPr>
            <m:t>⋅</m:t>
          </m:r>
          <m:f>
            <m:fPr>
              <m:type m:val="bar"/>
            </m:fPr>
            <m:num>
              <m:r>
                <m:rPr>
                  <m:sty m:val="p"/>
                </m:rPr>
                <m:t>∂</m:t>
              </m:r>
              <m:r>
                <m:t>E</m:t>
              </m:r>
            </m:num>
            <m:den>
              <m:r>
                <m:rPr>
                  <m:sty m:val="p"/>
                </m:rPr>
                <m:t>∂</m:t>
              </m:r>
              <m:r>
                <m:t>W</m:t>
              </m:r>
            </m:den>
          </m:f>
        </m:oMath>
      </m:oMathPara>
    </w:p>
    <w:p>
      <w:pPr>
        <w:pStyle w:val="FirstParagraph"/>
      </w:pPr>
      <w:r>
        <w:rPr>
          <w:rFonts w:hint="eastAsia"/>
        </w:rPr>
        <w:t xml:space="preserve">其中学习率</w:t>
      </w:r>
      <w:r>
        <w:t xml:space="preserve"> </w:t>
      </w:r>
      <m:oMath>
        <m:r>
          <m:t>η</m:t>
        </m:r>
      </m:oMath>
      <w:r>
        <w:t xml:space="preserve"> </w:t>
      </w:r>
      <w:r>
        <w:rPr>
          <w:rFonts w:hint="eastAsia"/>
        </w:rPr>
        <w:t xml:space="preserve">控制着每次迭代逼近目标的步长。程序通过不断执行</w:t>
      </w:r>
      <w:r>
        <w:rPr>
          <w:rFonts w:hint="eastAsia"/>
        </w:rPr>
        <w:t xml:space="preserve">“前向计算误差、反向求导、更新权重”</w:t>
      </w:r>
      <w:r>
        <w:rPr>
          <w:rFonts w:hint="eastAsia"/>
        </w:rPr>
        <w:t xml:space="preserve">的</w:t>
      </w:r>
      <w:r>
        <w:t xml:space="preserve"> ‘while‘ </w:t>
      </w:r>
      <w:r>
        <w:rPr>
          <w:rFonts w:hint="eastAsia"/>
        </w:rPr>
        <w:t xml:space="preserve">循环机制，一点点修正模型参数，直至损失函数的输出结果收敛，模型即完成了对电池老化规律的学习。</w:t>
      </w:r>
    </w:p>
    <w:bookmarkEnd w:id="13"/>
    <w:bookmarkEnd w:id="14"/>
    <w:bookmarkStart w:id="16" w:name="实验评估逻辑与特性对比"/>
    <w:p>
      <w:pPr>
        <w:pStyle w:val="Heading1"/>
      </w:pPr>
      <w:r>
        <w:rPr>
          <w:rFonts w:hint="eastAsia"/>
        </w:rPr>
        <w:t xml:space="preserve">实验评估逻辑与特性对比</w:t>
      </w:r>
    </w:p>
    <w:bookmarkStart w:id="15" w:name="评估指标与验证机制"/>
    <w:p>
      <w:pPr>
        <w:pStyle w:val="Heading2"/>
      </w:pPr>
      <w:r>
        <w:rPr>
          <w:rFonts w:hint="eastAsia"/>
        </w:rPr>
        <w:t xml:space="preserve">评估指标与验证机制</w:t>
      </w:r>
    </w:p>
    <w:p>
      <w:pPr>
        <w:pStyle w:val="FirstParagraph"/>
      </w:pPr>
      <w:r>
        <w:rPr>
          <w:rFonts w:hint="eastAsia"/>
        </w:rPr>
        <w:t xml:space="preserve">为客观评价算法性能，需将采集的时序数据拆分为训练集（通常占70%）与测试集（占30%）。这种类似于</w:t>
      </w:r>
      <w:r>
        <w:rPr>
          <w:rFonts w:hint="eastAsia"/>
        </w:rPr>
        <w:t xml:space="preserve">“留出法”</w:t>
      </w:r>
      <w:r>
        <w:rPr>
          <w:rFonts w:hint="eastAsia"/>
        </w:rPr>
        <w:t xml:space="preserve">（Hold-out）的验证机制，能够严谨地考核模型面对未知数据时的泛化能力。本研究采用均方根误差（RMSE）作为量化精度的核心数学指标：</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rPr>
          <w:rFonts w:hint="eastAsia"/>
        </w:rPr>
        <w:t xml:space="preserve">其中，</w:t>
      </w:r>
      <m:oMath>
        <m:sSub>
          <m:e>
            <m:r>
              <m:t>y</m:t>
            </m:r>
          </m:e>
          <m:sub>
            <m:r>
              <m:t>i</m:t>
            </m:r>
          </m:sub>
        </m:sSub>
      </m:oMath>
      <w:r>
        <w:t xml:space="preserve"> </w:t>
      </w:r>
      <w:r>
        <w:rPr>
          <w:rFonts w:hint="eastAsia"/>
        </w:rPr>
        <w:t xml:space="preserve">为真实值，</w:t>
      </w:r>
      <m:oMath>
        <m:sSub>
          <m:e>
            <m:acc>
              <m:accPr>
                <m:chr m:val="̂"/>
              </m:accPr>
              <m:e>
                <m:r>
                  <m:t>y</m:t>
                </m:r>
              </m:e>
            </m:acc>
          </m:e>
          <m:sub>
            <m:r>
              <m:t>i</m:t>
            </m:r>
          </m:sub>
        </m:sSub>
      </m:oMath>
      <w:r>
        <w:t xml:space="preserve"> </w:t>
      </w:r>
      <w:r>
        <w:rPr>
          <w:rFonts w:hint="eastAsia"/>
        </w:rPr>
        <w:t xml:space="preserve">为预测值。RMSE</w:t>
      </w:r>
      <w:r>
        <w:t xml:space="preserve"> </w:t>
      </w:r>
      <w:r>
        <w:rPr>
          <w:rFonts w:hint="eastAsia"/>
        </w:rPr>
        <w:t xml:space="preserve">放大了个别极端预测偏差的影响，其数值越逼近零，表明算法对非线性老化特征的整体捕捉能力越强。</w:t>
      </w:r>
    </w:p>
    <w:p>
      <w:pPr>
        <w:pStyle w:val="BodyText"/>
      </w:pPr>
      <w:r>
        <w:t xml:space="preserve">Tab.1 Feature comparison between data-driven algorithms and physical empirical models</w:t>
      </w:r>
    </w:p>
    <w:p>
      <w:pPr>
        <w:pStyle w:val="TableCaption"/>
      </w:pPr>
      <w:r>
        <w:rPr>
          <w:rFonts w:hint="eastAsia"/>
        </w:rPr>
        <w:t xml:space="preserve">数据驱动算法与物理经验模型的特性对比</w:t>
      </w:r>
    </w:p>
    <w:tbl>
      <w:tblPr>
        <w:tblStyle w:val="Table"/>
        <w:tblW w:type="auto" w:w="0"/>
        <w:tblLook w:firstRow="1" w:lastRow="0" w:firstColumn="0" w:lastColumn="0" w:noHBand="0" w:noVBand="0" w:val="0020"/>
        <w:tblCaption w:val="数据驱动算法与物理经验模型的特性对比"/>
      </w:tblPr>
      <w:tblGrid>
        <w:gridCol w:w="2640"/>
        <w:gridCol w:w="2640"/>
        <w:gridCol w:w="2640"/>
      </w:tblGrid>
      <w:tr>
        <w:trPr>
          <w:tblHeader w:val="on"/>
        </w:trPr>
        <w:tc>
          <w:tcPr/>
          <w:p>
            <w:pPr>
              <w:pStyle w:val="Compact"/>
              <w:jc w:val="left"/>
            </w:pPr>
            <w:r>
              <w:rPr>
                <w:rFonts w:hint="eastAsia"/>
              </w:rPr>
              <w:t xml:space="preserve">方法类别</w:t>
            </w:r>
          </w:p>
        </w:tc>
        <w:tc>
          <w:tcPr/>
          <w:p>
            <w:pPr>
              <w:pStyle w:val="Compact"/>
              <w:jc w:val="center"/>
            </w:pPr>
            <w:r>
              <w:rPr>
                <w:rFonts w:hint="eastAsia"/>
              </w:rPr>
              <w:t xml:space="preserve">数学底层逻辑</w:t>
            </w:r>
          </w:p>
        </w:tc>
        <w:tc>
          <w:tcPr/>
          <w:p>
            <w:pPr>
              <w:pStyle w:val="Compact"/>
              <w:jc w:val="center"/>
            </w:pPr>
            <w:r>
              <w:rPr>
                <w:rFonts w:hint="eastAsia"/>
              </w:rPr>
              <w:t xml:space="preserve">工程应用与预期表现</w:t>
            </w:r>
          </w:p>
        </w:tc>
      </w:tr>
      <w:tr>
        <w:tc>
          <w:tcPr/>
          <w:p>
            <w:pPr>
              <w:pStyle w:val="Compact"/>
              <w:jc w:val="left"/>
            </w:pPr>
            <w:r>
              <w:rPr>
                <w:rFonts w:hint="eastAsia"/>
              </w:rPr>
              <w:t xml:space="preserve">物理经验模型</w:t>
            </w:r>
          </w:p>
        </w:tc>
        <w:tc>
          <w:tcPr/>
          <w:p>
            <w:pPr>
              <w:pStyle w:val="Compact"/>
              <w:jc w:val="center"/>
            </w:pPr>
            <w:r>
              <w:rPr>
                <w:rFonts w:hint="eastAsia"/>
              </w:rPr>
              <w:t xml:space="preserve">高阶偏微分方程求解</w:t>
            </w:r>
          </w:p>
        </w:tc>
        <w:tc>
          <w:tcPr/>
          <w:p>
            <w:pPr>
              <w:pStyle w:val="Compact"/>
              <w:jc w:val="center"/>
            </w:pPr>
            <w:r>
              <w:rPr>
                <w:rFonts w:hint="eastAsia"/>
              </w:rPr>
              <w:t xml:space="preserve">机理明确，但环境适应性与抗噪能力弱</w:t>
            </w:r>
          </w:p>
        </w:tc>
      </w:tr>
      <w:tr>
        <w:tc>
          <w:tcPr/>
          <w:p>
            <w:pPr>
              <w:pStyle w:val="Compact"/>
              <w:jc w:val="left"/>
            </w:pPr>
            <w:r>
              <w:rPr>
                <w:rFonts w:hint="eastAsia"/>
              </w:rPr>
              <w:t xml:space="preserve">BP神经网络模型</w:t>
            </w:r>
          </w:p>
        </w:tc>
        <w:tc>
          <w:tcPr/>
          <w:p>
            <w:pPr>
              <w:pStyle w:val="Compact"/>
              <w:jc w:val="center"/>
            </w:pPr>
            <w:r>
              <w:rPr>
                <w:rFonts w:hint="eastAsia"/>
              </w:rPr>
              <w:t xml:space="preserve">矩阵线性组合与多元求导</w:t>
            </w:r>
          </w:p>
        </w:tc>
        <w:tc>
          <w:tcPr/>
          <w:p>
            <w:pPr>
              <w:pStyle w:val="Compact"/>
              <w:jc w:val="center"/>
            </w:pPr>
            <w:r>
              <w:rPr>
                <w:rFonts w:hint="eastAsia"/>
              </w:rPr>
              <w:t xml:space="preserve">规避复杂机理，动态工况下非线性拟合优异</w:t>
            </w:r>
          </w:p>
        </w:tc>
      </w:tr>
    </w:tbl>
    <w:bookmarkEnd w:id="15"/>
    <w:bookmarkEnd w:id="16"/>
    <w:bookmarkStart w:id="17" w:name="结论"/>
    <w:p>
      <w:pPr>
        <w:pStyle w:val="Heading1"/>
      </w:pPr>
      <w:r>
        <w:rPr>
          <w:rFonts w:hint="eastAsia"/>
        </w:rPr>
        <w:t xml:space="preserve">结论</w:t>
      </w:r>
    </w:p>
    <w:p>
      <w:pPr>
        <w:pStyle w:val="FirstParagraph"/>
      </w:pPr>
      <w:r>
        <w:rPr>
          <w:rFonts w:hint="eastAsia"/>
        </w:rPr>
        <w:t xml:space="preserve">本文在国际权威学术期刊论证的数据驱动范式启发下，结合基础的计算机编程逻辑，初步探索了BP神经网络在智能汽车动力电池SOH预测中的可行性。研究表明：</w:t>
      </w:r>
      <w:r>
        <w:t xml:space="preserve"> </w:t>
      </w:r>
      <w:r>
        <w:t xml:space="preserve">1) </w:t>
      </w:r>
      <w:r>
        <w:rPr>
          <w:rFonts w:hint="eastAsia"/>
        </w:rPr>
        <w:t xml:space="preserve">通过科学的时序数据清洗与特征归一化，可将复杂的电池内部电化学衰变，成功转化为纯数据分析任务。这种处理方式有效化解了跨学科研究的理论坚冰。</w:t>
      </w:r>
      <w:r>
        <w:t xml:space="preserve"> </w:t>
      </w:r>
      <w:r>
        <w:t xml:space="preserve">2) </w:t>
      </w:r>
      <w:r>
        <w:rPr>
          <w:rFonts w:hint="eastAsia"/>
        </w:rPr>
        <w:t xml:space="preserve">凭借严密的链式求导纠错机制与矩阵迭代运算，数据驱动模型展现出了较好的非线性拟合精度。本次学术初探不仅是对代码逻辑的综合演练，更为未来在计算机科学专业中进一步深造高级人工智能算法提供了实践支撑。</w:t>
      </w:r>
    </w:p>
    <w:p>
      <w:pPr>
        <w:numPr>
          <w:ilvl w:val="0"/>
          <w:numId w:val="1001"/>
        </w:numPr>
      </w:pPr>
      <w:r>
        <w:t xml:space="preserve">] SEVERSON K A, ATTIA P M, JIN N, et al. Data-driven prediction of battery cycle life before capacity degradation[J]. Nature Energy, 2019, 4(5): 383-391.</w:t>
      </w:r>
    </w:p>
    <w:p>
      <w:pPr>
        <w:numPr>
          <w:ilvl w:val="0"/>
          <w:numId w:val="1001"/>
        </w:numPr>
      </w:pPr>
      <w:r>
        <w:t xml:space="preserve">] NG M F, ZHAO J, YAN Q, et al. Predicting the state of health and remaining useful life of lithium-ion batteries using machine learning[J]. Nature Machine Intelligence, 2020, 2(3): 161-170.</w:t>
      </w:r>
    </w:p>
    <w:p>
      <w:pPr>
        <w:numPr>
          <w:ilvl w:val="0"/>
          <w:numId w:val="1001"/>
        </w:numPr>
      </w:pPr>
      <w:r>
        <w:t xml:space="preserve">] </w:t>
      </w:r>
      <w:r>
        <w:rPr>
          <w:rFonts w:hint="eastAsia"/>
        </w:rPr>
        <w:t xml:space="preserve">熊瑞,</w:t>
      </w:r>
      <w:r>
        <w:t xml:space="preserve"> </w:t>
      </w:r>
      <w:r>
        <w:rPr>
          <w:rFonts w:hint="eastAsia"/>
        </w:rPr>
        <w:t xml:space="preserve">孙逢春,</w:t>
      </w:r>
      <w:r>
        <w:t xml:space="preserve"> </w:t>
      </w:r>
      <w:r>
        <w:rPr>
          <w:rFonts w:hint="eastAsia"/>
        </w:rPr>
        <w:t xml:space="preserve">何洪文.</w:t>
      </w:r>
      <w:r>
        <w:t xml:space="preserve"> </w:t>
      </w:r>
      <w:r>
        <w:rPr>
          <w:rFonts w:hint="eastAsia"/>
        </w:rPr>
        <w:t xml:space="preserve">电动汽车动力电池健康状态综合评价框架[J].</w:t>
      </w:r>
      <w:r>
        <w:t xml:space="preserve"> </w:t>
      </w:r>
      <w:r>
        <w:rPr>
          <w:rFonts w:hint="eastAsia"/>
        </w:rPr>
        <w:t xml:space="preserve">机械工程学报,</w:t>
      </w:r>
      <w:r>
        <w:t xml:space="preserve"> 2018, 54(14): 114-128.</w:t>
      </w:r>
    </w:p>
    <w:p>
      <w:pPr>
        <w:numPr>
          <w:ilvl w:val="0"/>
          <w:numId w:val="1001"/>
        </w:numPr>
      </w:pPr>
      <w:r>
        <w:t xml:space="preserve">] </w:t>
      </w:r>
      <w:r>
        <w:rPr>
          <w:rFonts w:hint="eastAsia"/>
        </w:rPr>
        <w:t xml:space="preserve">李哲,</w:t>
      </w:r>
      <w:r>
        <w:t xml:space="preserve"> </w:t>
      </w:r>
      <w:r>
        <w:rPr>
          <w:rFonts w:hint="eastAsia"/>
        </w:rPr>
        <w:t xml:space="preserve">卢兰光,</w:t>
      </w:r>
      <w:r>
        <w:t xml:space="preserve"> </w:t>
      </w:r>
      <w:r>
        <w:rPr>
          <w:rFonts w:hint="eastAsia"/>
        </w:rPr>
        <w:t xml:space="preserve">欧阳明高.</w:t>
      </w:r>
      <w:r>
        <w:t xml:space="preserve"> </w:t>
      </w:r>
      <w:r>
        <w:rPr>
          <w:rFonts w:hint="eastAsia"/>
        </w:rPr>
        <w:t xml:space="preserve">动力电池状态估计的数据驱动算法综述[J].</w:t>
      </w:r>
      <w:r>
        <w:t xml:space="preserve"> </w:t>
      </w:r>
      <w:r>
        <w:rPr>
          <w:rFonts w:hint="eastAsia"/>
        </w:rPr>
        <w:t xml:space="preserve">汽车工程,</w:t>
      </w:r>
      <w:r>
        <w:t xml:space="preserve"> 2020, 42(10): 1345-1356.</w:t>
      </w:r>
    </w:p>
    <w:p>
      <w:pPr>
        <w:numPr>
          <w:ilvl w:val="0"/>
          <w:numId w:val="1001"/>
        </w:numPr>
      </w:pPr>
      <w:r>
        <w:t xml:space="preserve">] </w:t>
      </w:r>
      <w:r>
        <w:rPr>
          <w:rFonts w:hint="eastAsia"/>
        </w:rPr>
        <w:t xml:space="preserve">刘建华,</w:t>
      </w:r>
      <w:r>
        <w:t xml:space="preserve"> </w:t>
      </w:r>
      <w:r>
        <w:rPr>
          <w:rFonts w:hint="eastAsia"/>
        </w:rPr>
        <w:t xml:space="preserve">陈维.</w:t>
      </w:r>
      <w:r>
        <w:t xml:space="preserve"> </w:t>
      </w:r>
      <w:r>
        <w:rPr>
          <w:rFonts w:hint="eastAsia"/>
        </w:rPr>
        <w:t xml:space="preserve">基于深度学习的时序数据挖掘技术应用[J].</w:t>
      </w:r>
      <w:r>
        <w:t xml:space="preserve"> </w:t>
      </w:r>
      <w:r>
        <w:rPr>
          <w:rFonts w:hint="eastAsia"/>
        </w:rPr>
        <w:t xml:space="preserve">计算机学报,</w:t>
      </w:r>
      <w:r>
        <w:t xml:space="preserve"> 2021, 44(8): 1560-1575.</w:t>
      </w:r>
    </w:p>
    <w:p>
      <w:pPr>
        <w:pStyle w:val="FirstParagraph"/>
      </w:pPr>
      <w:r>
        <w:br/>
      </w:r>
      <w:r>
        <w:rPr>
          <w:rFonts w:hint="eastAsia"/>
        </w:rPr>
        <w:t xml:space="preserve">余震宇</w:t>
      </w:r>
      <w:r>
        <w:br/>
      </w:r>
      <w:r>
        <w:rPr>
          <w:rFonts w:hint="eastAsia"/>
        </w:rPr>
        <w:t xml:space="preserve">（北京交通大学</w:t>
      </w:r>
      <w:r>
        <w:t xml:space="preserve"> </w:t>
      </w:r>
      <w:r>
        <w:rPr>
          <w:rFonts w:hint="eastAsia"/>
        </w:rPr>
        <w:t xml:space="preserve">计算机与信息技术学院，北京，100044）</w:t>
      </w:r>
      <w:r>
        <w:br/>
      </w:r>
      <w:r>
        <w:t xml:space="preserve">YU Zhenyu (Andrew Zhenyu YU)</w:t>
      </w:r>
      <w:r>
        <w:br/>
      </w:r>
      <w:r>
        <w:t xml:space="preserve">(School of Computer and Information Technology, Beijing Jiaotong University, Beijing 100044, China)</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2026-05-04T14:41:43Z</dcterms:created>
  <dcterms:modified xsi:type="dcterms:W3CDTF">2026-05-04T14:41:43Z</dcterms:modified>
</cp:coreProperties>
</file>

<file path=docProps/custom.xml><?xml version="1.0" encoding="utf-8"?>
<Properties xmlns="http://schemas.openxmlformats.org/officeDocument/2006/custom-properties" xmlns:vt="http://schemas.openxmlformats.org/officeDocument/2006/docPropsVTypes"/>
</file>