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265AD44A" w:rsidR="00F67249" w:rsidRPr="00C36CE7" w:rsidRDefault="00F67249" w:rsidP="00F6724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</w:t>
      </w:r>
      <w:r w:rsidR="00556782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565265C5" w:rsidR="00033432" w:rsidRPr="00C36CE7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</w:t>
      </w:r>
      <w:r w:rsidR="00556782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5AD22797" w:rsidR="00BA5CF5" w:rsidRPr="00C36CE7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 xml:space="preserve">в нотации </w:t>
      </w:r>
      <w:r w:rsidR="00C36CE7">
        <w:rPr>
          <w:rFonts w:ascii="Times New Roman" w:hAnsi="Times New Roman" w:cs="Times New Roman"/>
          <w:sz w:val="28"/>
          <w:lang w:val="en-US"/>
        </w:rPr>
        <w:t>WFD</w:t>
      </w:r>
      <w:r w:rsidR="00C36CE7" w:rsidRPr="00C36CE7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5AEEE2B9" w14:textId="77777777" w:rsidR="00036B54" w:rsidRDefault="00036B54" w:rsidP="00C65381">
      <w:pPr>
        <w:pStyle w:val="aa"/>
        <w:jc w:val="center"/>
        <w:rPr>
          <w:lang w:val="en-US"/>
        </w:rPr>
      </w:pPr>
      <w:r>
        <w:t xml:space="preserve">Составить WFD-диаграмму ниже представленного процесса Процесс «Согласовать отчет о выполненных работах с заказчиком» состоит из следующих операций: • автор отчета о выполненных работах (далее — Отчет) направляет руководителю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 • руководитель проекта проверяет корректность оформления Отчета в соответствии с требованиями договора. Затем, если все РТУ МИРЭА «Моделирование бизнес-процессов» Институт ИТ, Коллектив кафедры ППИ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 • согласующие лица со стороны заказчика должны рассмотреть Отчет в срок, не превышающий семи рабочих дней, если иное не указано в договоре; • 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па подпись директору компании. При наличии замечаний руководитель проекта передает Отчет на доработку автору; • 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</w:t>
      </w:r>
      <w:r>
        <w:lastRenderedPageBreak/>
        <w:t>будет приведен лист замечаний. После того, как новая версия Отчета подготовлена, его снова передают руководителю проекта для согласования с заказчиком.</w:t>
      </w:r>
    </w:p>
    <w:p w14:paraId="779CDAF8" w14:textId="05FD8C5B" w:rsidR="00C65381" w:rsidRDefault="00036B54" w:rsidP="00C65381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6AFE2652" wp14:editId="3310F886">
            <wp:extent cx="3657600" cy="6438900"/>
            <wp:effectExtent l="0" t="0" r="0" b="0"/>
            <wp:docPr id="34695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5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711035E0" w:rsidR="00C65381" w:rsidRPr="00C36CE7" w:rsidRDefault="00C65381" w:rsidP="00C65381">
      <w:pPr>
        <w:pStyle w:val="aa"/>
        <w:jc w:val="center"/>
        <w:rPr>
          <w:bCs/>
          <w:lang w:val="en-US"/>
        </w:rPr>
      </w:pPr>
      <w:r>
        <w:rPr>
          <w:bCs/>
        </w:rPr>
        <w:t xml:space="preserve">Рисунок </w:t>
      </w:r>
      <w:r w:rsidR="008B7F98">
        <w:rPr>
          <w:bCs/>
          <w:lang w:val="en-US"/>
        </w:rPr>
        <w:t>1</w:t>
      </w:r>
      <w:r>
        <w:rPr>
          <w:bCs/>
        </w:rPr>
        <w:t xml:space="preserve"> – </w:t>
      </w:r>
      <w:r w:rsidR="00C36CE7">
        <w:rPr>
          <w:bCs/>
        </w:rPr>
        <w:t xml:space="preserve">диаграмма </w:t>
      </w:r>
      <w:r w:rsidR="00C36CE7">
        <w:rPr>
          <w:bCs/>
          <w:lang w:val="en-US"/>
        </w:rPr>
        <w:t>WFD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36B54"/>
    <w:rsid w:val="000D4341"/>
    <w:rsid w:val="00150BB2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671D8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6782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53592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8B7F98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36CE7"/>
    <w:rsid w:val="00C46684"/>
    <w:rsid w:val="00C65381"/>
    <w:rsid w:val="00C94E7D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Андрей Иванников</cp:lastModifiedBy>
  <cp:revision>3</cp:revision>
  <dcterms:created xsi:type="dcterms:W3CDTF">2024-12-11T13:51:00Z</dcterms:created>
  <dcterms:modified xsi:type="dcterms:W3CDTF">2024-12-11T13:52:00Z</dcterms:modified>
</cp:coreProperties>
</file>