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 AIR CONTACT CENTRE — TRANSFORMATION CASE FOR CHANGE</w:t>
      </w:r>
    </w:p>
    <w:p>
      <w:pPr>
        <w:pStyle w:val="Heading1"/>
      </w:pPr>
      <w:r>
        <w:t>Problem Statement</w:t>
      </w:r>
    </w:p>
    <w:p>
      <w:r>
        <w:t>Jo Air's contact centre is operating in a state of structural failure. The organisation runs four BPO partner sites (Manila, Cape Town, Dublin, Birmingham) with no unified operating model, no shared quality framework, and no integrated technology stack. The result is a service operation that is simultaneously expensive, unreliable, and deteriorating year-on-year.</w:t>
      </w:r>
    </w:p>
    <w:p>
      <w:pPr>
        <w:pStyle w:val="Heading1"/>
      </w:pPr>
      <w:r>
        <w:t>Evidence of Failure</w:t>
      </w:r>
    </w:p>
    <w:p>
      <w:pPr>
        <w:pStyle w:val="ListBullet"/>
      </w:pPr>
      <w:r>
        <w:t>FCR has declined from 62% (2022) to 46% (Q2 2024). Industry benchmark is 65%.</w:t>
      </w:r>
    </w:p>
    <w:p>
      <w:pPr>
        <w:pStyle w:val="ListBullet"/>
      </w:pPr>
      <w:r>
        <w:t>Agent attrition is 38% — more than double the industry average of 18%.</w:t>
      </w:r>
    </w:p>
    <w:p>
      <w:pPr>
        <w:pStyle w:val="ListBullet"/>
      </w:pPr>
      <w:r>
        <w:t>Agents access between 8 and 11 separate systems per customer contact.</w:t>
      </w:r>
    </w:p>
    <w:p>
      <w:pPr>
        <w:pStyle w:val="ListBullet"/>
      </w:pPr>
      <w:r>
        <w:t>During the August 2023 disruption event, average wait time was 47 minutes.</w:t>
      </w:r>
    </w:p>
    <w:p>
      <w:pPr>
        <w:pStyle w:val="ListBullet"/>
      </w:pPr>
      <w:r>
        <w:t>3 formal GDPR regulatory breaches recorded in the past 18 months.</w:t>
      </w:r>
    </w:p>
    <w:p>
      <w:pPr>
        <w:pStyle w:val="ListBullet"/>
      </w:pPr>
      <w:r>
        <w:t>Cost per contact has risen from £6.20 to £8.40 — a 35% increase in 2 years.</w:t>
      </w:r>
    </w:p>
    <w:p>
      <w:pPr>
        <w:pStyle w:val="ListBullet"/>
      </w:pPr>
      <w:r>
        <w:t>Supervisor ratio has degraded from 1:15 to 1:24 following headcount reductions.</w:t>
      </w:r>
    </w:p>
    <w:p>
      <w:pPr>
        <w:pStyle w:val="Heading1"/>
      </w:pPr>
      <w:r>
        <w:t>Structural Root Causes</w:t>
      </w:r>
    </w:p>
    <w:p>
      <w:r>
        <w:t>The performance failures are not agent-level problems. They are systemic. The organisation has under-invested in technology, failed to standardise processes across BPO partners, and allowed supervisory capability to erode. Without structural intervention, performance will continue to deteriorate.</w:t>
      </w:r>
    </w:p>
    <w:p>
      <w:pPr>
        <w:pStyle w:val="Heading1"/>
      </w:pPr>
      <w:r>
        <w:t>What Good Looks Like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Current State</w:t>
            </w:r>
          </w:p>
        </w:tc>
        <w:tc>
          <w:tcPr>
            <w:tcW w:type="dxa" w:w="2880"/>
          </w:tcPr>
          <w:p>
            <w:r>
              <w:t>Target State</w:t>
            </w:r>
          </w:p>
        </w:tc>
      </w:tr>
      <w:tr>
        <w:tc>
          <w:tcPr>
            <w:tcW w:type="dxa" w:w="2880"/>
          </w:tcPr>
          <w:p>
            <w:r>
              <w:t>FCR</w:t>
            </w:r>
          </w:p>
        </w:tc>
        <w:tc>
          <w:tcPr>
            <w:tcW w:type="dxa" w:w="2880"/>
          </w:tcPr>
          <w:p>
            <w:r>
              <w:t>46%</w:t>
            </w:r>
          </w:p>
        </w:tc>
        <w:tc>
          <w:tcPr>
            <w:tcW w:type="dxa" w:w="2880"/>
          </w:tcPr>
          <w:p>
            <w:r>
              <w:t>70%+</w:t>
            </w:r>
          </w:p>
        </w:tc>
      </w:tr>
      <w:tr>
        <w:tc>
          <w:tcPr>
            <w:tcW w:type="dxa" w:w="2880"/>
          </w:tcPr>
          <w:p>
            <w:r>
              <w:t>AHT</w:t>
            </w:r>
          </w:p>
        </w:tc>
        <w:tc>
          <w:tcPr>
            <w:tcW w:type="dxa" w:w="2880"/>
          </w:tcPr>
          <w:p>
            <w:r>
              <w:t>7.6 min</w:t>
            </w:r>
          </w:p>
        </w:tc>
        <w:tc>
          <w:tcPr>
            <w:tcW w:type="dxa" w:w="2880"/>
          </w:tcPr>
          <w:p>
            <w:r>
              <w:t>5.0 min</w:t>
            </w:r>
          </w:p>
        </w:tc>
      </w:tr>
      <w:tr>
        <w:tc>
          <w:tcPr>
            <w:tcW w:type="dxa" w:w="2880"/>
          </w:tcPr>
          <w:p>
            <w:r>
              <w:t>CSAT</w:t>
            </w:r>
          </w:p>
        </w:tc>
        <w:tc>
          <w:tcPr>
            <w:tcW w:type="dxa" w:w="2880"/>
          </w:tcPr>
          <w:p>
            <w:r>
              <w:t>2.9 / 5.0</w:t>
            </w:r>
          </w:p>
        </w:tc>
        <w:tc>
          <w:tcPr>
            <w:tcW w:type="dxa" w:w="2880"/>
          </w:tcPr>
          <w:p>
            <w:r>
              <w:t>4.2 / 5.0</w:t>
            </w:r>
          </w:p>
        </w:tc>
      </w:tr>
      <w:tr>
        <w:tc>
          <w:tcPr>
            <w:tcW w:type="dxa" w:w="2880"/>
          </w:tcPr>
          <w:p>
            <w:r>
              <w:t>Attrition</w:t>
            </w:r>
          </w:p>
        </w:tc>
        <w:tc>
          <w:tcPr>
            <w:tcW w:type="dxa" w:w="2880"/>
          </w:tcPr>
          <w:p>
            <w:r>
              <w:t>38%</w:t>
            </w:r>
          </w:p>
        </w:tc>
        <w:tc>
          <w:tcPr>
            <w:tcW w:type="dxa" w:w="2880"/>
          </w:tcPr>
          <w:p>
            <w:r>
              <w:t>18%</w:t>
            </w:r>
          </w:p>
        </w:tc>
      </w:tr>
      <w:tr>
        <w:tc>
          <w:tcPr>
            <w:tcW w:type="dxa" w:w="2880"/>
          </w:tcPr>
          <w:p>
            <w:r>
              <w:t>IVR Containment</w:t>
            </w:r>
          </w:p>
        </w:tc>
        <w:tc>
          <w:tcPr>
            <w:tcW w:type="dxa" w:w="2880"/>
          </w:tcPr>
          <w:p>
            <w:r>
              <w:t>19%</w:t>
            </w:r>
          </w:p>
        </w:tc>
        <w:tc>
          <w:tcPr>
            <w:tcW w:type="dxa" w:w="2880"/>
          </w:tcPr>
          <w:p>
            <w:r>
              <w:t>45%</w:t>
            </w:r>
          </w:p>
        </w:tc>
      </w:tr>
      <w:tr>
        <w:tc>
          <w:tcPr>
            <w:tcW w:type="dxa" w:w="2880"/>
          </w:tcPr>
          <w:p>
            <w:r>
              <w:t>Escalation Rate</w:t>
            </w:r>
          </w:p>
        </w:tc>
        <w:tc>
          <w:tcPr>
            <w:tcW w:type="dxa" w:w="2880"/>
          </w:tcPr>
          <w:p>
            <w:r>
              <w:t>33%</w:t>
            </w:r>
          </w:p>
        </w:tc>
        <w:tc>
          <w:tcPr>
            <w:tcW w:type="dxa" w:w="2880"/>
          </w:tcPr>
          <w:p>
            <w:r>
              <w:t>12%</w:t>
            </w:r>
          </w:p>
        </w:tc>
      </w:tr>
    </w:tbl>
    <w:p>
      <w:pPr>
        <w:pStyle w:val="Heading1"/>
      </w:pPr>
      <w:r>
        <w:t>Recommended Interventions</w:t>
      </w:r>
    </w:p>
    <w:p>
      <w:r>
        <w:rPr>
          <w:b/>
        </w:rPr>
        <w:t xml:space="preserve">Unified Agent Desktop: </w:t>
      </w:r>
      <w:r>
        <w:t>Single pane of glass across all customer systems. Reduces AHT by estimated 90 seconds per contact.</w:t>
      </w:r>
    </w:p>
    <w:p>
      <w:r>
        <w:rPr>
          <w:b/>
        </w:rPr>
        <w:t xml:space="preserve">BPO Quality Standardisation: </w:t>
      </w:r>
      <w:r>
        <w:t>Shared scorecard, shared training curriculum, monthly cross-site calibration.</w:t>
      </w:r>
    </w:p>
    <w:p>
      <w:r>
        <w:rPr>
          <w:b/>
        </w:rPr>
        <w:t xml:space="preserve">IVR Self-Service Rebuild: </w:t>
      </w:r>
      <w:r>
        <w:t>Redesign IVR journeys to achieve 45% containment. Reduce live contact volume by 26%.</w:t>
      </w:r>
    </w:p>
    <w:p>
      <w:r>
        <w:rPr>
          <w:b/>
        </w:rPr>
        <w:t xml:space="preserve">Supervisor Ratio Restoration: </w:t>
      </w:r>
      <w:r>
        <w:t>Return to 1:15 ratio. Weekly coaching. Quality correlation to CSAT is 0.78.</w:t>
      </w:r>
    </w:p>
    <w:p>
      <w:r>
        <w:rPr>
          <w:b/>
        </w:rPr>
        <w:t xml:space="preserve">Compliance Remediation: </w:t>
      </w:r>
      <w:r>
        <w:t>Mandatory GDPR refresher for all agents within 30 days. Automate compliance attestation.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