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937"/>
          <w:sz w:val="96"/>
        </w:rPr>
        <w:t>Log</w:t>
      </w:r>
      <w:r>
        <w:rPr>
          <w:b/>
          <w:color w:val="5FA32E"/>
          <w:sz w:val="96"/>
        </w:rPr>
        <w:t>H</w:t>
      </w:r>
      <w:r>
        <w:rPr>
          <w:b/>
          <w:color w:val="1F2937"/>
          <w:sz w:val="96"/>
        </w:rPr>
        <w:t>ub</w:t>
      </w:r>
    </w:p>
    <w:p>
      <w:pPr>
        <w:jc w:val="center"/>
      </w:pPr>
      <w:r>
        <w:rPr>
          <w:color w:val="6B7280"/>
          <w:sz w:val="20"/>
        </w:rPr>
        <w:t>SUA LOGÍSTICA NUM SÓ LUGAR</w:t>
      </w:r>
    </w:p>
    <w:p/>
    <w:p>
      <w:pPr>
        <w:jc w:val="center"/>
      </w:pPr>
      <w:r>
        <w:rPr>
          <w:b/>
          <w:color w:val="1F2937"/>
          <w:sz w:val="44"/>
        </w:rPr>
        <w:t>Procedimentos Operacionais Padrão (POP)</w:t>
      </w:r>
    </w:p>
    <w:p>
      <w:pPr>
        <w:jc w:val="center"/>
      </w:pPr>
      <w:r>
        <w:rPr>
          <w:color w:val="6B7280"/>
          <w:sz w:val="24"/>
        </w:rPr>
        <w:t>Passo a passo de cada painel do sistema</w:t>
      </w:r>
    </w:p>
    <w:p/>
    <w:p/>
    <w:p>
      <w:pPr>
        <w:jc w:val="center"/>
      </w:pPr>
      <w:r>
        <w:rPr>
          <w:color w:val="6B7280"/>
          <w:sz w:val="20"/>
        </w:rPr>
        <w:t>Versão de 03/08/2026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2"/>
        </w:rPr>
        <w:t>Sumário</w:t>
      </w:r>
    </w:p>
    <w:p>
      <w:pPr>
        <w:spacing w:after="80"/>
      </w:pPr>
      <w:r>
        <w:rPr>
          <w:b/>
          <w:color w:val="5FA32E"/>
        </w:rPr>
        <w:t xml:space="preserve">POP 01   </w:t>
      </w:r>
      <w:r>
        <w:rPr>
          <w:color w:val="1F2937"/>
        </w:rPr>
        <w:t>Home — Painel Executivo</w:t>
      </w:r>
    </w:p>
    <w:p>
      <w:pPr>
        <w:spacing w:after="80"/>
      </w:pPr>
      <w:r>
        <w:rPr>
          <w:b/>
          <w:color w:val="5FA32E"/>
        </w:rPr>
        <w:t xml:space="preserve">POP 02   </w:t>
      </w:r>
      <w:r>
        <w:rPr>
          <w:color w:val="1F2937"/>
        </w:rPr>
        <w:t>Auditoria de CTe</w:t>
      </w:r>
    </w:p>
    <w:p>
      <w:pPr>
        <w:spacing w:after="80"/>
      </w:pPr>
      <w:r>
        <w:rPr>
          <w:b/>
          <w:color w:val="5FA32E"/>
        </w:rPr>
        <w:t xml:space="preserve">POP 03   </w:t>
      </w:r>
      <w:r>
        <w:rPr>
          <w:color w:val="1F2937"/>
        </w:rPr>
        <w:t>Frete sobre Faturamento (%NF)</w:t>
      </w:r>
    </w:p>
    <w:p>
      <w:pPr>
        <w:spacing w:after="80"/>
      </w:pPr>
      <w:r>
        <w:rPr>
          <w:b/>
          <w:color w:val="5FA32E"/>
        </w:rPr>
        <w:t xml:space="preserve">POP 04   </w:t>
      </w:r>
      <w:r>
        <w:rPr>
          <w:color w:val="1F2937"/>
        </w:rPr>
        <w:t>Conferência de Fatura</w:t>
      </w:r>
    </w:p>
    <w:p>
      <w:pPr>
        <w:spacing w:after="80"/>
      </w:pPr>
      <w:r>
        <w:rPr>
          <w:b/>
          <w:color w:val="5FA32E"/>
        </w:rPr>
        <w:t xml:space="preserve">POP 05   </w:t>
      </w:r>
      <w:r>
        <w:rPr>
          <w:color w:val="1F2937"/>
        </w:rPr>
        <w:t>Romaneio de Expedição</w:t>
      </w:r>
    </w:p>
    <w:p>
      <w:pPr>
        <w:spacing w:after="80"/>
      </w:pPr>
      <w:r>
        <w:rPr>
          <w:b/>
          <w:color w:val="5FA32E"/>
        </w:rPr>
        <w:t xml:space="preserve">POP 06   </w:t>
      </w:r>
      <w:r>
        <w:rPr>
          <w:color w:val="1F2937"/>
        </w:rPr>
        <w:t>Torre de Controle de Entregas</w:t>
      </w:r>
    </w:p>
    <w:p>
      <w:pPr>
        <w:spacing w:after="80"/>
      </w:pPr>
      <w:r>
        <w:rPr>
          <w:b/>
          <w:color w:val="5FA32E"/>
        </w:rPr>
        <w:t xml:space="preserve">POP 07   </w:t>
      </w:r>
      <w:r>
        <w:rPr>
          <w:color w:val="1F2937"/>
        </w:rPr>
        <w:t>Scorecard de Desempenho</w:t>
      </w:r>
    </w:p>
    <w:p>
      <w:pPr>
        <w:spacing w:after="80"/>
      </w:pPr>
      <w:r>
        <w:rPr>
          <w:b/>
          <w:color w:val="5FA32E"/>
        </w:rPr>
        <w:t xml:space="preserve">POP 08   </w:t>
      </w:r>
      <w:r>
        <w:rPr>
          <w:color w:val="1F2937"/>
        </w:rPr>
        <w:t>Simulador de Frete</w:t>
      </w:r>
    </w:p>
    <w:p>
      <w:pPr>
        <w:spacing w:after="80"/>
      </w:pPr>
      <w:r>
        <w:rPr>
          <w:b/>
          <w:color w:val="5FA32E"/>
        </w:rPr>
        <w:t xml:space="preserve">POP 09   </w:t>
      </w:r>
      <w:r>
        <w:rPr>
          <w:color w:val="1F2937"/>
        </w:rPr>
        <w:t>Cadastro / Base de Acordo</w:t>
      </w:r>
    </w:p>
    <w:p>
      <w:pPr>
        <w:spacing w:after="80"/>
      </w:pPr>
      <w:r>
        <w:rPr>
          <w:b/>
          <w:color w:val="5FA32E"/>
        </w:rPr>
        <w:t xml:space="preserve">POP 10   </w:t>
      </w:r>
      <w:r>
        <w:rPr>
          <w:color w:val="1F2937"/>
        </w:rPr>
        <w:t>Usuários e Permissões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01 · Home — Painel Executivo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Ter, numa única tela, a visão consolidada de todos os indicadores da operação.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lateral › Início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Leia o resumo geral</w:t>
      </w:r>
    </w:p>
    <w:p>
      <w:pPr>
        <w:spacing w:after="120"/>
        <w:ind w:left="397"/>
      </w:pPr>
      <w:r>
        <w:rPr>
          <w:color w:val="6B7280"/>
          <w:sz w:val="20"/>
        </w:rPr>
        <w:t>KPIs de cada área (financeiro, entregas, expedição) na mesma tela.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Filtre por período</w:t>
      </w:r>
    </w:p>
    <w:p>
      <w:pPr>
        <w:spacing w:after="120"/>
        <w:ind w:left="397"/>
      </w:pPr>
      <w:r>
        <w:rPr>
          <w:color w:val="6B7280"/>
          <w:sz w:val="20"/>
        </w:rPr>
        <w:t>Escolha o mês no topo e clique em Atualizar.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Vá direto ao painel</w:t>
      </w:r>
    </w:p>
    <w:p>
      <w:pPr>
        <w:spacing w:after="120"/>
        <w:ind w:left="397"/>
      </w:pPr>
      <w:r>
        <w:rPr>
          <w:color w:val="6B7280"/>
          <w:sz w:val="20"/>
        </w:rPr>
        <w:t>Clique num card (→) para abrir a área correspondente.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1: tela “Home — Painel Executivo”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02 · Auditoria de CTe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Conferir se o frete cobrado em cada CTe bate com a tabela contratada.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Financeiro › Auditoria de CTe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Envie os XMLs dos CTes</w:t>
      </w:r>
    </w:p>
    <w:p>
      <w:pPr>
        <w:spacing w:after="120"/>
        <w:ind w:left="397"/>
      </w:pPr>
      <w:r>
        <w:rPr>
          <w:color w:val="6B7280"/>
          <w:sz w:val="20"/>
        </w:rPr>
        <w:t>Arraste os arquivos para a área de upload, ou clique em “Escanear pasta”.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Confira os status</w:t>
      </w:r>
    </w:p>
    <w:p>
      <w:pPr>
        <w:spacing w:after="120"/>
        <w:ind w:left="397"/>
      </w:pPr>
      <w:r>
        <w:rPr>
          <w:color w:val="6B7280"/>
          <w:sz w:val="20"/>
        </w:rPr>
        <w:t>Cada CTe vira OK, Divergente, Spot, Não mapeada ou Sem valor cobrado.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Vincule os não mapeados</w:t>
      </w:r>
    </w:p>
    <w:p>
      <w:pPr>
        <w:spacing w:after="120"/>
        <w:ind w:left="397"/>
      </w:pPr>
      <w:r>
        <w:rPr>
          <w:color w:val="6B7280"/>
          <w:sz w:val="20"/>
        </w:rPr>
        <w:t>Clique em “Vincular” para ligar o CNPJ a uma transportadora, ou “Marcar como Spot”.</w:t>
      </w:r>
    </w:p>
    <w:p>
      <w:pPr>
        <w:spacing w:after="40"/>
      </w:pPr>
      <w:r>
        <w:rPr>
          <w:b/>
          <w:color w:val="5FA32E"/>
          <w:sz w:val="22"/>
        </w:rPr>
        <w:t xml:space="preserve">4.  </w:t>
      </w:r>
      <w:r>
        <w:rPr>
          <w:b/>
          <w:color w:val="1F2937"/>
          <w:sz w:val="22"/>
        </w:rPr>
        <w:t>Exporte o relatório</w:t>
      </w:r>
    </w:p>
    <w:p>
      <w:pPr>
        <w:spacing w:after="120"/>
        <w:ind w:left="397"/>
      </w:pPr>
      <w:r>
        <w:rPr>
          <w:color w:val="6B7280"/>
          <w:sz w:val="20"/>
        </w:rPr>
        <w:t>Use “Exportar Excel/CSV” para fechar o período.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dit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2: tela “Auditoria de CTe”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03 · Frete sobre Faturamento (%NF)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Medir quanto do faturamento transportado está sendo gasto com frete.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Financeiro › Frete sobre Faturamento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Escolha o mês</w:t>
      </w:r>
    </w:p>
    <w:p>
      <w:pPr>
        <w:spacing w:after="120"/>
        <w:ind w:left="397"/>
      </w:pPr>
      <w:r>
        <w:rPr>
          <w:color w:val="6B7280"/>
          <w:sz w:val="20"/>
        </w:rPr>
        <w:t>O painel lê os CTes já auditados do período.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Leia o %NF</w:t>
      </w:r>
    </w:p>
    <w:p>
      <w:pPr>
        <w:spacing w:after="120"/>
        <w:ind w:left="397"/>
      </w:pPr>
      <w:r>
        <w:rPr>
          <w:color w:val="6B7280"/>
          <w:sz w:val="20"/>
        </w:rPr>
        <w:t>Geral e por transportadora, mês e estado (quanto menor, melhor).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Ajuste as metas por estado</w:t>
      </w:r>
    </w:p>
    <w:p>
      <w:pPr>
        <w:spacing w:after="120"/>
        <w:ind w:left="397"/>
      </w:pPr>
      <w:r>
        <w:rPr>
          <w:color w:val="6B7280"/>
          <w:sz w:val="20"/>
        </w:rPr>
        <w:t>O custo sobe com a distância — calibre a régua de cada UF.</w:t>
      </w:r>
    </w:p>
    <w:p>
      <w:pPr>
        <w:spacing w:after="40"/>
      </w:pPr>
      <w:r>
        <w:rPr>
          <w:b/>
          <w:color w:val="5FA32E"/>
          <w:sz w:val="22"/>
        </w:rPr>
        <w:t xml:space="preserve">4.  </w:t>
      </w:r>
      <w:r>
        <w:rPr>
          <w:b/>
          <w:color w:val="1F2937"/>
          <w:sz w:val="22"/>
        </w:rPr>
        <w:t>Exporte o Excel</w:t>
      </w:r>
    </w:p>
    <w:p>
      <w:pPr>
        <w:spacing w:after="120"/>
        <w:ind w:left="397"/>
      </w:pPr>
      <w:r>
        <w:rPr>
          <w:color w:val="6B7280"/>
          <w:sz w:val="20"/>
        </w:rPr>
        <w:t>Relatório com quatro abas.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rcent_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3: tela “Frete sobre Faturamento (%NF)”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04 · Conferência de Fatura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Bater a fatura da transportadora contra as auditorias já feitas, antes de pagar.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Financeiro › Conferência de Fatura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Suba a fatura</w:t>
      </w:r>
    </w:p>
    <w:p>
      <w:pPr>
        <w:spacing w:after="120"/>
        <w:ind w:left="397"/>
      </w:pPr>
      <w:r>
        <w:rPr>
          <w:color w:val="6B7280"/>
          <w:sz w:val="20"/>
        </w:rPr>
        <w:t>Excel ou CSV — o sistema detecta as colunas de chave, número e valor.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Veja a conciliação</w:t>
      </w:r>
    </w:p>
    <w:p>
      <w:pPr>
        <w:spacing w:after="120"/>
        <w:ind w:left="397"/>
      </w:pPr>
      <w:r>
        <w:rPr>
          <w:color w:val="6B7280"/>
          <w:sz w:val="20"/>
        </w:rPr>
        <w:t>Linha a linha: Confere, Diverge do CTe, CTe divergente ou Não auditado.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Confira os totais</w:t>
      </w:r>
    </w:p>
    <w:p>
      <w:pPr>
        <w:spacing w:after="120"/>
        <w:ind w:left="397"/>
      </w:pPr>
      <w:r>
        <w:rPr>
          <w:color w:val="6B7280"/>
          <w:sz w:val="20"/>
        </w:rPr>
        <w:t>Liberado para pagamento, em revisão e contestável.</w:t>
      </w:r>
    </w:p>
    <w:p>
      <w:pPr>
        <w:spacing w:after="40"/>
      </w:pPr>
      <w:r>
        <w:rPr>
          <w:b/>
          <w:color w:val="5FA32E"/>
          <w:sz w:val="22"/>
        </w:rPr>
        <w:t xml:space="preserve">4.  </w:t>
      </w:r>
      <w:r>
        <w:rPr>
          <w:b/>
          <w:color w:val="1F2937"/>
          <w:sz w:val="22"/>
        </w:rPr>
        <w:t>Exporte a conferência</w:t>
      </w:r>
    </w:p>
    <w:p>
      <w:pPr>
        <w:spacing w:after="120"/>
        <w:ind w:left="397"/>
      </w:pPr>
      <w:r>
        <w:rPr>
          <w:color w:val="6B7280"/>
          <w:sz w:val="20"/>
        </w:rPr>
        <w:t>Relatório em Excel.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er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4: tela “Conferência de Fatura”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05 · Romaneio de Expedição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Gerar o romaneio de expedição a partir das notas fiscais, antes da emissão do CTe.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Expedição › Romaneio de Expedição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Importe as NF-e</w:t>
      </w:r>
    </w:p>
    <w:p>
      <w:pPr>
        <w:spacing w:after="120"/>
        <w:ind w:left="397"/>
      </w:pPr>
      <w:r>
        <w:rPr>
          <w:color w:val="6B7280"/>
          <w:sz w:val="20"/>
        </w:rPr>
        <w:t>Suba os XMLs de NF-e (ou o PDF de romaneio do Olist).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Agrupe por transportadora</w:t>
      </w:r>
    </w:p>
    <w:p>
      <w:pPr>
        <w:spacing w:after="120"/>
        <w:ind w:left="397"/>
      </w:pPr>
      <w:r>
        <w:rPr>
          <w:color w:val="6B7280"/>
          <w:sz w:val="20"/>
        </w:rPr>
        <w:t>As notas entram na fila, agrupadas automaticamente.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Crie o romaneio</w:t>
      </w:r>
    </w:p>
    <w:p>
      <w:pPr>
        <w:spacing w:after="120"/>
        <w:ind w:left="397"/>
      </w:pPr>
      <w:r>
        <w:rPr>
          <w:color w:val="6B7280"/>
          <w:sz w:val="20"/>
        </w:rPr>
        <w:t>Informe motorista, veículo e placa.</w:t>
      </w:r>
    </w:p>
    <w:p>
      <w:pPr>
        <w:spacing w:after="40"/>
      </w:pPr>
      <w:r>
        <w:rPr>
          <w:b/>
          <w:color w:val="5FA32E"/>
          <w:sz w:val="22"/>
        </w:rPr>
        <w:t xml:space="preserve">4.  </w:t>
      </w:r>
      <w:r>
        <w:rPr>
          <w:b/>
          <w:color w:val="1F2937"/>
          <w:sz w:val="22"/>
        </w:rPr>
        <w:t>Gere o PDF</w:t>
      </w:r>
    </w:p>
    <w:p>
      <w:pPr>
        <w:spacing w:after="120"/>
        <w:ind w:left="397"/>
      </w:pPr>
      <w:r>
        <w:rPr>
          <w:color w:val="6B7280"/>
          <w:sz w:val="20"/>
        </w:rPr>
        <w:t>Imprima o romaneio para a expedição.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mane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5: tela “Romaneio de Expedição”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06 · Torre de Controle de Entregas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Acompanhar se as entregas chegaram e se chegaram no prazo (OTD).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Entregas › Torre de Controle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Importe os OCOREN</w:t>
      </w:r>
    </w:p>
    <w:p>
      <w:pPr>
        <w:spacing w:after="120"/>
        <w:ind w:left="397"/>
      </w:pPr>
      <w:r>
        <w:rPr>
          <w:color w:val="6B7280"/>
          <w:sz w:val="20"/>
        </w:rPr>
        <w:t>Arraste os arquivos EDI, ou escaneie a pasta de entrada.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Acompanhe o OTD</w:t>
      </w:r>
    </w:p>
    <w:p>
      <w:pPr>
        <w:spacing w:after="120"/>
        <w:ind w:left="397"/>
      </w:pPr>
      <w:r>
        <w:rPr>
          <w:color w:val="6B7280"/>
          <w:sz w:val="20"/>
        </w:rPr>
        <w:t>Entregues no prazo, em trânsito, atrasadas em aberto e devolvidas.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Dê baixa manual</w:t>
      </w:r>
    </w:p>
    <w:p>
      <w:pPr>
        <w:spacing w:after="120"/>
        <w:ind w:left="397"/>
      </w:pPr>
      <w:r>
        <w:rPr>
          <w:color w:val="6B7280"/>
          <w:sz w:val="20"/>
        </w:rPr>
        <w:t>Quando faltar a ocorrência, registre a data real da entrega.</w:t>
      </w:r>
    </w:p>
    <w:p>
      <w:pPr>
        <w:spacing w:after="40"/>
      </w:pPr>
      <w:r>
        <w:rPr>
          <w:b/>
          <w:color w:val="5FA32E"/>
          <w:sz w:val="22"/>
        </w:rPr>
        <w:t xml:space="preserve">4.  </w:t>
      </w:r>
      <w:r>
        <w:rPr>
          <w:b/>
          <w:color w:val="1F2937"/>
          <w:sz w:val="22"/>
        </w:rPr>
        <w:t>Exporte o relatório</w:t>
      </w:r>
    </w:p>
    <w:p>
      <w:pPr>
        <w:spacing w:after="120"/>
        <w:ind w:left="397"/>
      </w:pPr>
      <w:r>
        <w:rPr>
          <w:color w:val="6B7280"/>
          <w:sz w:val="20"/>
        </w:rPr>
        <w:t>Excel com Entregas, OTD e Ocorrências.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r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6: tela “Torre de Controle de Entregas”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07 · Scorecard de Desempenho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Medir e comparar o desempenho de entrega (OTD) de cada transportadora.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Entregas › Scorecard de Desempenho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Escolha o mês</w:t>
      </w:r>
    </w:p>
    <w:p>
      <w:pPr>
        <w:spacing w:after="120"/>
        <w:ind w:left="397"/>
      </w:pPr>
      <w:r>
        <w:rPr>
          <w:color w:val="6B7280"/>
          <w:sz w:val="20"/>
        </w:rPr>
        <w:t>Ou “Todos” para o acumulado.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Compare o OTD</w:t>
      </w:r>
    </w:p>
    <w:p>
      <w:pPr>
        <w:spacing w:after="120"/>
        <w:ind w:left="397"/>
      </w:pPr>
      <w:r>
        <w:rPr>
          <w:color w:val="6B7280"/>
          <w:sz w:val="20"/>
        </w:rPr>
        <w:t>Metas coloridas: verde ≥ 95%, amarelo 85–95%, vermelho &lt; 85%.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Explore por região/estado</w:t>
      </w:r>
    </w:p>
    <w:p>
      <w:pPr>
        <w:spacing w:after="120"/>
        <w:ind w:left="397"/>
      </w:pPr>
      <w:r>
        <w:rPr>
          <w:color w:val="6B7280"/>
          <w:sz w:val="20"/>
        </w:rPr>
        <w:t>Clique numa região para abrir os estados.</w:t>
      </w:r>
    </w:p>
    <w:p>
      <w:pPr>
        <w:spacing w:after="40"/>
      </w:pPr>
      <w:r>
        <w:rPr>
          <w:b/>
          <w:color w:val="5FA32E"/>
          <w:sz w:val="22"/>
        </w:rPr>
        <w:t xml:space="preserve">4.  </w:t>
      </w:r>
      <w:r>
        <w:rPr>
          <w:b/>
          <w:color w:val="1F2937"/>
          <w:sz w:val="22"/>
        </w:rPr>
        <w:t>Exporte</w:t>
      </w:r>
    </w:p>
    <w:p>
      <w:pPr>
        <w:spacing w:after="120"/>
        <w:ind w:left="397"/>
      </w:pPr>
      <w:r>
        <w:rPr>
          <w:color w:val="6B7280"/>
          <w:sz w:val="20"/>
        </w:rPr>
        <w:t>Excel ou baixe cada gráfico em PNG.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core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7: tela “Scorecard de Desempenho”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08 · Simulador de Frete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Cotar e comparar transportadoras por custo e prazo para o comercial.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Comercial › Simulador de Frete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Informe a rota e os volumes</w:t>
      </w:r>
    </w:p>
    <w:p>
      <w:pPr>
        <w:spacing w:after="120"/>
        <w:ind w:left="397"/>
      </w:pPr>
      <w:r>
        <w:rPr>
          <w:color w:val="6B7280"/>
          <w:sz w:val="20"/>
        </w:rPr>
        <w:t>CEP de origem/destino, peso, dimensões e valor da NF.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Compare as transportadoras</w:t>
      </w:r>
    </w:p>
    <w:p>
      <w:pPr>
        <w:spacing w:after="120"/>
        <w:ind w:left="397"/>
      </w:pPr>
      <w:r>
        <w:rPr>
          <w:color w:val="6B7280"/>
          <w:sz w:val="20"/>
        </w:rPr>
        <w:t>Ordenado por custo, com prazo e destaque de menor custo / mais rápido.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Exporte a cotação</w:t>
      </w:r>
    </w:p>
    <w:p>
      <w:pPr>
        <w:spacing w:after="120"/>
        <w:ind w:left="397"/>
      </w:pPr>
      <w:r>
        <w:rPr>
          <w:color w:val="6B7280"/>
          <w:sz w:val="20"/>
        </w:rPr>
        <w:t>Baixe a comparação em CSV.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imula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8: tela “Simulador de Frete”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09 · Cadastro / Base de Acordo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Manter as transportadoras e as tabelas de preço e prazo que alimentam todo o sistema.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Configuração › Cadastro de Tabelas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Cadastre a transportadora</w:t>
      </w:r>
    </w:p>
    <w:p>
      <w:pPr>
        <w:spacing w:after="120"/>
        <w:ind w:left="397"/>
      </w:pPr>
      <w:r>
        <w:rPr>
          <w:color w:val="6B7280"/>
          <w:sz w:val="20"/>
        </w:rPr>
        <w:t>Nome, CNPJs, metas e encargos padrão do acordo.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Preencha preço e prazo</w:t>
      </w:r>
    </w:p>
    <w:p>
      <w:pPr>
        <w:spacing w:after="120"/>
        <w:ind w:left="397"/>
      </w:pPr>
      <w:r>
        <w:rPr>
          <w:color w:val="6B7280"/>
          <w:sz w:val="20"/>
        </w:rPr>
        <w:t>Faixas por UF/região e prazos por cidade ou faixa de CEP.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Aplique ao motor</w:t>
      </w:r>
    </w:p>
    <w:p>
      <w:pPr>
        <w:spacing w:after="120"/>
        <w:ind w:left="397"/>
      </w:pPr>
      <w:r>
        <w:rPr>
          <w:color w:val="6B7280"/>
          <w:sz w:val="20"/>
        </w:rPr>
        <w:t>Clique em “Aplicar ao motor” para valer nas cotações e auditorias.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dast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9: tela “Cadastro / Base de Acordo” — os números indicam os passos acima.</w:t>
      </w:r>
    </w:p>
    <w:p>
      <w:r>
        <w:br w:type="page"/>
      </w:r>
    </w:p>
    <w:p>
      <w:pPr>
        <w:pBdr>
          <w:bottom w:val="single" w:sz="6" w:space="6" w:color="5fa32e"/>
        </w:pBdr>
      </w:pPr>
      <w:r>
        <w:rPr>
          <w:b/>
          <w:color w:val="1F2937"/>
          <w:sz w:val="34"/>
        </w:rPr>
        <w:t>POP 10 · Usuários e Permissões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932"/>
      </w:tblGrid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Objetivo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Controlar quem acessa o sistema e o que cada pessoa pode ver e fazer.</w:t>
            </w:r>
          </w:p>
        </w:tc>
      </w:tr>
      <w:tr>
        <w:tc>
          <w:tcPr>
            <w:tcW w:type="dxa" w:w="1814"/>
            <w:shd w:val="clear" w:fill="F3F5F8"/>
          </w:tcPr>
          <w:p>
            <w:r>
              <w:rPr>
                <w:b/>
                <w:color w:val="6B7280"/>
                <w:sz w:val="19"/>
              </w:rPr>
              <w:t>Como acessar</w:t>
            </w:r>
          </w:p>
        </w:tc>
        <w:tc>
          <w:tcPr>
            <w:tcW w:type="dxa" w:w="7932"/>
          </w:tcPr>
          <w:p>
            <w:r>
              <w:rPr>
                <w:color w:val="1F2937"/>
                <w:sz w:val="21"/>
              </w:rPr>
              <w:t>Menu › Configuração › Usuários (somente administrador)</w:t>
            </w:r>
          </w:p>
        </w:tc>
      </w:tr>
    </w:tbl>
    <w:p/>
    <w:p>
      <w:r>
        <w:rPr>
          <w:b/>
          <w:color w:val="5FA32E"/>
          <w:sz w:val="24"/>
        </w:rPr>
        <w:t>Passo a passo</w:t>
      </w:r>
    </w:p>
    <w:p>
      <w:pPr>
        <w:spacing w:after="40"/>
      </w:pPr>
      <w:r>
        <w:rPr>
          <w:b/>
          <w:color w:val="5FA32E"/>
          <w:sz w:val="22"/>
        </w:rPr>
        <w:t xml:space="preserve">1.  </w:t>
      </w:r>
      <w:r>
        <w:rPr>
          <w:b/>
          <w:color w:val="1F2937"/>
          <w:sz w:val="22"/>
        </w:rPr>
        <w:t>Crie um usuário</w:t>
      </w:r>
    </w:p>
    <w:p>
      <w:pPr>
        <w:spacing w:after="120"/>
        <w:ind w:left="397"/>
      </w:pPr>
      <w:r>
        <w:rPr>
          <w:color w:val="6B7280"/>
          <w:sz w:val="20"/>
        </w:rPr>
        <w:t>Informe login e senha; apenas o administrador gerencia os acessos.</w:t>
      </w:r>
    </w:p>
    <w:p>
      <w:pPr>
        <w:spacing w:after="40"/>
      </w:pPr>
      <w:r>
        <w:rPr>
          <w:b/>
          <w:color w:val="5FA32E"/>
          <w:sz w:val="22"/>
        </w:rPr>
        <w:t xml:space="preserve">2.  </w:t>
      </w:r>
      <w:r>
        <w:rPr>
          <w:b/>
          <w:color w:val="1F2937"/>
          <w:sz w:val="22"/>
        </w:rPr>
        <w:t>Defina áreas e permissões</w:t>
      </w:r>
    </w:p>
    <w:p>
      <w:pPr>
        <w:spacing w:after="120"/>
        <w:ind w:left="397"/>
      </w:pPr>
      <w:r>
        <w:rPr>
          <w:color w:val="6B7280"/>
          <w:sz w:val="20"/>
        </w:rPr>
        <w:t>Quais painéis a pessoa vê e as ações: baixar Excel, importar e editar cadastro.</w:t>
      </w:r>
    </w:p>
    <w:p>
      <w:pPr>
        <w:spacing w:after="40"/>
      </w:pPr>
      <w:r>
        <w:rPr>
          <w:b/>
          <w:color w:val="5FA32E"/>
          <w:sz w:val="22"/>
        </w:rPr>
        <w:t xml:space="preserve">3.  </w:t>
      </w:r>
      <w:r>
        <w:rPr>
          <w:b/>
          <w:color w:val="1F2937"/>
          <w:sz w:val="22"/>
        </w:rPr>
        <w:t>Edite ou desative</w:t>
      </w:r>
    </w:p>
    <w:p>
      <w:pPr>
        <w:spacing w:after="120"/>
        <w:ind w:left="397"/>
      </w:pPr>
      <w:r>
        <w:rPr>
          <w:color w:val="6B7280"/>
          <w:sz w:val="20"/>
        </w:rPr>
        <w:t>Ajuste os acessos ou retire o acesso quando necessário.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710" cy="38084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10: tela “Usuários e Permissões” — os números indicam os passos acima.</w:t>
      </w:r>
    </w:p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LogHub — Procedimentos Operacionais Padrão   ·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