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S4.</w:t>
      </w:r>
      <w:r>
        <w:rPr>
          <w:rFonts w:ascii="Calibri" w:hAnsi="Calibri"/>
          <w:sz w:val="24"/>
          <w:color w:val="333333"/>
        </w:rPr>
        <w:t xml:space="preserve"> Main Effect of Composite Risk Score on Plasma Biomarker Levels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mixed-effects models. LIBRA2 additionally adjusted for age, sex, and education.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-0.002]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-0.001]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 (0.031)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[0.032, 0.152]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[0.020, 0.135]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[0.022, 0.040]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-0.141 (0.052)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[-0.242, -0.039]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[-0.015,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 (0.028)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[0.009, 0.121]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[-0.012, 0.091]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[0.026, 0.042]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-0.084 (0.047)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[-0.175, 0.008]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0.101]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[0.001, 0.130]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[0.004,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[-0.086, 0.145]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ptau-217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[0.059, 0.193]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[0.056, 0.197]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[0.010, 0.034]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 (0.062)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[0.006, 0.248]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ptau-217/Aβ42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0.148 (0.037)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[0.076, 0.220]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0.154 (0.037)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[0.081, 0.227]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0.158 (0.066)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[0.027, 0.288]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[-0.024, 0.012]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q: Benjamini-Hochberg FDR-adjusted. β = change in biomarker per 1-unit increase in composite risk score. Light green: p&lt;0.05; dark green: q&lt;0.05. — = not applicable (CogDrisk not adjusted for these covariates).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2026-05-28T23:39:10Z</dcterms:created>
  <dcterms:modified xsi:type="dcterms:W3CDTF">2026-05-28T23:39:10Z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