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S6.</w:t>
      </w:r>
      <w:r>
        <w:rPr>
          <w:rFonts w:ascii="Calibri" w:hAnsi="Calibri"/>
          <w:sz w:val="24"/>
          <w:color w:val="333333"/>
        </w:rPr>
        <w:t xml:space="preserve"> Multivariable LME Models: Main Effects and Time Interactions of Individual Risk Predictors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APOE ε4 burden, z-scored composite risk score (PXS), polygenic risk score (GRS), and family history burden (FHx). LIBRA2 models additionally adjusted for age, sex, and education.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0.137 (0.052)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[0.036, 0.239]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 (0.048)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[0.101, 0.290]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[0.017, 0.119]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[-0.052, 0.040]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 (0.069)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0.254]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[0.003, 0.251]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[-0.098, 0.150]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 (0.058)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[-0.124, 0.103]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[0.025,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-0.154 (0.051)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[-0.254, -0.054]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 (0.058)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[0.041, 0.270]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0.220 (0.054)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[0.114, 0.326]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[0.021, 0.134]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[-0.042, 0.061]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0.313]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0.172 (0.070)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[0.034, 0.310]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[-0.125, 0.152]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[-0.145, 0.109]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0.047]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-0.201 (0.057)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[-0.314, -0.089]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0.048]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[-0.031,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[-0.029,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[-0.045,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[-0.086, 0.103]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0.152]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[0.028, 0.123]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-0.015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[-0.057, 0.027]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0.212]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 (0.058)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0.223]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[-0.034, 0.195]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[-0.059, 0.149]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-0.090 (0.047)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[-0.183,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[-0.102, 0.092]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 (0.046)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0.151]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 (0.025)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[0.030, 0.126]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[-0.047, 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0.116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0.244]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[0.022, 0.254]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 (0.060)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[-0.029, 0.205]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 (0.054)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[-0.054, 0.159]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[0.028, 0.044]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-0.113 (0.048)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[-0.208, -0.019]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[-0.034,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[-0.029, 0.011]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[0.006, 0.056]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[0.010, 0.060]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[-0.044, -0.003]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 (0.055)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0.221]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 (0.056)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[0.029, 0.248]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[-0.035, 0.073]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[-0.052, 0.054]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-0.030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[-0.174, 0.115]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-0.020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[-0.164, 0.124]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 (0.067)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[-0.103, 0.161]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[-0.122, 0.141]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[-0.098, 0.135]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0.231 (0.070)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[0.095, 0.368]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0.265 (0.070)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[0.129, 0.402]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[-0.019, 0.115]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[-0.075, 0.055]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-0.041 (0.091)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[-0.220, 0.137]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-0.030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[-0.205, 0.146]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 (0.084)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[-0.097, 0.233]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[-0.141, 0.185]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[0.013, 0.038]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[-0.097, 0.192]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[-0.020,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 (0.020)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[0.017, 0.097]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[0.024, 0.105]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[-0.025,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[-0.058,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[-0.056, 0.046]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[-0.029,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[-0.041, 0.054]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0.058]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 (0.060)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[0.107, 0.343]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0.236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[0.120, 0.352]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[0.023, 0.135]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[-0.035, 0.084]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 (0.080)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[-0.109, 0.203]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[-0.098, 0.205]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[-0.088, 0.198]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[-0.105, 0.176]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[0.012, 0.036]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0.234]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0.217 (0.061)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[0.098, 0.336]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 (0.060)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[0.110, 0.343]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[0.017, 0.129]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0.083]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 (0.080)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[-0.111, 0.202]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[-0.100, 0.205]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[-0.095, 0.194]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[-0.112, 0.171]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0.035]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0.116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0.240]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0.023]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ptau-217/Aβ42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Main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0.308 (0.062)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[0.187, 0.429]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0.313 (0.062)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[0.192, 0.435]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0.095]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[-0.055, 0.064]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[-0.160, 0.163]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 (0.082)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[-0.152, 0.170]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 (0.075)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[0.015, 0.308]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0.288]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[0.001,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0.259]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[-0.025, 0.012]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0.339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[0.209, 0.469]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0.348 (0.067)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[0.216, 0.479]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0.111]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[-0.066, 0.063]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-0.017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[-0.190, 0.156]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[-0.186, 0.159]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0.137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0.292]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[-0.052, 0.259]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0.286]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0.011]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[-0.061, 0.029]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-0.017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[-0.062,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 (0.020)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[-0.058,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-0.027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[-0.068, 0.013]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[-0.025, 0.049]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q: Benjamini-Hochberg FDR-adjusted. PXS = z-scored composite risk score. GRS = polygenic risk score. FHx = family history burden. β: change in biomarker per 1-unit increase in predictor. Time × β: additional change in biomarker slope per 1-unit increase in predictor. Light green: p &lt; 0.05; dark green: q &lt; 0.05. — = not applicable (CogDrisk model does not adjust for demographic covariates).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2026-05-28T00:41:39Z</dcterms:created>
  <dcterms:modified xsi:type="dcterms:W3CDTF">2026-05-28T00:41:39Z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