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Table 1.</w:t>
      </w:r>
      <w:r>
        <w:rPr>
          <w:rFonts w:ascii="Calibri" w:hAnsi="Calibri"/>
          <w:sz w:val="24"/>
          <w:color w:val="333333"/>
        </w:rPr>
        <w:t xml:space="preserve"> Baseline Characteristics of PREVENT-AD Sample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preserve">Stratified by Cognitive Progression Status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Remained CU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184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Progressed to MCI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Progressed to Dementia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Demographics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62.8 (5.0)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62.0 (4.7)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64.5 (5.4)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66.5 (5.4)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Years of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Caucasian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258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182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AD risk indicators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APOE e4+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PRS ≥75%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Family history of 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CogDrisk ≥8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LIBRA2 ≥7.3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AD risk factors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APOE genotype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e3/e3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e2+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e4+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FDRs with 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207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Polygenic 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4.87 (0.36)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4.87 (0.37)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4.85 (0.33)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4.88 (0.32)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CogDrisk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 (4.6)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 (4.1)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 (5.4)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 (4.3)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LIBRA2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 (4.0)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 (4.1)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 (3.6)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 (4.4)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Risk indicator burden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CogDrisk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LIBRA2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b w:val="true"/>
                <w:rFonts w:ascii="Calibri" w:hAnsi="Calibri"/>
                <w:sz w:val="20"/>
              </w:rPr>
              <w:t xml:space="preserve">Baseline biomarkers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Aβ42/Aβ40 ratio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0.069 (0.013)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0.069 (0.013)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0.070 (0.013)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0.061 (0.010)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GFAP (pg/mL)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171 (87)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NfL (pg/mL)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 (6.4)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 (6.4)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 (5.9)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 (9.5)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p-tau181 (pg/mL)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6.85 (5.12)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6.96 (5.93)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6.54 (2.47)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7.64 (2.22)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p-tau217 (pg/mL)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2.26 (1.09)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2.12 (1.05)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2.50 (1.09)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3.97 (1.02)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p-tau217/Aβ42 ratio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 (0.21)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 (0.20)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 (0.24)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 (0.24)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Mean (SD) for continuous; n (%) for categorical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Kruskal-Wallis rank sum test; Pearson's Chi-squared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2026-05-26T20:16:35Z</dcterms:created>
  <dcterms:modified xsi:type="dcterms:W3CDTF">2026-05-26T20:16:35Z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