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S3.</w:t>
      </w:r>
      <w:r>
        <w:rPr>
          <w:rFonts w:ascii="Calibri" w:hAnsi="Calibri"/>
          <w:sz w:val="24"/>
          <w:color w:val="333333"/>
        </w:rPr>
        <w:t xml:space="preserve"> Cross-sectional Associations between Composite Risk Score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261.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-0.001]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 (0.037)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[0.024, 0.168]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[0.018, 0.154]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[0.025, 0.047]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-0.181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[-0.303, -0.058]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[0.003, 0.126]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-0.099 (0.052)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[-0.201,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0.113 (0.042)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[0.030, 0.195]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 (0.042)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[0.050, 0.216]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 (0.076)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[-0.060, 0.237]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0.136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[0.066, 0.207]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0.137 (0.036)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[0.067, 0.208]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[0.012, 0.035]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 (0.064)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[-0.043, 0.208]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Composite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0.153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[0.073, 0.232]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 (0.041)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[0.083, 0.244]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[0.003, 0.028]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0.167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[0.023, 0.312]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[-0.025, 0.015]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p&lt;0.001; ** p&lt;0.01; * p&lt;0.05. CogDrisk model: biomarker ~ composite risk score (no additional covariates). LIBRA2 model: biomarker ~ composite risk score + age + sex + education. Highlighted cells indicate p&lt;0.05. — = not applicable.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2026-05-06T20:28:42Z</dcterms:created>
  <dcterms:modified xsi:type="dcterms:W3CDTF">2026-05-06T20:28:42Z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