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Table S3.</w:t>
      </w:r>
      <w:r>
        <w:rPr>
          <w:rFonts w:ascii="Calibri" w:hAnsi="Calibri"/>
          <w:sz w:val="24"/>
          <w:color w:val="333333"/>
        </w:rPr>
        <w:t xml:space="preserve"> Cross-sectional Associations between Composite Risk Score and Plasma Biomarkers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preserve">Linear regression; N = 261.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CogDrisk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LIBRA2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Predictor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β (SE)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 (FDR)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β (SE)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 (FDR)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Aβ42/40 ratio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Composite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-0.003 (0.001)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[-0.005, -0.001]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 (0.001)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[-0.004, -0.000]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[-0.001, 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-0.004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[-0.007, 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[0.000, 0.001]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GFAP (log)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Composite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0.096 (0.037)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[0.024, 0.168]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0.086 (0.035)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[0.018, 0.154]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0.036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[0.025, 0.047]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-0.181 (0.063)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[-0.303, -0.058]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 (0.009)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[-0.013, 0.022]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0.657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NfL (log)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Composite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0.065 (0.031)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[0.003, 0.126]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0.033 (0.029)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[-0.024, 0.090]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0.036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[0.027, 0.045]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-0.099 (0.052)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[-0.201, 0.004]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[-0.007, 0.021]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p-tau181 (log)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Composite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0.113 (0.042)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[0.030, 0.195]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0.133 (0.042)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[0.050, 0.216]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0.025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[0.011, 0.038]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0.089 (0.076)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[-0.060, 0.237]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 (0.011)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[-0.016, 0.025]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p-tau217 (log)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Composite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0.136 (0.036)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[0.066, 0.207]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0.137 (0.036)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[0.067, 0.208]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0.023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[0.012, 0.035]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0.082 (0.064)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[-0.043, 0.208]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 (0.009)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[-0.016, 0.019]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0.847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p-tau217/Aβ42 ratio (log)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Composite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0.153 (0.041)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[0.073, 0.232]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0.163 (0.041)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[0.083, 0.244]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0.015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[0.003, 0.028]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0.167 (0.074)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[0.023, 0.312]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-0.005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[-0.025, 0.015]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0.657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p: unadjusted; p (FDR): Benjamini-Hochberg FDR-adjusted. CogDrisk model: biomarker ~ composite risk score (no additional covariates). LIBRA2 model: biomarker ~ composite risk score + age + sex + education. Light green: p&lt;0.05; dark green: p(FDR)&lt;0.05. — = not applicable.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2026-05-23T00:49:57Z</dcterms:created>
  <dcterms:modified xsi:type="dcterms:W3CDTF">2026-05-23T00:49:57Z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