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S2.</w:t>
      </w:r>
      <w:r>
        <w:rPr>
          <w:rFonts w:ascii="Calibri" w:hAnsi="Calibri"/>
          <w:sz w:val="24"/>
          <w:color w:val="333333"/>
        </w:rPr>
        <w:t xml:space="preserve"> Multivariable Associations between Composite Risk Burden and Plasma Biomarkers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regression; N = 184. Clinical risk scores z-scored (β per SD).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0.140 (0.075)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0.287]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[0.053, 0.338]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 (0.098)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[0.071, 0.455]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0.236 (0.093)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[0.054, 0.418]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[-0.033, 0.109]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[-0.031, 0.104]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 (0.091)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[-0.149, 0.209]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[-0.164, 0.170]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[0.021, 0.049]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-0.178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[-0.331, -0.025]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0.032]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-0.057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[-0.184, 0.069]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[-0.124, 0.124]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 (0.084)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[0.010, 0.340]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0.163 (0.081)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0.322]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 (0.031)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0.127]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[-0.060, 0.058]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[-0.083, 0.225]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[-0.095, 0.197]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[0.020,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-0.082 (0.068)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[-0.215, 0.051]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p-tau181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 (0.091)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0.330]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 (0.093)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[0.013, 0.376]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 (0.118)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[-0.146, 0.318]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 (0.119)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[-0.131, 0.334]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[-0.059, 0.113]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[-0.102, 0.071]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 (0.110)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[-0.133, 0.299]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 (0.109)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[-0.162, 0.265]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[0.006, 0.042]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 (0.099)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[-0.127, 0.263]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[-0.035,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0.247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[0.118, 0.377]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0.280 (0.068)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[0.146, 0.414]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-0.078 (0.086)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[-0.247, 0.092]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-0.070 (0.087)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[-0.240, 0.100]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[-0.018, 0.109]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[-0.060, 0.067]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0.152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0.307]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0.141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0.295]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0.033]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[-0.118, 0.163]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[-0.019,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p-tau217/Aβ42 ratio (log)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 Carrier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[0.071, 0.354]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0.236 (0.075)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[0.089, 0.383]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E6C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-0.133 (0.094)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[-0.318, 0.051]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-0.121 (0.096)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[-0.309, 0.068]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[-0.065, 0.072]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[-0.085, 0.054]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[0.061, 0.405]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0.222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[0.049, 0.395]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 (0.080)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[-0.098, 0.217]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[-0.019,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q: Benjamini-Hochberg FDR-adjusted. CogDrisk model: biomarker ~ APOE ε4 + CogDrisk score (z) + PRS + FHx. LIBRA2 model: same risk predictors using LIBRA2 score (z), additionally adjusted for age, sex, and education. Light green: p&lt;0.05; dark green: q&lt;0.05. — = not applicable. Abbreviations: 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2026-05-29T20:35:06Z</dcterms:created>
  <dcterms:modified xsi:type="dcterms:W3CDTF">2026-05-29T20:35:06Z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