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S5.</w:t>
      </w:r>
      <w:r>
        <w:rPr>
          <w:rFonts w:ascii="Calibri" w:hAnsi="Calibri"/>
          <w:sz w:val="24"/>
          <w:color w:val="333333"/>
        </w:rPr>
        <w:t xml:space="preserve"> Full Time Interaction Model: Composite Risk Score and Covariate Effects on Plasma Biomarker Trajectories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mixed-effects models. LIBRA2 additionally adjusted for time interactions with age, sex, and education.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[0.009, 0.050]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-0.072 (0.086)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[-0.241, 0.097]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0.159]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0.103 (0.040)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[0.025, 0.180]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[0.016, 0.042]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-0.211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[-0.351, -0.071]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-0.029 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[0.007, 0.044]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-0.037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[-0.181, 0.107]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[-0.021, 0.118]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[-0.048, 0.083]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[-0.015, 0.013]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[0.021, 0.043]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-0.120 (0.060)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[-0.238,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-0.032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[-0.057, -0.007]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-0.044 (0.020)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[-0.084, -0.005]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-0.283 (0.166)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[-0.609, 0.043]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0.181]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[0.012, 0.219]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 (0.016)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 (0.016)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[0.005,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 (0.096)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[-0.144, 0.235]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[-0.034, 0.018]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[-0.037, 0.076]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 (0.076)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[-0.208, 0.090]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0.100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[0.029, 0.171]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0.112 (0.040)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[0.033, 0.190]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0.268]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-0.020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[-0.043,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ptau-217/Aβ42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0.067]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-0.129 (0.133)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[-0.390, 0.131]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0.097 (0.045)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[0.009, 0.184]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 (0.046)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[0.028, 0.207]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[-0.032, 0.015]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0.104 (0.083)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0.266]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[-0.021,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[-0.035, 0.053]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q: Benjamini-Hochberg FDR-adjusted across 12 tests (6 biomarkers × 2 models) within each term family. q is reported for: (1) the composite risk score level effect and (2) the time × composite risk score interaction, each corrected in a separate family of 12. Covariate terms are not corrected (—). Light green: p &lt; 0.05; dark green: q &lt; 0.05.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2026-05-29T21:03:32Z</dcterms:created>
  <dcterms:modified xsi:type="dcterms:W3CDTF">2026-05-29T21:03:32Z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