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S6.</w:t>
      </w:r>
      <w:r>
        <w:rPr>
          <w:rFonts w:ascii="Calibri" w:hAnsi="Calibri"/>
          <w:sz w:val="24"/>
          <w:color w:val="333333"/>
        </w:rPr>
        <w:t xml:space="preserve"> Multivariable LME Time Interaction Model: Individual Risk Predictors and Their Association with Plasma Biomarker Trajectories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APOE ε4 burden, z-scored composite risk score (PXS), polygenic risk score (GRS), and family history burden (FHx). LIBRA2 models additionally adjusted for age, sex, and education.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CogDrisk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LIBRA2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β (SE)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Aβ42/40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-0.004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-0.001]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-0.000]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[-0.005,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GFAP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0.145 (0.069)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0.280]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0.196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[0.065, 0.326]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 (0.035)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[-0.030, 0.105]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0.086]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0.227 (0.089)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[0.053, 0.400]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 (0.083)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[0.055, 0.382]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[-0.158, 0.173]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-0.020 (0.079)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[-0.174, 0.134]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[0.019,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-0.194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[-0.334, -0.055]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[-0.011, 0.016]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 (0.018)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 (0.017)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 (0.017)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[-0.041,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 (0.017)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[-0.040,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-0.027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[-0.057,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NfL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-0.045 (0.059)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[-0.160, 0.070]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[-0.102, 0.121]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[0.008, 0.123]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[-0.054, 0.052]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0.145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0.294]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 (0.071)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0.286]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 (0.072)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[-0.052, 0.230]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 (0.067)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[-0.063, 0.200]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[0.021, 0.043]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-0.118 (0.061)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[-0.236,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[-0.012,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[0.001, 0.023]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[0.009, 0.065]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[-0.030,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[-0.027, 0.026]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[-0.001, 0.003]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-0.031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[-0.055, -0.006]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[-0.003,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ptau-181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 (0.088)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[0.004, 0.350]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0.218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[0.042, 0.395]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 (0.044)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[-0.069, 0.102]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 (0.043)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[-0.100, 0.068]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[-0.213, 0.228]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[-0.208, 0.233]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[-0.135, 0.289]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[-0.188, 0.234]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[0.007, 0.042]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 (0.098)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[-0.146, 0.236]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[-0.033,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[0.005, 0.109]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[0.013, 0.119]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[-0.015, 0.035]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[-0.036, 0.015]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[-0.075, 0.058]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[-0.075, 0.056]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0.088]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[-0.053, 0.074]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[0.000, 0.010]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 (0.029)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[-0.038, 0.077]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[-0.010, 0.005]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[0.029, 0.280]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0.190 (0.066)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[0.061, 0.319]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 (0.030)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0.106]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[-0.048, 0.086]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 (0.082)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[-0.150, 0.171]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 (0.084)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[-0.124, 0.206]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0.117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[-0.033, 0.267]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0.273]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 (0.073)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[-0.020, 0.265]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[-0.006, 0.033]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[-0.007, 0.012]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[-0.013, 0.009]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0.025]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[-0.034, 0.019]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[-0.020,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[-0.020, 0.028]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[-0.000, 0.004]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[-0.044, 0.001]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[-0.004, 0.002]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8F9FA"/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ptau-217/Aβ42 ratio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 (0.074)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[0.070, 0.360]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0.234 (0.076)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[0.084, 0.383]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[-0.060, 0.082]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[-0.094, 0.051]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-0.111 (0.096)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[-0.300, 0.078]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-0.109 (0.098)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[-0.300, 0.083]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0.235 (0.089)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[0.061, 0.409]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0.217 (0.090)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[0.041, 0.393]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E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[-0.008, 0.022]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 (0.082)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[-0.085, 0.238]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[-0.019, 0.027]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APOE ε4+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[-0.033, 0.048]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[-0.024, 0.059]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PXS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[-0.021, 0.017]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-0.007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[-0.028, 0.013]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GRS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-0.013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[-0.065, 0.039]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-0.015 (0.027)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[-0.067, 0.038]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FHx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-0.005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[-0.052, 0.042]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-0.012 (0.025)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[-0.061, 0.036]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Time × Covariates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0F2F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 (0.023)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[-0.033, 0.056]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×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[-0.002, 0.011]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p: unadjusted; q: Benjamini-Hochberg FDR-adjusted. PXS = z-scored composite risk score. GRS = polygenic risk score. FHx = family history burden. β: change in biomarker per 1-unit increase in predictor. Time × β: additional change in biomarker slope per 1-unit increase in predictor. Light green: p &lt; 0.05; dark green: q &lt; 0.05. — = not applicable (CogDrisk model does not adjust for demographic covariates).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2026-05-29T21:19:41Z</dcterms:created>
  <dcterms:modified xsi:type="dcterms:W3CDTF">2026-05-29T21:19:41Z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