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S4.</w:t>
      </w:r>
      <w:r>
        <w:rPr>
          <w:rFonts w:ascii="Calibri" w:hAnsi="Calibri"/>
          <w:sz w:val="24"/>
          <w:color w:val="333333"/>
        </w:rPr>
        <w:t xml:space="preserve"> Main Effect of Composite Risk Score on Plasma Biomarker Levels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mixed-effects models. LIBRA2 additionally adjusted for age, sex, and education.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-0.002]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-0.001]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 (0.031)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[0.032, 0.152]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[0.020, 0.135]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[0.022, 0.040]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-0.141 (0.052)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[-0.242, -0.039]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[-0.015,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 (0.028)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[0.009, 0.121]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 (0.026)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[-0.012, 0.091]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 (0.004)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[0.026, 0.042]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-0.084 (0.047)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[-0.175, 0.008]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 (0.032)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[-0.026, 0.101]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[0.001, 0.130]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[0.004, 0.024]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 (0.059)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[-0.086, 0.145]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[-0.013, 0.019]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ptau-217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0.126 (0.034)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[0.059, 0.193]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0.126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[0.056, 0.197]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[0.010, 0.034]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0.127 (0.062)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[0.006, 0.248]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[-0.014, 0.019]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ptau-217/Aβ42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 (0.037)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[0.076, 0.220]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0.154 (0.037)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[0.081, 0.227]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0.158 (0.066)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[0.027, 0.288]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[-0.024, 0.012]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*** p&lt;0.001; ** p&lt;0.01; * p&lt;0.05. β = change in biomarker per 1-unit increase in composite risk score. Highlighted cells indicate p&lt;0.05. — = not applicable (CogDrisk not adjusted for these covariates).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2026-05-06T21:47:17Z</dcterms:created>
  <dcterms:modified xsi:type="dcterms:W3CDTF">2026-05-06T21:47:17Z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