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S5.</w:t>
      </w:r>
      <w:r>
        <w:rPr>
          <w:rFonts w:ascii="Calibri" w:hAnsi="Calibri"/>
          <w:sz w:val="24"/>
          <w:color w:val="333333"/>
        </w:rPr>
        <w:t xml:space="preserve"> Time × Composite Risk Score Interaction on Plasma Biomarker Trajectories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mixed-effects models. LIBRA2 additionally adjusted for time interactions with age, sex, and education.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[0.002, 0.049]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[0.002, 0.051]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0.016]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ptau-217/Aβ42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[-0.022, 0.018]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[-0.019, 0.024]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*** p&lt;0.001; ** p&lt;0.01; * p&lt;0.05. β = additional change in biomarker slope per 1-unit increase in composite risk score. Highlighted cells indicate p&lt;0.05.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2026-05-06T22:12:10Z</dcterms:created>
  <dcterms:modified xsi:type="dcterms:W3CDTF">2026-05-06T22:12:10Z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